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Garamond" w:hAnsi="Garamond" w:eastAsia="Garamond" w:cs="Garamond"/>
          <w:b/>
          <w:i w:val="0"/>
          <w:sz w:val="25"/>
        </w:rPr>
        <w:t>ADIC Communications Timeline</w:t>
      </w:r>
    </w:p>
    <w:p>
      <w:pPr>
        <w:spacing w:after="200"/>
        <w:pBdr>
          <w:bottom w:val="single" w:sz="6" w:space="4" w:color="BFBFBF"/>
        </w:pBdr>
      </w:pPr>
      <w:r>
        <w:rPr>
          <w:rFonts w:ascii="Garamond" w:hAnsi="Garamond" w:eastAsia="Garamond" w:cs="Garamond"/>
          <w:b w:val="0"/>
          <w:i w:val="0"/>
          <w:color w:val="555555"/>
          <w:sz w:val="16"/>
        </w:rPr>
        <w:t>Chronological record of the ADIC relationship through the 7 July 2026 update call   |   Confidential   |   6 July 2026</w:t>
      </w:r>
    </w:p>
    <w:p>
      <w:pPr>
        <w:spacing w:after="100" w:line="247" w:lineRule="auto"/>
      </w:pPr>
      <w:r>
        <w:rPr>
          <w:rFonts w:ascii="Garamond" w:hAnsi="Garamond" w:eastAsia="Garamond" w:cs="Garamond"/>
          <w:b/>
          <w:i w:val="0"/>
          <w:sz w:val="19"/>
        </w:rPr>
        <w:t xml:space="preserve">Relationship in brief. </w:t>
      </w:r>
      <w:r>
        <w:rPr>
          <w:rFonts w:ascii="Garamond" w:hAnsi="Garamond" w:eastAsia="Garamond" w:cs="Garamond"/>
          <w:b w:val="0"/>
          <w:i w:val="0"/>
          <w:sz w:val="19"/>
        </w:rPr>
        <w:t>ADIC, Public Markets, is a prospective anchor evaluated as a day-one-class allocation. ADIC expresses conviction through size: the goal is roughly $300 million over a visible timeframe, ideally $50 to $100 million in the fund with the remainder in an SMA, plus a co-investment partnership over time.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Late February 2026 – Initial contact (background)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 w:val="0"/>
          <w:i w:val="0"/>
          <w:sz w:val="19"/>
        </w:rPr>
        <w:t>Early sizing intelligence: a $100 to $300 million ticket, core around $250 million, open to both an SMA and a commingled fund.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8 April 2026 – First diligence call (Arjun Baskaran, Nick Johnston)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Positions. </w:t>
      </w:r>
      <w:r>
        <w:rPr>
          <w:rFonts w:ascii="Garamond" w:hAnsi="Garamond" w:eastAsia="Garamond" w:cs="Garamond"/>
          <w:b w:val="0"/>
          <w:i w:val="0"/>
          <w:sz w:val="19"/>
        </w:rPr>
        <w:t>Longs walked – BMRN (largest), ELVN (roughly a $2 billion drug, data in 2029), NUVL, CAPR (management the perceived risk), AMLX, PCVX; the TERNS takeout realized. Detractor – MNKD (long), a roughly 1 percent February loss after partner United Therapeutics announced a competing inhaled device.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construction. </w:t>
      </w:r>
      <w:r>
        <w:rPr>
          <w:rFonts w:ascii="Garamond" w:hAnsi="Garamond" w:eastAsia="Garamond" w:cs="Garamond"/>
          <w:b w:val="0"/>
          <w:i w:val="0"/>
          <w:sz w:val="19"/>
        </w:rPr>
        <w:t>Nets kept tight, gross around 144 percent; the short book was tactically driven entering April (the fundamental shorts had played out in January), not structural. A $200 million hard cap was set for the July close, with a November window.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dynamics. </w:t>
      </w:r>
      <w:r>
        <w:rPr>
          <w:rFonts w:ascii="Garamond" w:hAnsi="Garamond" w:eastAsia="Garamond" w:cs="Garamond"/>
          <w:b w:val="0"/>
          <w:i w:val="0"/>
          <w:sz w:val="19"/>
        </w:rPr>
        <w:t>Soren's framing – biotech the most rational healthcare sector in March; six takeouts expected September through December; JHC realized a March takeout (TERNS, roughly a 5 percent premium) while keeping nets tight.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Signal. </w:t>
      </w:r>
      <w:r>
        <w:rPr>
          <w:rFonts w:ascii="Garamond" w:hAnsi="Garamond" w:eastAsia="Garamond" w:cs="Garamond"/>
          <w:b w:val="0"/>
          <w:i w:val="0"/>
          <w:sz w:val="19"/>
        </w:rPr>
        <w:t>Arjun closed looking forward to a long and fruitful partnership.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12 May 2026 – In-office IDD visit (CIO Shiv Srinivasan and roughly six team members; Arjun virtual)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construction. </w:t>
      </w:r>
      <w:r>
        <w:rPr>
          <w:rFonts w:ascii="Garamond" w:hAnsi="Garamond" w:eastAsia="Garamond" w:cs="Garamond"/>
          <w:b w:val="0"/>
          <w:i w:val="0"/>
          <w:sz w:val="19"/>
        </w:rPr>
        <w:t>At least half the book is commercial, and JHC is more likely to short binaries than own them. Sizing caps: longs 15 percent cost and 17 percent market, shorts 10 percent cost and 12 percent market. Management quality is assessed as a binary factor, which resonated strongly with Shiv. The book is not organized by disease area, though it tilts toward oncology and I&amp;I for takeout probability; JHC would consider Japan.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Positions. </w:t>
      </w:r>
      <w:r>
        <w:rPr>
          <w:rFonts w:ascii="Garamond" w:hAnsi="Garamond" w:eastAsia="Garamond" w:cs="Garamond"/>
          <w:b w:val="0"/>
          <w:i w:val="0"/>
          <w:sz w:val="19"/>
        </w:rPr>
        <w:t>Biggest short is LLY (we are short GLP-1s, period); would short Moderna; dislikes BEAM but would not size a large short given the small cap; short WST versus long HIMS as a cross-sector example. Longs discussed: AMLX (late-third-quarter trial), ELVN (35 percent IRR, takeout candidate), TRVI (chronic cough), BMRN (below DCF, $52 to $80, roughly 12 percent of NAV), GILD and UCB (buying); ERAS and Revolution Medicine in the day-one book.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dynamics. </w:t>
      </w:r>
      <w:r>
        <w:rPr>
          <w:rFonts w:ascii="Garamond" w:hAnsi="Garamond" w:eastAsia="Garamond" w:cs="Garamond"/>
          <w:b w:val="0"/>
          <w:i w:val="0"/>
          <w:sz w:val="19"/>
        </w:rPr>
        <w:t>Biotech has been ADIC's best-performing asset class for two years; portfolio biotech beta is roughly 0.2; the double-digit net-return mandate and the net-exposure lean are acceptable. Discussed run-up-trade dynamics. Soren noted he has never wanted to short biotech less, but LLY is a structural GLP-1 short, not a biotech short, and the longs have been held since day one.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Signal and materials. </w:t>
      </w:r>
      <w:r>
        <w:rPr>
          <w:rFonts w:ascii="Garamond" w:hAnsi="Garamond" w:eastAsia="Garamond" w:cs="Garamond"/>
          <w:b w:val="0"/>
          <w:i w:val="0"/>
          <w:sz w:val="19"/>
        </w:rPr>
        <w:t>Unprompted statement that both an SMA and a fund (one to one) are on the table, an anchor-level signal. Shared the coverage-universe handout, the top-five longs snapshot, and the ELVN case study. (Keep straight: coverage stated as 200 names verbally versus 250 in the handout.)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1 June 2026 – Capacity call (Arjun, Nick)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 (vehicle). </w:t>
      </w:r>
      <w:r>
        <w:rPr>
          <w:rFonts w:ascii="Garamond" w:hAnsi="Garamond" w:eastAsia="Garamond" w:cs="Garamond"/>
          <w:b w:val="0"/>
          <w:i w:val="0"/>
          <w:sz w:val="19"/>
        </w:rPr>
        <w:t>Reaffirmed roughly $300 million over a visible timeframe; ideal split of $50 to $100 million in the fund plus the remainder in an SMA; 100 / 100 (commingled / SMA) is no issue; the SMA could be held via Dockside; a co-investment partnership is desired over time.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 and process. </w:t>
      </w:r>
      <w:r>
        <w:rPr>
          <w:rFonts w:ascii="Garamond" w:hAnsi="Garamond" w:eastAsia="Garamond" w:cs="Garamond"/>
          <w:b w:val="0"/>
          <w:i w:val="0"/>
          <w:sz w:val="19"/>
        </w:rPr>
        <w:t>Marty conveyed urgency to deploy given the market; post-New York feedback was pretty positive and moving to IC with Shiv's buy-in; three references were requested.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2 June 2026 – IDD analyst call, Elizabeth Leitner (Arjun, Nick)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construction. </w:t>
      </w:r>
      <w:r>
        <w:rPr>
          <w:rFonts w:ascii="Garamond" w:hAnsi="Garamond" w:eastAsia="Garamond" w:cs="Garamond"/>
          <w:b w:val="0"/>
          <w:i w:val="0"/>
          <w:sz w:val="19"/>
        </w:rPr>
        <w:t>The philosophy skews to valuation shorts over event-driven shorts, with disciplined entry and a required margin of safety; there is no fixed multiple rule (not 4x peak sales or 20x EPS).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Positions. </w:t>
      </w:r>
      <w:r>
        <w:rPr>
          <w:rFonts w:ascii="Garamond" w:hAnsi="Garamond" w:eastAsia="Garamond" w:cs="Garamond"/>
          <w:b w:val="0"/>
          <w:i w:val="0"/>
          <w:sz w:val="19"/>
        </w:rPr>
        <w:t>INSM (a hype phase expected to meet reality), Madrigal, Exelixis (added to the short on the way up), and ALNY (put on, taken off, and re-entered).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dynamics. </w:t>
      </w:r>
      <w:r>
        <w:rPr>
          <w:rFonts w:ascii="Garamond" w:hAnsi="Garamond" w:eastAsia="Garamond" w:cs="Garamond"/>
          <w:b w:val="0"/>
          <w:i w:val="0"/>
          <w:sz w:val="19"/>
        </w:rPr>
        <w:t>Hype-cycle-versus-reality in high-multiple names, and sentiment-driven multiples, were the throughline.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Request. </w:t>
      </w:r>
      <w:r>
        <w:rPr>
          <w:rFonts w:ascii="Garamond" w:hAnsi="Garamond" w:eastAsia="Garamond" w:cs="Garamond"/>
          <w:b w:val="0"/>
          <w:i w:val="0"/>
          <w:sz w:val="19"/>
        </w:rPr>
        <w:t>Full long and short coverage list, positions of size, the large-long theses (what the market is missing), and how EL engages Soren.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Early June 2026 – IDD analyst calls, Adam Czekanski and Elliot Xu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Positions. </w:t>
      </w:r>
      <w:r>
        <w:rPr>
          <w:rFonts w:ascii="Garamond" w:hAnsi="Garamond" w:eastAsia="Garamond" w:cs="Garamond"/>
          <w:b w:val="0"/>
          <w:i w:val="0"/>
          <w:sz w:val="19"/>
        </w:rPr>
        <w:t>Elliot pitched ABVX short; Soren instead sees a $2 to $3 billion drug and was not eager to press the short after the move.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4 June 2026 – IC-referral call, Abdulrahman Al-Humaidhi (ED) with Arjun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Positions. </w:t>
      </w:r>
      <w:r>
        <w:rPr>
          <w:rFonts w:ascii="Garamond" w:hAnsi="Garamond" w:eastAsia="Garamond" w:cs="Garamond"/>
          <w:b w:val="0"/>
          <w:i w:val="0"/>
          <w:sz w:val="19"/>
        </w:rPr>
        <w:t>BMRN (conviction it can be 50 percent or more higher in a year; cheap because historically poorly run, with Voxzogo competition coming, but survey work supports growth); IBRX (monumentally overvalued, with meme-stock traits); TRVI (GSK readout coming); TEVA (short); PCVX (flipped).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construction. </w:t>
      </w:r>
      <w:r>
        <w:rPr>
          <w:rFonts w:ascii="Garamond" w:hAnsi="Garamond" w:eastAsia="Garamond" w:cs="Garamond"/>
          <w:b w:val="0"/>
          <w:i w:val="0"/>
          <w:sz w:val="19"/>
        </w:rPr>
        <w:t>BMRN sized at low double digits of book risk, reaching 15 percent only with a pivoting catalyst; a very large short is roughly 10 percent risk contribution; longs are held with low turnover while shorts trade frequently; IBRX kept under 3 percent to preserve room to defend; catalyst and value are not two separate buckets.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dynamics. </w:t>
      </w:r>
      <w:r>
        <w:rPr>
          <w:rFonts w:ascii="Garamond" w:hAnsi="Garamond" w:eastAsia="Garamond" w:cs="Garamond"/>
          <w:b w:val="0"/>
          <w:i w:val="0"/>
          <w:sz w:val="19"/>
        </w:rPr>
        <w:t>Voxzogo competitive dynamics; meme-stock and retail overvaluation on the short side; JHC's AI tooling as a process edge.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Outcome. </w:t>
      </w:r>
      <w:r>
        <w:rPr>
          <w:rFonts w:ascii="Garamond" w:hAnsi="Garamond" w:eastAsia="Garamond" w:cs="Garamond"/>
          <w:b w:val="0"/>
          <w:i w:val="0"/>
          <w:sz w:val="19"/>
        </w:rPr>
        <w:t>Internal approval to proceed to IC – full steam ahead.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9–10 June 2026 – Written performance diligence (Marty to Arjun and Nick)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Materials sent: </w:t>
      </w:r>
      <w:r>
        <w:rPr>
          <w:rFonts w:ascii="Garamond" w:hAnsi="Garamond" w:eastAsia="Garamond" w:cs="Garamond"/>
          <w:b w:val="0"/>
          <w:i w:val="0"/>
          <w:sz w:val="19"/>
        </w:rPr>
        <w:t>April and May tear sheets, the May investor report, the May attribution report, an organizational-cost estimate, and the GP commitment (roughly 3 percent).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Positions and attribution. </w:t>
      </w:r>
      <w:r>
        <w:rPr>
          <w:rFonts w:ascii="Garamond" w:hAnsi="Garamond" w:eastAsia="Garamond" w:cs="Garamond"/>
          <w:b w:val="0"/>
          <w:i w:val="0"/>
          <w:sz w:val="19"/>
        </w:rPr>
        <w:t>The two months were the short book fighting the tape on large-caps – LLY and EXEL together account for roughly $19 million of year-to-date losses – partially offset by idiosyncratic long wins (GILD, TRVI, PHVS, BCAX) and working shorts (PCVX, INCY). The biggest longs, BMRN, VRTX, and AMLX, were all year-to-date losers with theses intact but uncatalyzed. April was plus 2.00 percent (CAPR up 13 percent over two weeks, NUVL strong, BMRN late-positive on the Amicus news; offset by LLY up roughly 10 percent intraday on 30 April on a 56 percent revenue beat and a roughly $2 billion guidance raise, and a brief HIMS squeeze after the 23 April LLY partnership). May was minus 2.34 percent (LLY up roughly 14 percent to all-time highs near $1,100; BMRN up 8 percent on 21 May Voxzogo Phase 3 hypochondroplasia data; AMLX flat pending LUCIDITY; HIMS down 11 percent on the 11 May miss).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Portfolio construction. </w:t>
      </w:r>
      <w:r>
        <w:rPr>
          <w:rFonts w:ascii="Garamond" w:hAnsi="Garamond" w:eastAsia="Garamond" w:cs="Garamond"/>
          <w:b w:val="0"/>
          <w:i w:val="0"/>
          <w:sz w:val="19"/>
        </w:rPr>
        <w:t>Nets kept tight throughout; commercial emphasis; longs held since day one.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/>
          <w:i w:val="0"/>
          <w:sz w:val="19"/>
        </w:rPr>
        <w:t xml:space="preserve">Market dynamics. </w:t>
      </w:r>
      <w:r>
        <w:rPr>
          <w:rFonts w:ascii="Garamond" w:hAnsi="Garamond" w:eastAsia="Garamond" w:cs="Garamond"/>
          <w:b w:val="0"/>
          <w:i w:val="0"/>
          <w:sz w:val="19"/>
        </w:rPr>
        <w:t>LLY was the dominant driver in both months, a structural GLP-1 short rather than a biotech short, against a degrossing and AI-rotation backdrop.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15 June 2026 – Status update (Nick)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 w:val="0"/>
          <w:i w:val="0"/>
          <w:sz w:val="19"/>
        </w:rPr>
        <w:t>Cleared Stage 1 (department-level buy-in) and moving toward the full ADIC-wide IC. The analyst calls and references were completed and useful.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5 July 2026 – Correspondence (Arjun)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 w:val="0"/>
          <w:i w:val="0"/>
          <w:sz w:val="19"/>
        </w:rPr>
        <w:t>Asked to move the update call to Tuesday, 7 July at roughly 8:00 a.m. ET; asked how the fund finished June; requested the June reporting package this week; flagged roughly 10 minutes of ESG questions for the firm-level IC deck.</w:t>
      </w:r>
    </w:p>
    <w:p>
      <w:pPr>
        <w:keepNext/>
        <w:spacing w:before="180" w:after="60"/>
      </w:pPr>
      <w:r>
        <w:rPr>
          <w:rFonts w:ascii="Garamond" w:hAnsi="Garamond" w:eastAsia="Garamond" w:cs="Garamond"/>
          <w:b/>
          <w:i w:val="0"/>
          <w:sz w:val="21"/>
        </w:rPr>
        <w:t>7 July 2026 – Upcoming update call</w:t>
      </w:r>
    </w:p>
    <w:p>
      <w:pPr>
        <w:spacing w:after="80" w:line="247" w:lineRule="auto"/>
        <w:ind w:left="360" w:hanging="187"/>
      </w:pPr>
      <w:r>
        <w:rPr>
          <w:rFonts w:ascii="Garamond" w:hAnsi="Garamond" w:eastAsia="Garamond" w:cs="Garamond"/>
          <w:b w:val="0"/>
          <w:i w:val="0"/>
          <w:sz w:val="19"/>
        </w:rPr>
        <w:t xml:space="preserve">•  </w:t>
      </w:r>
      <w:r>
        <w:rPr>
          <w:rFonts w:ascii="Garamond" w:hAnsi="Garamond" w:eastAsia="Garamond" w:cs="Garamond"/>
          <w:b w:val="0"/>
          <w:i w:val="0"/>
          <w:sz w:val="19"/>
        </w:rPr>
        <w:t>Reaffirm the May narrative, address June candidly, and speak to forward capital deployment, followed by ESG questions and answers.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eastAsia="Garamond" w:cs="Garamon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