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黑体" w:hAnsi="黑体" w:eastAsia="黑体"/>
          <w:b/>
          <w:i w:val="0"/>
          <w:color w:val="1F4E78"/>
          <w:sz w:val="48"/>
        </w:rPr>
        <w:t>AI 智能体参赛方案</w:t>
      </w:r>
    </w:p>
    <w:p>
      <w:pPr>
        <w:spacing w:after="160"/>
        <w:jc w:val="center"/>
      </w:pPr>
      <w:r>
        <w:rPr>
          <w:rFonts w:ascii="黑体" w:hAnsi="黑体" w:eastAsia="黑体"/>
          <w:b/>
          <w:i w:val="0"/>
          <w:color w:val="000000"/>
          <w:sz w:val="44"/>
        </w:rPr>
        <w:t>“智会小浦”——上海分行新员工入职指引智能体</w:t>
      </w:r>
    </w:p>
    <w:p>
      <w:pPr>
        <w:spacing w:after="480"/>
        <w:jc w:val="center"/>
      </w:pPr>
      <w:r>
        <w:rPr>
          <w:rFonts w:ascii="楷体" w:hAnsi="楷体" w:eastAsia="楷体"/>
          <w:b w:val="0"/>
          <w:i w:val="0"/>
          <w:color w:val="595959"/>
          <w:sz w:val="24"/>
        </w:rPr>
        <w:t>让新员工少跑腿、少等待、少困惑，让综合岗从重复答疑中释放</w:t>
      </w:r>
    </w:p>
    <w:tbl>
      <w:tblPr>
        <w:tblW w:type="auto" w:w="0"/>
        <w:jc w:val="center"/>
        <w:tblLayout w:type="fixed"/>
        <w:tblLook w:firstColumn="1" w:firstRow="1" w:lastColumn="0" w:lastRow="0" w:noHBand="0" w:noVBand="1" w:val="04A0"/>
      </w:tblPr>
      <w:tblGrid>
        <w:gridCol w:w="4819"/>
        <w:gridCol w:w="4819"/>
      </w:tblGrid>
      <w:tr>
        <w:tc>
          <w:tcPr>
            <w:tcW w:type="dxa" w:w="2324"/>
            <w:tcMar>
              <w:top w:w="140" w:type="dxa"/>
              <w:start w:w="150" w:type="dxa"/>
              <w:bottom w:w="140" w:type="dxa"/>
              <w:end w:w="150" w:type="dxa"/>
            </w:tcMar>
            <w:tcBorders>
              <w:top w:val="single" w:sz="8" w:color="9EADBC"/>
              <w:left w:val="single" w:sz="8" w:color="9EADBC"/>
              <w:bottom w:val="single" w:sz="8" w:color="9EADBC"/>
              <w:right w:val="single" w:sz="8" w:color="9EADBC"/>
            </w:tcBorders>
            <w:shd w:fill="D9EAF7" w:val="clear"/>
            <w:vAlign w:val="center"/>
          </w:tcPr>
          <w:p>
            <w:pPr>
              <w:spacing w:after="0"/>
              <w:jc w:val="center"/>
            </w:pPr>
            <w:r>
              <w:rPr>
                <w:rFonts w:ascii="黑体" w:hAnsi="黑体" w:eastAsia="黑体"/>
                <w:b/>
                <w:i w:val="0"/>
                <w:color w:val="1F4E78"/>
                <w:sz w:val="22"/>
              </w:rPr>
              <w:t>所属机构</w:t>
            </w:r>
          </w:p>
        </w:tc>
        <w:tc>
          <w:tcPr>
            <w:tcW w:type="dxa" w:w="7314"/>
            <w:tcMar>
              <w:top w:w="140" w:type="dxa"/>
              <w:start w:w="150" w:type="dxa"/>
              <w:bottom w:w="140" w:type="dxa"/>
              <w:end w:w="150" w:type="dxa"/>
            </w:tcMar>
            <w:tcBorders>
              <w:top w:val="single" w:sz="8" w:color="9EADBC"/>
              <w:left w:val="single" w:sz="8" w:color="9EADBC"/>
              <w:bottom w:val="single" w:sz="8" w:color="9EADBC"/>
              <w:right w:val="single" w:sz="8" w:color="9EADBC"/>
            </w:tcBorders>
            <w:shd w:fill="FFFFFF" w:val="clear"/>
            <w:vAlign w:val="center"/>
          </w:tcPr>
          <w:p>
            <w:pPr>
              <w:spacing w:after="0"/>
              <w:jc w:val="left"/>
            </w:pPr>
            <w:r>
              <w:rPr>
                <w:rFonts w:ascii="仿宋_GB2312" w:hAnsi="仿宋_GB2312" w:eastAsia="仿宋_GB2312"/>
                <w:b w:val="0"/>
                <w:i w:val="0"/>
                <w:color w:val="000000"/>
                <w:sz w:val="22"/>
              </w:rPr>
              <w:t>上海分行</w:t>
            </w:r>
          </w:p>
        </w:tc>
      </w:tr>
      <w:tr>
        <w:tc>
          <w:tcPr>
            <w:tcW w:type="dxa" w:w="2324"/>
            <w:tcMar>
              <w:top w:w="140" w:type="dxa"/>
              <w:start w:w="150" w:type="dxa"/>
              <w:bottom w:w="140" w:type="dxa"/>
              <w:end w:w="150" w:type="dxa"/>
            </w:tcMar>
            <w:tcBorders>
              <w:top w:val="single" w:sz="8" w:color="9EADBC"/>
              <w:left w:val="single" w:sz="8" w:color="9EADBC"/>
              <w:bottom w:val="single" w:sz="8" w:color="9EADBC"/>
              <w:right w:val="single" w:sz="8" w:color="9EADBC"/>
            </w:tcBorders>
            <w:shd w:fill="D9EAF7" w:val="clear"/>
            <w:vAlign w:val="center"/>
          </w:tcPr>
          <w:p>
            <w:pPr>
              <w:spacing w:after="0"/>
              <w:jc w:val="center"/>
            </w:pPr>
            <w:r>
              <w:rPr>
                <w:rFonts w:ascii="黑体" w:hAnsi="黑体" w:eastAsia="黑体"/>
                <w:b/>
                <w:i w:val="0"/>
                <w:color w:val="1F4E78"/>
                <w:sz w:val="22"/>
              </w:rPr>
              <w:t>方案名称</w:t>
            </w:r>
          </w:p>
        </w:tc>
        <w:tc>
          <w:tcPr>
            <w:tcW w:type="dxa" w:w="7314"/>
            <w:tcMar>
              <w:top w:w="140" w:type="dxa"/>
              <w:start w:w="150" w:type="dxa"/>
              <w:bottom w:w="140" w:type="dxa"/>
              <w:end w:w="150" w:type="dxa"/>
            </w:tcMar>
            <w:tcBorders>
              <w:top w:val="single" w:sz="8" w:color="9EADBC"/>
              <w:left w:val="single" w:sz="8" w:color="9EADBC"/>
              <w:bottom w:val="single" w:sz="8" w:color="9EADBC"/>
              <w:right w:val="single" w:sz="8" w:color="9EADBC"/>
            </w:tcBorders>
            <w:shd w:fill="FFFFFF" w:val="clear"/>
            <w:vAlign w:val="center"/>
          </w:tcPr>
          <w:p>
            <w:pPr>
              <w:spacing w:after="0"/>
              <w:jc w:val="left"/>
            </w:pPr>
            <w:r>
              <w:rPr>
                <w:rFonts w:ascii="仿宋_GB2312" w:hAnsi="仿宋_GB2312" w:eastAsia="仿宋_GB2312"/>
                <w:b w:val="0"/>
                <w:i w:val="0"/>
                <w:color w:val="000000"/>
                <w:sz w:val="22"/>
              </w:rPr>
              <w:t>“智会小浦”新员工入职指引智能体</w:t>
            </w:r>
          </w:p>
        </w:tc>
      </w:tr>
      <w:tr>
        <w:tc>
          <w:tcPr>
            <w:tcW w:type="dxa" w:w="2324"/>
            <w:tcMar>
              <w:top w:w="140" w:type="dxa"/>
              <w:start w:w="150" w:type="dxa"/>
              <w:bottom w:w="140" w:type="dxa"/>
              <w:end w:w="150" w:type="dxa"/>
            </w:tcMar>
            <w:tcBorders>
              <w:top w:val="single" w:sz="8" w:color="9EADBC"/>
              <w:left w:val="single" w:sz="8" w:color="9EADBC"/>
              <w:bottom w:val="single" w:sz="8" w:color="9EADBC"/>
              <w:right w:val="single" w:sz="8" w:color="9EADBC"/>
            </w:tcBorders>
            <w:shd w:fill="D9EAF7" w:val="clear"/>
            <w:vAlign w:val="center"/>
          </w:tcPr>
          <w:p>
            <w:pPr>
              <w:spacing w:after="0"/>
              <w:jc w:val="center"/>
            </w:pPr>
            <w:r>
              <w:rPr>
                <w:rFonts w:ascii="黑体" w:hAnsi="黑体" w:eastAsia="黑体"/>
                <w:b/>
                <w:i w:val="0"/>
                <w:color w:val="1F4E78"/>
                <w:sz w:val="22"/>
              </w:rPr>
              <w:t>适用对象</w:t>
            </w:r>
          </w:p>
        </w:tc>
        <w:tc>
          <w:tcPr>
            <w:tcW w:type="dxa" w:w="7314"/>
            <w:tcMar>
              <w:top w:w="140" w:type="dxa"/>
              <w:start w:w="150" w:type="dxa"/>
              <w:bottom w:w="140" w:type="dxa"/>
              <w:end w:w="150" w:type="dxa"/>
            </w:tcMar>
            <w:tcBorders>
              <w:top w:val="single" w:sz="8" w:color="9EADBC"/>
              <w:left w:val="single" w:sz="8" w:color="9EADBC"/>
              <w:bottom w:val="single" w:sz="8" w:color="9EADBC"/>
              <w:right w:val="single" w:sz="8" w:color="9EADBC"/>
            </w:tcBorders>
            <w:shd w:fill="FFFFFF" w:val="clear"/>
            <w:vAlign w:val="center"/>
          </w:tcPr>
          <w:p>
            <w:pPr>
              <w:spacing w:after="0"/>
              <w:jc w:val="left"/>
            </w:pPr>
            <w:r>
              <w:rPr>
                <w:rFonts w:ascii="仿宋_GB2312" w:hAnsi="仿宋_GB2312" w:eastAsia="仿宋_GB2312"/>
                <w:b w:val="0"/>
                <w:i w:val="0"/>
                <w:color w:val="000000"/>
                <w:sz w:val="22"/>
              </w:rPr>
              <w:t>上海分行新入职员工、支行综合岗与带教导师</w:t>
            </w:r>
          </w:p>
        </w:tc>
      </w:tr>
      <w:tr>
        <w:tc>
          <w:tcPr>
            <w:tcW w:type="dxa" w:w="2324"/>
            <w:tcMar>
              <w:top w:w="140" w:type="dxa"/>
              <w:start w:w="150" w:type="dxa"/>
              <w:bottom w:w="140" w:type="dxa"/>
              <w:end w:w="150" w:type="dxa"/>
            </w:tcMar>
            <w:tcBorders>
              <w:top w:val="single" w:sz="8" w:color="9EADBC"/>
              <w:left w:val="single" w:sz="8" w:color="9EADBC"/>
              <w:bottom w:val="single" w:sz="8" w:color="9EADBC"/>
              <w:right w:val="single" w:sz="8" w:color="9EADBC"/>
            </w:tcBorders>
            <w:shd w:fill="D9EAF7" w:val="clear"/>
            <w:vAlign w:val="center"/>
          </w:tcPr>
          <w:p>
            <w:pPr>
              <w:spacing w:after="0"/>
              <w:jc w:val="center"/>
            </w:pPr>
            <w:r>
              <w:rPr>
                <w:rFonts w:ascii="黑体" w:hAnsi="黑体" w:eastAsia="黑体"/>
                <w:b/>
                <w:i w:val="0"/>
                <w:color w:val="1F4E78"/>
                <w:sz w:val="22"/>
              </w:rPr>
              <w:t>方案定位</w:t>
            </w:r>
          </w:p>
        </w:tc>
        <w:tc>
          <w:tcPr>
            <w:tcW w:type="dxa" w:w="7314"/>
            <w:tcMar>
              <w:top w:w="140" w:type="dxa"/>
              <w:start w:w="150" w:type="dxa"/>
              <w:bottom w:w="140" w:type="dxa"/>
              <w:end w:w="150" w:type="dxa"/>
            </w:tcMar>
            <w:tcBorders>
              <w:top w:val="single" w:sz="8" w:color="9EADBC"/>
              <w:left w:val="single" w:sz="8" w:color="9EADBC"/>
              <w:bottom w:val="single" w:sz="8" w:color="9EADBC"/>
              <w:right w:val="single" w:sz="8" w:color="9EADBC"/>
            </w:tcBorders>
            <w:shd w:fill="FFFFFF" w:val="clear"/>
            <w:vAlign w:val="center"/>
          </w:tcPr>
          <w:p>
            <w:pPr>
              <w:spacing w:after="0"/>
              <w:jc w:val="left"/>
            </w:pPr>
            <w:r>
              <w:rPr>
                <w:rFonts w:ascii="仿宋_GB2312" w:hAnsi="仿宋_GB2312" w:eastAsia="仿宋_GB2312"/>
                <w:b w:val="0"/>
                <w:i w:val="0"/>
                <w:color w:val="000000"/>
                <w:sz w:val="22"/>
              </w:rPr>
              <w:t>分行专属、7×24 小时、可追溯的入职知识服务与办事引导</w:t>
            </w:r>
          </w:p>
        </w:tc>
      </w:tr>
    </w:tbl>
    <w:p/>
    <w:p/>
    <w:p/>
    <w:p/>
    <w:p/>
    <w:p>
      <w:pPr>
        <w:jc w:val="center"/>
      </w:pPr>
      <w:r>
        <w:rPr>
          <w:rFonts w:ascii="宋体" w:hAnsi="宋体" w:eastAsia="宋体"/>
          <w:b w:val="0"/>
          <w:i w:val="0"/>
          <w:color w:val="595959"/>
          <w:sz w:val="22"/>
        </w:rPr>
        <w:t>参赛方案（主体方案 + 附录 A）</w:t>
      </w:r>
    </w:p>
    <w:p>
      <w:r>
        <w:br w:type="page"/>
      </w:r>
    </w:p>
    <w:p>
      <w:pPr>
        <w:spacing w:before="300" w:after="160" w:line="276" w:lineRule="auto"/>
        <w:pBdr>
          <w:bottom w:val="single" w:sz="10" w:space="5" w:color="1F4E78"/>
        </w:pBdr>
        <w:keepNext/>
      </w:pPr>
      <w:r>
        <w:rPr>
          <w:rFonts w:ascii="黑体" w:hAnsi="黑体" w:eastAsia="黑体"/>
          <w:b/>
          <w:i w:val="0"/>
          <w:color w:val="1F4E78"/>
          <w:sz w:val="32"/>
        </w:rPr>
        <w:t>方案摘要</w:t>
      </w:r>
    </w:p>
    <w:p>
      <w:pPr>
        <w:spacing w:before="0" w:after="80" w:line="360" w:lineRule="auto"/>
        <w:ind w:firstLine="420"/>
        <w:keepLines/>
      </w:pPr>
      <w:r>
        <w:rPr>
          <w:rFonts w:ascii="仿宋_GB2312" w:hAnsi="仿宋_GB2312" w:eastAsia="仿宋_GB2312"/>
          <w:b w:val="0"/>
          <w:i w:val="0"/>
          <w:color w:val="000000"/>
          <w:sz w:val="21"/>
        </w:rPr>
        <w:t>本方案聚焦上海分行新员工从“收到入职通知”到“完成岗位适应”期间的高频信息获取与事务办理难题。通过建设分行专属的“智会小浦”新员工入职指引智能体，将分行新员工入职手册、支行规章制度、岗位基础操作指南、考勤福利办法、高频问答及办事入口统一沉淀，向新员工提供可追溯、可操作、可转人工的全天候服务。</w:t>
      </w:r>
    </w:p>
    <w:p>
      <w:pPr>
        <w:spacing w:before="0" w:after="80" w:line="360" w:lineRule="auto"/>
        <w:ind w:firstLine="420"/>
        <w:keepLines/>
      </w:pPr>
      <w:r>
        <w:rPr>
          <w:rFonts w:ascii="仿宋_GB2312" w:hAnsi="仿宋_GB2312" w:eastAsia="仿宋_GB2312"/>
          <w:b w:val="0"/>
          <w:i w:val="0"/>
          <w:color w:val="000000"/>
          <w:sz w:val="21"/>
        </w:rPr>
        <w:t>方案不替代人工审批、业务决策或导师带教，而是把重复、标准、低风险的信息查询与办事提醒交由智能体完成；综合岗和导师聚焦规则维护、例外审核、实操辅导与员工成长。上线后拟以“知识覆盖率、回答准确率、自主查询率、咨询量下降、材料办理周期和满意度”为核心指标开展验证，并在试点成熟后向更多网点和同类员工服务场景复制。</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项目</w:t>
            </w:r>
          </w:p>
        </w:tc>
        <w:tc>
          <w:tcPr>
            <w:tcW w:type="dxa" w:w="782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内容</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i w:val="0"/>
                <w:color w:val="1F4E78"/>
                <w:sz w:val="18"/>
              </w:rPr>
              <w:t>要解决的核心问题</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新员工面对分散材料“找不到、看不懂、问不准”；综合岗和导师长期承担重复答疑；全行通用知识难以覆盖上海分行及支行的本地化流程、岗位要求与材料入口。</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i w:val="0"/>
                <w:color w:val="1F4E78"/>
                <w:sz w:val="18"/>
              </w:rPr>
              <w:t>方案核心做法</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以分行有效制度与操作指南为唯一业务依据，建立知识运营机制；通过对话问答、场景引导、材料清单和办事链接，帮助新员工一次获得“答案 + 步骤 + 下一步行动”。</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i w:val="0"/>
                <w:color w:val="1F4E78"/>
                <w:sz w:val="18"/>
              </w:rPr>
              <w:t>预期业务价值</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提高新员工自主查询和入职事项办理效率，减少综合岗重复咨询；统一分行带教口径；降低因制度版本、材料遗漏和流程理解偏差带来的操作风险。</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i w:val="0"/>
                <w:color w:val="1F4E78"/>
                <w:sz w:val="18"/>
              </w:rPr>
              <w:t>上线边界</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涉及审批、费用发放、员工个人隐私、制度未明确事项及高风险操作时，智能体仅提供已授权信息与转人工指引，不作最终决策。</w:t>
            </w:r>
          </w:p>
        </w:tc>
      </w:tr>
    </w:tbl>
    <w:p>
      <w:pPr>
        <w:spacing w:after="20"/>
      </w:pPr>
    </w:p>
    <w:p>
      <w:pPr>
        <w:spacing w:before="300" w:after="160" w:line="276" w:lineRule="auto"/>
        <w:pBdr>
          <w:bottom w:val="single" w:sz="10" w:space="5" w:color="1F4E78"/>
        </w:pBdr>
        <w:keepNext/>
      </w:pPr>
      <w:r>
        <w:rPr>
          <w:rFonts w:ascii="黑体" w:hAnsi="黑体" w:eastAsia="黑体"/>
          <w:b/>
          <w:i w:val="0"/>
          <w:color w:val="1F4E78"/>
          <w:sz w:val="32"/>
        </w:rPr>
        <w:t>模块一：项目概述与业务痛点</w:t>
      </w:r>
    </w:p>
    <w:p>
      <w:pPr>
        <w:spacing w:before="220" w:after="100" w:line="288" w:lineRule="auto"/>
        <w:keepNext/>
      </w:pPr>
      <w:r>
        <w:rPr>
          <w:rFonts w:ascii="黑体" w:hAnsi="黑体" w:eastAsia="黑体"/>
          <w:b/>
          <w:i w:val="0"/>
          <w:color w:val="1F4E78"/>
          <w:sz w:val="26"/>
        </w:rPr>
        <w:t>1.1 项目概述</w:t>
      </w:r>
    </w:p>
    <w:p>
      <w:pPr>
        <w:spacing w:before="0" w:after="80" w:line="360" w:lineRule="auto"/>
        <w:ind w:firstLine="420"/>
        <w:keepLines/>
      </w:pPr>
      <w:r>
        <w:rPr>
          <w:rFonts w:ascii="仿宋_GB2312" w:hAnsi="仿宋_GB2312" w:eastAsia="仿宋_GB2312"/>
          <w:b w:val="0"/>
          <w:i w:val="0"/>
          <w:color w:val="000000"/>
          <w:sz w:val="21"/>
        </w:rPr>
        <w:t>“智会小浦”是面向上海分行新入职员工的专属入职指引智能体。它以分行及支行已发布、可追溯的制度和操作材料为依据，将新员工常见的“该做什么、去哪里办、需要什么材料、谁来协助、注意什么”转化为清晰的办事指引。新员工可通过自然语言提问或选择场景入口获取帮助；综合岗和导师则通过知识维护、例外处理和反馈闭环保障服务质量。</w:t>
      </w:r>
    </w:p>
    <w:p>
      <w:pPr>
        <w:spacing w:before="0" w:after="80" w:line="360" w:lineRule="auto"/>
        <w:ind w:firstLine="420"/>
        <w:keepLines/>
      </w:pPr>
      <w:r>
        <w:rPr>
          <w:rFonts w:ascii="仿宋_GB2312" w:hAnsi="仿宋_GB2312" w:eastAsia="仿宋_GB2312"/>
          <w:b w:val="0"/>
          <w:i w:val="0"/>
          <w:color w:val="000000"/>
          <w:sz w:val="21"/>
        </w:rPr>
        <w:t>项目定位不是替代现有审批系统、员工服务入口或导师带教，而是在既有服务链路中承担“第一响应”和“标准指引”的角色。对于制度明确、流程稳定、无需人工判断的事项，智能体通过统一入口帮助员工快速获取可执行信息；对于涉及审批权限、个性化判断、个人隐私或制度未明确的事项，系统仅提供边界说明、责任部门和人工协同路径，确保服务便利性与业务审慎性相统一。</w:t>
      </w:r>
    </w:p>
    <w:p>
      <w:pPr>
        <w:spacing w:before="0" w:after="80" w:line="360" w:lineRule="auto"/>
        <w:ind w:firstLine="420"/>
        <w:keepLines/>
      </w:pPr>
      <w:r>
        <w:rPr>
          <w:rFonts w:ascii="仿宋_GB2312" w:hAnsi="仿宋_GB2312" w:eastAsia="仿宋_GB2312"/>
          <w:b w:val="0"/>
          <w:i w:val="0"/>
          <w:color w:val="000000"/>
          <w:sz w:val="21"/>
        </w:rPr>
        <w:t>围绕新员工从收到录用通知、报到办理、岗位适应到试用期及转正准备的连续旅程，项目将分散的制度、材料、链接和经验组织为可检索、可引用、可更新的知识服务。服务输出不止回答“是什么”，还需清晰说明“适用于谁、应如何办理、需要准备什么、何时完成、找谁协助”，降低查询成本并避免因理解偏差造成的重复沟通。</w:t>
      </w:r>
    </w:p>
    <w:p>
      <w:pPr>
        <w:spacing w:before="220" w:after="100" w:line="288" w:lineRule="auto"/>
        <w:keepNext/>
      </w:pPr>
      <w:r>
        <w:rPr>
          <w:rFonts w:ascii="黑体" w:hAnsi="黑体" w:eastAsia="黑体"/>
          <w:b/>
          <w:i w:val="0"/>
          <w:color w:val="1F4E78"/>
          <w:sz w:val="26"/>
        </w:rPr>
        <w:t>1.2 业务背景与现状</w:t>
      </w:r>
    </w:p>
    <w:p>
      <w:pPr>
        <w:spacing w:before="0" w:after="80" w:line="360" w:lineRule="auto"/>
        <w:ind w:firstLine="420"/>
        <w:keepLines/>
      </w:pPr>
      <w:r>
        <w:rPr>
          <w:rFonts w:ascii="仿宋_GB2312" w:hAnsi="仿宋_GB2312" w:eastAsia="仿宋_GB2312"/>
          <w:b w:val="0"/>
          <w:i w:val="0"/>
          <w:color w:val="000000"/>
          <w:sz w:val="21"/>
        </w:rPr>
        <w:t>新员工入职涉及人事手续、薪酬福利、考勤规则、合规签署、岗位操作、支行日常管理等多个主题，信息分散在邮件、纸质或电子手册、云盘、群聊、系统入口和不同岗位人员的经验中。新员工通常在入职第一周集中发起咨询，之后又会随着上岗、转正、福利办理等节点反复查询。</w:t>
      </w:r>
    </w:p>
    <w:p>
      <w:pPr>
        <w:spacing w:before="0" w:after="80" w:line="360" w:lineRule="auto"/>
        <w:ind w:firstLine="420"/>
        <w:keepLines/>
      </w:pPr>
      <w:r>
        <w:rPr>
          <w:rFonts w:ascii="仿宋_GB2312" w:hAnsi="仿宋_GB2312" w:eastAsia="仿宋_GB2312"/>
          <w:b w:val="0"/>
          <w:i w:val="0"/>
          <w:color w:val="000000"/>
          <w:sz w:val="21"/>
        </w:rPr>
        <w:t>当前主要由支行综合岗、带教导师及相关条线人员负责解释与引导：一方面要反复查找制度、发送材料和说明路径；另一方面还要核对分行与支行的差异化要求。全行级智能问答工具虽可提供通用信息，但对上海分行专属审批流、支行内部规范、岗位操作细节及本地办事入口的覆盖深度不足，难以直接替代本地人工答疑。</w:t>
      </w:r>
    </w:p>
    <w:p>
      <w:pPr>
        <w:spacing w:before="0" w:after="80" w:line="360" w:lineRule="auto"/>
        <w:ind w:firstLine="420"/>
        <w:keepLines/>
      </w:pPr>
      <w:r>
        <w:rPr>
          <w:rFonts w:ascii="仿宋_GB2312" w:hAnsi="仿宋_GB2312" w:eastAsia="仿宋_GB2312"/>
          <w:b w:val="0"/>
          <w:i w:val="0"/>
          <w:color w:val="000000"/>
          <w:sz w:val="21"/>
        </w:rPr>
        <w:t>从服务时点看，入职通知下达、报到首日、入职第一周、岗位上手和试用期转正准备，是新员工信息需求最密集、最需要即时协同的关键节点。每个节点都可能涉及跨部门、跨系统和跨材料的信息确认：例如材料签署需核对版本与提交方式，系统开通需确认入口与前置条件，岗位学习需匹配支行和岗位差异。若缺少统一的引导入口，新员工往往只能依赖群聊追问或多次转发，导致同一问题在不同渠道反复出现。</w:t>
      </w:r>
    </w:p>
    <w:p>
      <w:pPr>
        <w:spacing w:before="0" w:after="80" w:line="360" w:lineRule="auto"/>
        <w:ind w:firstLine="420"/>
        <w:keepLines/>
      </w:pPr>
      <w:r>
        <w:rPr>
          <w:rFonts w:ascii="仿宋_GB2312" w:hAnsi="仿宋_GB2312" w:eastAsia="仿宋_GB2312"/>
          <w:b w:val="0"/>
          <w:i w:val="0"/>
          <w:color w:val="000000"/>
          <w:sz w:val="21"/>
        </w:rPr>
        <w:t>从服务供给看，现有人工服务方式具有专业判断和情境沟通的优势，但其响应效率、服务一致性和经验复用程度会受到人员工作节奏、材料保存方式和本地口径掌握情况影响。特别是在新员工集中入职期间，综合岗与导师既要保障本职业务和现场接待，又要处理大量重复、标准的咨询，容易出现答复分散、重点遗漏或后续追踪不足。建设智能体并非削弱人工服务，而是将人工精力从低价值重复解释中释放出来，形成“智能体先答、人工兜底、运营持续优化”的协同模式。</w:t>
      </w:r>
    </w:p>
    <w:p>
      <w:pPr>
        <w:spacing w:before="220" w:after="100" w:line="288" w:lineRule="auto"/>
        <w:keepNext/>
      </w:pPr>
      <w:r>
        <w:rPr>
          <w:rFonts w:ascii="黑体" w:hAnsi="黑体" w:eastAsia="黑体"/>
          <w:b/>
          <w:i w:val="0"/>
          <w:color w:val="1F4E78"/>
          <w:sz w:val="26"/>
        </w:rPr>
        <w:t>1.3 核心痛点分析</w:t>
      </w:r>
    </w:p>
    <w:p>
      <w:pPr>
        <w:spacing w:before="0" w:after="80" w:line="360" w:lineRule="auto"/>
        <w:ind w:firstLine="420"/>
        <w:keepLines/>
      </w:pPr>
      <w:r>
        <w:rPr>
          <w:rFonts w:ascii="仿宋_GB2312" w:hAnsi="仿宋_GB2312" w:eastAsia="仿宋_GB2312"/>
          <w:b w:val="0"/>
          <w:i w:val="0"/>
          <w:color w:val="000000"/>
          <w:sz w:val="21"/>
        </w:rPr>
        <w:t>上述问题并非单点的资料查找困难，而是贯穿知识组织、服务响应、口径传达和运营更新的系统性挑战。为确保后续建设聚焦高频、标准、低风险且可验证的场景，现从具体表现、影响范围、业务损耗和根因四个维度对核心痛点进行拆解。</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680"/>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编号</w:t>
            </w:r>
          </w:p>
        </w:tc>
        <w:tc>
          <w:tcPr>
            <w:tcW w:type="dxa" w:w="1247"/>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痛点</w:t>
            </w:r>
          </w:p>
        </w:tc>
        <w:tc>
          <w:tcPr>
            <w:tcW w:type="dxa" w:w="2097"/>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具体表现</w:t>
            </w:r>
          </w:p>
        </w:tc>
        <w:tc>
          <w:tcPr>
            <w:tcW w:type="dxa" w:w="170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影响范围</w:t>
            </w:r>
          </w:p>
        </w:tc>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业务损耗</w:t>
            </w:r>
          </w:p>
        </w:tc>
        <w:tc>
          <w:tcPr>
            <w:tcW w:type="dxa" w:w="2097"/>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根因</w:t>
            </w:r>
          </w:p>
        </w:tc>
      </w:tr>
      <w:tr>
        <w:trPr>
          <w:cantSplit/>
        </w:trPr>
        <w:tc>
          <w:tcPr>
            <w:tcW w:type="dxa" w:w="68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P-01</w:t>
            </w:r>
          </w:p>
        </w:tc>
        <w:tc>
          <w:tcPr>
            <w:tcW w:type="dxa" w:w="12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新员工信息获取成本高</w:t>
            </w:r>
          </w:p>
        </w:tc>
        <w:tc>
          <w:tcPr>
            <w:tcW w:type="dxa" w:w="209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新员工面对多来源、不同版本的材料，难以判断优先级和适用范围，常出现“找不到、看不懂、问不准”。</w:t>
            </w:r>
          </w:p>
        </w:tc>
        <w:tc>
          <w:tcPr>
            <w:tcW w:type="dxa" w:w="170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新入职员工；入职及适岗阶段的高频事项。</w:t>
            </w:r>
          </w:p>
        </w:tc>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重复翻阅材料、等待答复、反复确认，拉长融入和办理周期。</w:t>
            </w:r>
          </w:p>
        </w:tc>
        <w:tc>
          <w:tcPr>
            <w:tcW w:type="dxa" w:w="209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知识分散、缺少统一入口，且未按岗位与入职阶段组织。</w:t>
            </w:r>
          </w:p>
        </w:tc>
      </w:tr>
      <w:tr>
        <w:trPr>
          <w:cantSplit/>
        </w:trPr>
        <w:tc>
          <w:tcPr>
            <w:tcW w:type="dxa" w:w="68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P-02</w:t>
            </w:r>
          </w:p>
        </w:tc>
        <w:tc>
          <w:tcPr>
            <w:tcW w:type="dxa" w:w="12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综合岗重复答疑占用精力</w:t>
            </w:r>
          </w:p>
        </w:tc>
        <w:tc>
          <w:tcPr>
            <w:tcW w:type="dxa" w:w="209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考勤、福利、材料签署、系统入口等问题重复出现，综合岗需要反复检索、复制回复、发送邮件或链接。</w:t>
            </w:r>
          </w:p>
        </w:tc>
        <w:tc>
          <w:tcPr>
            <w:tcW w:type="dxa" w:w="170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支行综合岗、HR协同人员、带教导师。</w:t>
            </w:r>
          </w:p>
        </w:tc>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人工响应受工作时间影响；重复咨询挤占核心业务处理和带教时间。</w:t>
            </w:r>
          </w:p>
        </w:tc>
        <w:tc>
          <w:tcPr>
            <w:tcW w:type="dxa" w:w="209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标准问题未被沉淀为可自助查询、可持续更新的服务能力。</w:t>
            </w:r>
          </w:p>
        </w:tc>
      </w:tr>
      <w:tr>
        <w:trPr>
          <w:cantSplit/>
        </w:trPr>
        <w:tc>
          <w:tcPr>
            <w:tcW w:type="dxa" w:w="68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P-03</w:t>
            </w:r>
          </w:p>
        </w:tc>
        <w:tc>
          <w:tcPr>
            <w:tcW w:type="dxa" w:w="12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本地化口径难以精准传达</w:t>
            </w:r>
          </w:p>
        </w:tc>
        <w:tc>
          <w:tcPr>
            <w:tcW w:type="dxa" w:w="209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全行通用内容无法覆盖上海分行和支行差异化流程，错误或泛化回答会引发二次确认。</w:t>
            </w:r>
          </w:p>
        </w:tc>
        <w:tc>
          <w:tcPr>
            <w:tcW w:type="dxa" w:w="170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新员工、综合岗、业务条线。</w:t>
            </w:r>
          </w:p>
        </w:tc>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口径不一致、材料遗漏、误操作风险上升。</w:t>
            </w:r>
          </w:p>
        </w:tc>
        <w:tc>
          <w:tcPr>
            <w:tcW w:type="dxa" w:w="209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分行制度、支行规则、岗位指南尚未形成分层、受控的专属知识体系。</w:t>
            </w:r>
          </w:p>
        </w:tc>
      </w:tr>
      <w:tr>
        <w:trPr>
          <w:cantSplit/>
        </w:trPr>
        <w:tc>
          <w:tcPr>
            <w:tcW w:type="dxa" w:w="68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P-04</w:t>
            </w:r>
          </w:p>
        </w:tc>
        <w:tc>
          <w:tcPr>
            <w:tcW w:type="dxa" w:w="12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知识更新与经验沉淀不足</w:t>
            </w:r>
          </w:p>
        </w:tc>
        <w:tc>
          <w:tcPr>
            <w:tcW w:type="dxa" w:w="209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制度更新依赖人工通知和文档替换，历史高频问题、异常案例难以系统回收。</w:t>
            </w:r>
          </w:p>
        </w:tc>
        <w:tc>
          <w:tcPr>
            <w:tcW w:type="dxa" w:w="170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制度维护部门、综合岗、全体新员工。</w:t>
            </w:r>
          </w:p>
        </w:tc>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新旧版本混用；相同问题持续重复出现。</w:t>
            </w:r>
          </w:p>
        </w:tc>
        <w:tc>
          <w:tcPr>
            <w:tcW w:type="dxa" w:w="209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缺少“发布—审核—生效—反馈—优化”的知识运营闭环。</w:t>
            </w:r>
          </w:p>
        </w:tc>
      </w:tr>
    </w:tbl>
    <w:p>
      <w:pPr>
        <w:spacing w:after="20"/>
      </w:pPr>
    </w:p>
    <w:p>
      <w:pPr>
        <w:spacing w:before="220" w:after="100" w:line="288" w:lineRule="auto"/>
        <w:keepNext/>
      </w:pPr>
      <w:r>
        <w:rPr>
          <w:rFonts w:ascii="黑体" w:hAnsi="黑体" w:eastAsia="黑体"/>
          <w:b/>
          <w:i w:val="0"/>
          <w:color w:val="1F4E78"/>
          <w:sz w:val="26"/>
        </w:rPr>
        <w:t>1.4 建设必要性</w:t>
      </w:r>
    </w:p>
    <w:p>
      <w:pPr>
        <w:spacing w:before="0" w:after="80" w:line="360" w:lineRule="auto"/>
        <w:ind w:firstLine="420"/>
        <w:keepLines/>
      </w:pPr>
      <w:r>
        <w:rPr>
          <w:rFonts w:ascii="仿宋_GB2312" w:hAnsi="仿宋_GB2312" w:eastAsia="仿宋_GB2312"/>
          <w:b w:val="0"/>
          <w:i w:val="0"/>
          <w:color w:val="000000"/>
          <w:sz w:val="21"/>
        </w:rPr>
        <w:t>本项目不是简单增加一个问答入口，而是以“分行专属、依据可查、行动可落地、例外可转人工”为原则重构新员工服务方式。传统系统改造更擅长固定表单和规则流转，难以覆盖制度文本理解、自然语言提问、跨材料关联和场景化解释；单纯增加人力则无法解决跨时间、跨网点、口径一致和知识沉淀问题。</w:t>
      </w:r>
    </w:p>
    <w:p>
      <w:pPr>
        <w:spacing w:before="0" w:after="80" w:line="360" w:lineRule="auto"/>
        <w:ind w:firstLine="420"/>
        <w:keepLines/>
      </w:pPr>
      <w:r>
        <w:rPr>
          <w:rFonts w:ascii="仿宋_GB2312" w:hAnsi="仿宋_GB2312" w:eastAsia="仿宋_GB2312"/>
          <w:b w:val="0"/>
          <w:i w:val="0"/>
          <w:color w:val="000000"/>
          <w:sz w:val="21"/>
        </w:rPr>
        <w:t>从员工体验视角看，入职阶段的首轮服务质量直接影响新员工对组织流程、协同效率和支持氛围的感知。通过将高频事项前置为场景化待办，将制度语言转化为易理解的办理步骤，并在关键节点提供可追溯的责任部门与入口，可减少员工在不确定状态下的等待和反复确认。从管理视角看，统一知识口径、明确更新责任和沉淀问题数据，也为后续制度宣导优化、流程简化和人才带教改进提供了可量化的依据。</w:t>
      </w:r>
    </w:p>
    <w:p>
      <w:pPr>
        <w:pStyle w:val="ListBullet"/>
        <w:spacing w:after="60" w:line="324" w:lineRule="auto"/>
        <w:ind w:left="420" w:hanging="204"/>
      </w:pPr>
      <w:r>
        <w:rPr>
          <w:rFonts w:ascii="仿宋_GB2312" w:hAnsi="仿宋_GB2312" w:eastAsia="仿宋_GB2312"/>
          <w:b w:val="0"/>
          <w:i w:val="0"/>
          <w:color w:val="000000"/>
          <w:sz w:val="21"/>
        </w:rPr>
        <w:t>满足数字化员工服务要求：把标准化、重复性信息服务从人工响应转为自助服务，提升资源使用效率。</w:t>
      </w:r>
    </w:p>
    <w:p>
      <w:pPr>
        <w:pStyle w:val="ListBullet"/>
        <w:spacing w:after="60" w:line="324" w:lineRule="auto"/>
        <w:ind w:left="420" w:hanging="204"/>
      </w:pPr>
      <w:r>
        <w:rPr>
          <w:rFonts w:ascii="仿宋_GB2312" w:hAnsi="仿宋_GB2312" w:eastAsia="仿宋_GB2312"/>
          <w:b w:val="0"/>
          <w:i w:val="0"/>
          <w:color w:val="000000"/>
          <w:sz w:val="21"/>
        </w:rPr>
        <w:t>强化合规与一致性：以有效版本的分行与支行文件为依据，统一对外答复口径，并保留转人工与审计机制。</w:t>
      </w:r>
    </w:p>
    <w:p>
      <w:pPr>
        <w:pStyle w:val="ListBullet"/>
        <w:spacing w:after="60" w:line="324" w:lineRule="auto"/>
        <w:ind w:left="420" w:hanging="204"/>
      </w:pPr>
      <w:r>
        <w:rPr>
          <w:rFonts w:ascii="仿宋_GB2312" w:hAnsi="仿宋_GB2312" w:eastAsia="仿宋_GB2312"/>
          <w:b w:val="0"/>
          <w:i w:val="0"/>
          <w:color w:val="000000"/>
          <w:sz w:val="21"/>
        </w:rPr>
        <w:t>支持员工能力转型：让综合岗和导师从重复解释中释放，专注带教、实操辅导、异常事项处理与员工成长。</w:t>
      </w:r>
    </w:p>
    <w:p>
      <w:pPr>
        <w:pStyle w:val="ListBullet"/>
        <w:spacing w:after="60" w:line="324" w:lineRule="auto"/>
        <w:ind w:left="420" w:hanging="204"/>
      </w:pPr>
      <w:r>
        <w:rPr>
          <w:rFonts w:ascii="仿宋_GB2312" w:hAnsi="仿宋_GB2312" w:eastAsia="仿宋_GB2312"/>
          <w:b w:val="0"/>
          <w:i w:val="0"/>
          <w:color w:val="000000"/>
          <w:sz w:val="21"/>
        </w:rPr>
        <w:t>形成可复用资产：将知识目录、问答模板、运营规则、场景流程沉淀为后续其他员工服务场景可复用的能力。</w:t>
      </w:r>
    </w:p>
    <w:p>
      <w:pPr>
        <w:spacing w:before="300" w:after="160" w:line="276" w:lineRule="auto"/>
        <w:pBdr>
          <w:bottom w:val="single" w:sz="10" w:space="5" w:color="1F4E78"/>
        </w:pBdr>
        <w:keepNext/>
      </w:pPr>
      <w:r>
        <w:rPr>
          <w:rFonts w:ascii="黑体" w:hAnsi="黑体" w:eastAsia="黑体"/>
          <w:b/>
          <w:i w:val="0"/>
          <w:color w:val="1F4E78"/>
          <w:sz w:val="32"/>
        </w:rPr>
        <w:t>模块二：业务需求与目标定义</w:t>
      </w:r>
    </w:p>
    <w:p>
      <w:pPr>
        <w:spacing w:before="220" w:after="100" w:line="288" w:lineRule="auto"/>
        <w:keepNext/>
      </w:pPr>
      <w:r>
        <w:rPr>
          <w:rFonts w:ascii="黑体" w:hAnsi="黑体" w:eastAsia="黑体"/>
          <w:b/>
          <w:i w:val="0"/>
          <w:color w:val="1F4E78"/>
          <w:sz w:val="26"/>
        </w:rPr>
        <w:t>2.1 目标用户画像</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角色</w:t>
            </w:r>
          </w:p>
        </w:tc>
        <w:tc>
          <w:tcPr>
            <w:tcW w:type="dxa" w:w="2835"/>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使用方式与频率</w:t>
            </w:r>
          </w:p>
        </w:tc>
        <w:tc>
          <w:tcPr>
            <w:tcW w:type="dxa" w:w="238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使用环境</w:t>
            </w:r>
          </w:p>
        </w:tc>
        <w:tc>
          <w:tcPr>
            <w:tcW w:type="dxa" w:w="2608"/>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核心诉求</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新入职员工（主用户）</w:t>
            </w:r>
          </w:p>
        </w:tc>
        <w:tc>
          <w:tcPr>
            <w:tcW w:type="dxa" w:w="283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在收到入职通知、报到、岗位适应、试用期及转正等阶段，按需查询流程、制度、材料、岗位操作与福利信息。</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办公电脑、移动端或行内统一服务入口；高频问题期望即时响应。</w:t>
            </w:r>
          </w:p>
        </w:tc>
        <w:tc>
          <w:tcPr>
            <w:tcW w:type="dxa" w:w="26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获得分行专属、清晰且可执行的办事指引，减少等待与反复确认。</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支行综合岗 / HR协同人员</w:t>
            </w:r>
          </w:p>
        </w:tc>
        <w:tc>
          <w:tcPr>
            <w:tcW w:type="dxa" w:w="283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维护知识有效性、处理需人工确认的例外事项，查看高频问题与未命中问题。</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办公电脑；以审核、维护和服务运营为主。</w:t>
            </w:r>
          </w:p>
        </w:tc>
        <w:tc>
          <w:tcPr>
            <w:tcW w:type="dxa" w:w="26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减少重复咨询，保障制度口径与材料入口准确。</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带教导师 / 岗位负责人</w:t>
            </w:r>
          </w:p>
        </w:tc>
        <w:tc>
          <w:tcPr>
            <w:tcW w:type="dxa" w:w="283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对新员工开展实操带教，补充岗位特有经验，处理智能体无法覆盖的专业问题。</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办公电脑或移动端；在带教节点使用。</w:t>
            </w:r>
          </w:p>
        </w:tc>
        <w:tc>
          <w:tcPr>
            <w:tcW w:type="dxa" w:w="26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将精力集中于实操演练、客户沟通和能力培养。</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管理与制度维护人员</w:t>
            </w:r>
          </w:p>
        </w:tc>
        <w:tc>
          <w:tcPr>
            <w:tcW w:type="dxa" w:w="283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关注服务覆盖、知识更新、员工反馈和风险情况。</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管理端看板或定期运营报告。</w:t>
            </w:r>
          </w:p>
        </w:tc>
        <w:tc>
          <w:tcPr>
            <w:tcW w:type="dxa" w:w="26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获得可量化的员工服务与知识运营改进依据。</w:t>
            </w:r>
          </w:p>
        </w:tc>
      </w:tr>
    </w:tbl>
    <w:p>
      <w:pPr>
        <w:spacing w:after="20"/>
      </w:pPr>
    </w:p>
    <w:p>
      <w:pPr>
        <w:spacing w:before="220" w:after="100" w:line="288" w:lineRule="auto"/>
        <w:keepNext/>
      </w:pPr>
      <w:r>
        <w:rPr>
          <w:rFonts w:ascii="黑体" w:hAnsi="黑体" w:eastAsia="黑体"/>
          <w:b/>
          <w:i w:val="0"/>
          <w:color w:val="1F4E78"/>
          <w:sz w:val="26"/>
        </w:rPr>
        <w:t>2.2 典型业务场景：新员工的“入职第一周”</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环节</w:t>
            </w:r>
          </w:p>
        </w:tc>
        <w:tc>
          <w:tcPr>
            <w:tcW w:type="dxa" w:w="782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业务描述</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触发条件</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新员工收到报到通知，需在规定时限内完成材料签署、系统开通、考勤设置及岗位学习准备。</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交互过程</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新员工可直接提问“入职第一周要做什么？”或进入“入职材料签署”场景。智能体先识别员工所属支行、岗位和入职阶段，再基于已授权知识输出待办清单。</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输出结果</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按优先级展示事项名称、办理步骤、需准备材料、办理时限、注意事项、负责部门及已授权的系统/云盘链接；如知识库无明确依据或涉及审批，提示联系对应责任人。</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后续动作</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新员工按指引办理并可继续追问；综合岗仅处理异常、补充说明或需人工确认事项。未解决问题与低满意回答自动进入知识优化清单。</w:t>
            </w:r>
          </w:p>
        </w:tc>
      </w:tr>
    </w:tbl>
    <w:p>
      <w:pPr>
        <w:spacing w:after="20"/>
      </w:pPr>
    </w:p>
    <w:p>
      <w:pPr>
        <w:spacing w:before="220" w:after="100" w:line="288" w:lineRule="auto"/>
        <w:keepNext/>
      </w:pPr>
      <w:r>
        <w:rPr>
          <w:rFonts w:ascii="黑体" w:hAnsi="黑体" w:eastAsia="黑体"/>
          <w:b/>
          <w:i w:val="0"/>
          <w:color w:val="1F4E78"/>
          <w:sz w:val="26"/>
        </w:rPr>
        <w:t>2.3 功能需求清单</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623"/>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编号</w:t>
            </w:r>
          </w:p>
        </w:tc>
        <w:tc>
          <w:tcPr>
            <w:tcW w:type="dxa" w:w="133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功能名称</w:t>
            </w:r>
          </w:p>
        </w:tc>
        <w:tc>
          <w:tcPr>
            <w:tcW w:type="dxa" w:w="3090"/>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功能描述</w:t>
            </w:r>
          </w:p>
        </w:tc>
        <w:tc>
          <w:tcPr>
            <w:tcW w:type="dxa" w:w="708"/>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优先级</w:t>
            </w:r>
          </w:p>
        </w:tc>
        <w:tc>
          <w:tcPr>
            <w:tcW w:type="dxa" w:w="2863"/>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业务验收标准</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F-001</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分行专属智能问答</w:t>
            </w:r>
          </w:p>
        </w:tc>
        <w:tc>
          <w:tcPr>
            <w:tcW w:type="dxa" w:w="30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支持围绕入职流程、薪酬福利、考勤规则、日常管理、岗位指引等自然语言提问，优先引用上海分行及支行有效知识。</w:t>
            </w:r>
          </w:p>
        </w:tc>
        <w:tc>
          <w:tcPr>
            <w:tcW w:type="dxa" w:w="7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高</w:t>
            </w:r>
          </w:p>
        </w:tc>
        <w:tc>
          <w:tcPr>
            <w:tcW w:type="dxa" w:w="286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在授权知识范围内给出清晰答案；每项关键结论可定位至来源文件/章节或责任部门。</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F-002</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场景化入职待办引导</w:t>
            </w:r>
          </w:p>
        </w:tc>
        <w:tc>
          <w:tcPr>
            <w:tcW w:type="dxa" w:w="309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围绕“入职第一周、材料签署、系统开通、考勤福利、岗位学习、转正准备”等高频场景输出分步骤清单。</w:t>
            </w:r>
          </w:p>
        </w:tc>
        <w:tc>
          <w:tcPr>
            <w:tcW w:type="dxa" w:w="7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高</w:t>
            </w:r>
          </w:p>
        </w:tc>
        <w:tc>
          <w:tcPr>
            <w:tcW w:type="dxa" w:w="286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用户一次获取事项、材料、时限、入口与下一步；遗漏或需人工确认事项有明确提示。</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F-003</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材料清单与办事入口聚合</w:t>
            </w:r>
          </w:p>
        </w:tc>
        <w:tc>
          <w:tcPr>
            <w:tcW w:type="dxa" w:w="30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整合各条线需签署的责任书、合规书等材料信息，并嵌入已授权的系统入口或云盘链接。</w:t>
            </w:r>
          </w:p>
        </w:tc>
        <w:tc>
          <w:tcPr>
            <w:tcW w:type="dxa" w:w="7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高</w:t>
            </w:r>
          </w:p>
        </w:tc>
        <w:tc>
          <w:tcPr>
            <w:tcW w:type="dxa" w:w="286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同一场景下材料清单完整、链接有效、责任部门明确；新增或变更材料可按流程更新。</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F-004</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多轮对话与上下文理解</w:t>
            </w:r>
          </w:p>
        </w:tc>
        <w:tc>
          <w:tcPr>
            <w:tcW w:type="dxa" w:w="309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支持基于前文继续追问，例如询问“转正材料有哪些”后继续问“体检报告去哪交”。</w:t>
            </w:r>
          </w:p>
        </w:tc>
        <w:tc>
          <w:tcPr>
            <w:tcW w:type="dxa" w:w="7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中</w:t>
            </w:r>
          </w:p>
        </w:tc>
        <w:tc>
          <w:tcPr>
            <w:tcW w:type="dxa" w:w="286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用户在同一会话中无需重复完整背景，智能体能保持已确认场景并进行澄清。</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F-005</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岗位化内容推荐</w:t>
            </w:r>
          </w:p>
        </w:tc>
        <w:tc>
          <w:tcPr>
            <w:tcW w:type="dxa" w:w="30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根据授权获取或用户选择的岗位、支行和入职阶段，展示适用的基础学习内容与常见事项。</w:t>
            </w:r>
          </w:p>
        </w:tc>
        <w:tc>
          <w:tcPr>
            <w:tcW w:type="dxa" w:w="7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中</w:t>
            </w:r>
          </w:p>
        </w:tc>
        <w:tc>
          <w:tcPr>
            <w:tcW w:type="dxa" w:w="286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柜员、客户经理及中后台等岗位获得差异化、不过度泛化的内容。</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F-006</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转人工与反馈闭环</w:t>
            </w:r>
          </w:p>
        </w:tc>
        <w:tc>
          <w:tcPr>
            <w:tcW w:type="dxa" w:w="309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对无依据、低置信、涉审批或敏感事项，提供责任部门与转人工路径；支持用户评价。</w:t>
            </w:r>
          </w:p>
        </w:tc>
        <w:tc>
          <w:tcPr>
            <w:tcW w:type="dxa" w:w="7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高</w:t>
            </w:r>
          </w:p>
        </w:tc>
        <w:tc>
          <w:tcPr>
            <w:tcW w:type="dxa" w:w="286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不编造答案；未解决事项可被记录、分派、跟踪并作为知识优化依据。</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F-007</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知识运营与版本管理</w:t>
            </w:r>
          </w:p>
        </w:tc>
        <w:tc>
          <w:tcPr>
            <w:tcW w:type="dxa" w:w="30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支持知识文件审核、发布、生效、下线、权限配置及问答反馈分析。</w:t>
            </w:r>
          </w:p>
        </w:tc>
        <w:tc>
          <w:tcPr>
            <w:tcW w:type="dxa" w:w="7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高</w:t>
            </w:r>
          </w:p>
        </w:tc>
        <w:tc>
          <w:tcPr>
            <w:tcW w:type="dxa" w:w="286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过期内容不被引用；更新后可追踪生效范围和影响问题。</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F-008</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服务运营看板</w:t>
            </w:r>
          </w:p>
        </w:tc>
        <w:tc>
          <w:tcPr>
            <w:tcW w:type="dxa" w:w="309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展示使用量、高频问题、未命中率、满意度、转人工原因及知识更新情况。</w:t>
            </w:r>
          </w:p>
        </w:tc>
        <w:tc>
          <w:tcPr>
            <w:tcW w:type="dxa" w:w="7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低</w:t>
            </w:r>
          </w:p>
        </w:tc>
        <w:tc>
          <w:tcPr>
            <w:tcW w:type="dxa" w:w="286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管理人员可按周期查看服务成效并识别优化重点。</w:t>
            </w:r>
          </w:p>
        </w:tc>
      </w:tr>
    </w:tbl>
    <w:p>
      <w:pPr>
        <w:spacing w:after="20"/>
      </w:pPr>
    </w:p>
    <w:p>
      <w:pPr>
        <w:spacing w:before="220" w:after="100" w:line="288" w:lineRule="auto"/>
        <w:keepNext/>
      </w:pPr>
      <w:r>
        <w:rPr>
          <w:rFonts w:ascii="黑体" w:hAnsi="黑体" w:eastAsia="黑体"/>
          <w:b/>
          <w:i w:val="0"/>
          <w:color w:val="1F4E78"/>
          <w:sz w:val="26"/>
        </w:rPr>
        <w:t>2.4 业务目标与成功标准</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3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维度</w:t>
            </w:r>
          </w:p>
        </w:tc>
        <w:tc>
          <w:tcPr>
            <w:tcW w:type="dxa" w:w="198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指标</w:t>
            </w:r>
          </w:p>
        </w:tc>
        <w:tc>
          <w:tcPr>
            <w:tcW w:type="dxa" w:w="2948"/>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目标值</w:t>
            </w:r>
          </w:p>
        </w:tc>
        <w:tc>
          <w:tcPr>
            <w:tcW w:type="dxa" w:w="255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测算/验收依据</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知识与质量</w:t>
            </w:r>
          </w:p>
        </w:tc>
        <w:tc>
          <w:tcPr>
            <w:tcW w:type="dxa" w:w="198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分行专属制度文档覆盖率</w:t>
            </w:r>
          </w:p>
        </w:tc>
        <w:tc>
          <w:tcPr>
            <w:tcW w:type="dxa" w:w="294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试点范围内纳入并完成审核的分行专属制度、操作指南、FAQ等材料覆盖率达到 100%。</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以试点知识目录和发布台账核验。</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服务质量</w:t>
            </w:r>
          </w:p>
        </w:tc>
        <w:tc>
          <w:tcPr>
            <w:tcW w:type="dxa" w:w="198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授权范围内问答准确率</w:t>
            </w:r>
          </w:p>
        </w:tc>
        <w:tc>
          <w:tcPr>
            <w:tcW w:type="dxa" w:w="294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达到或高于 90%，且关键流程、材料、时限类问题须进行人工抽检。</w:t>
            </w:r>
          </w:p>
        </w:tc>
        <w:tc>
          <w:tcPr>
            <w:tcW w:type="dxa" w:w="255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基于脱敏标准题集、人工复核和试运行日志评估。</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效率</w:t>
            </w:r>
          </w:p>
        </w:tc>
        <w:tc>
          <w:tcPr>
            <w:tcW w:type="dxa" w:w="198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新员工自主查询率</w:t>
            </w:r>
          </w:p>
        </w:tc>
        <w:tc>
          <w:tcPr>
            <w:tcW w:type="dxa" w:w="294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达到或高于 80%。</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按试点新员工中通过智能体获取指引并完成自助办理的人数比例测算。</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效率</w:t>
            </w:r>
          </w:p>
        </w:tc>
        <w:tc>
          <w:tcPr>
            <w:tcW w:type="dxa" w:w="198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综合岗重复咨询量</w:t>
            </w:r>
          </w:p>
        </w:tc>
        <w:tc>
          <w:tcPr>
            <w:tcW w:type="dxa" w:w="294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较试点前基线下降 60%。</w:t>
            </w:r>
          </w:p>
        </w:tc>
        <w:tc>
          <w:tcPr>
            <w:tcW w:type="dxa" w:w="255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对比相同口径下的咨询登记、工单或群内高频问题统计。</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时效</w:t>
            </w:r>
          </w:p>
        </w:tc>
        <w:tc>
          <w:tcPr>
            <w:tcW w:type="dxa" w:w="198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入职材料办理周期</w:t>
            </w:r>
          </w:p>
        </w:tc>
        <w:tc>
          <w:tcPr>
            <w:tcW w:type="dxa" w:w="294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在流程与责任边界不变的前提下，目标控制在 5 个工作日内。</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以试点员工从收到清单到完成材料提交的记录测算。</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体验</w:t>
            </w:r>
          </w:p>
        </w:tc>
        <w:tc>
          <w:tcPr>
            <w:tcW w:type="dxa" w:w="198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新员工满意度</w:t>
            </w:r>
          </w:p>
        </w:tc>
        <w:tc>
          <w:tcPr>
            <w:tcW w:type="dxa" w:w="294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达到或高于 90%。</w:t>
            </w:r>
          </w:p>
        </w:tc>
        <w:tc>
          <w:tcPr>
            <w:tcW w:type="dxa" w:w="255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通过智能体评价、试点问卷与访谈综合评估。</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可用性</w:t>
            </w:r>
          </w:p>
        </w:tc>
        <w:tc>
          <w:tcPr>
            <w:tcW w:type="dxa" w:w="198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服务可用性</w:t>
            </w:r>
          </w:p>
        </w:tc>
        <w:tc>
          <w:tcPr>
            <w:tcW w:type="dxa" w:w="294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面向已开放场景提供 7×24 小时查询服务；异常时提供明确降级与人工指引。</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通过运行监测、故障演练与服务日志验证。</w:t>
            </w:r>
          </w:p>
        </w:tc>
      </w:tr>
    </w:tbl>
    <w:p>
      <w:pPr>
        <w:spacing w:after="20"/>
      </w:pPr>
    </w:p>
    <w:p>
      <w:pPr>
        <w:spacing w:before="0" w:after="80" w:line="360" w:lineRule="auto"/>
        <w:keepLines/>
      </w:pPr>
      <w:r>
        <w:rPr>
          <w:rFonts w:ascii="仿宋_GB2312" w:hAnsi="仿宋_GB2312" w:eastAsia="仿宋_GB2312"/>
          <w:b w:val="0"/>
          <w:i w:val="0"/>
          <w:color w:val="595959"/>
          <w:sz w:val="21"/>
        </w:rPr>
        <w:t>说明：以上目标以试点范围、数据可获得性和制度流程不发生重大调整为前提。正式立项后，应在需求调研阶段补齐咨询量、办理周期、满意度等现状基线，并将“转正考核”等受多因素影响的结果作为观察指标，不将其单独归因于智能体。</w:t>
      </w:r>
    </w:p>
    <w:p>
      <w:pPr>
        <w:spacing w:before="300" w:after="160" w:line="276" w:lineRule="auto"/>
        <w:pBdr>
          <w:bottom w:val="single" w:sz="10" w:space="5" w:color="1F4E78"/>
        </w:pBdr>
        <w:keepNext/>
      </w:pPr>
      <w:r>
        <w:rPr>
          <w:rFonts w:ascii="黑体" w:hAnsi="黑体" w:eastAsia="黑体"/>
          <w:b/>
          <w:i w:val="0"/>
          <w:color w:val="1F4E78"/>
          <w:sz w:val="32"/>
        </w:rPr>
        <w:t>模块三：解决方案设计</w:t>
      </w:r>
    </w:p>
    <w:p>
      <w:pPr>
        <w:spacing w:before="220" w:after="100" w:line="288" w:lineRule="auto"/>
        <w:keepNext/>
      </w:pPr>
      <w:r>
        <w:rPr>
          <w:rFonts w:ascii="黑体" w:hAnsi="黑体" w:eastAsia="黑体"/>
          <w:b/>
          <w:i w:val="0"/>
          <w:color w:val="1F4E78"/>
          <w:sz w:val="26"/>
        </w:rPr>
        <w:t>3.1 方案整体思路</w:t>
      </w:r>
    </w:p>
    <w:p>
      <w:pPr>
        <w:spacing w:before="0" w:after="80" w:line="360" w:lineRule="auto"/>
        <w:ind w:firstLine="420"/>
        <w:keepLines/>
      </w:pPr>
      <w:r>
        <w:rPr>
          <w:rFonts w:ascii="仿宋_GB2312" w:hAnsi="仿宋_GB2312" w:eastAsia="仿宋_GB2312"/>
          <w:b w:val="0"/>
          <w:i w:val="0"/>
          <w:color w:val="000000"/>
          <w:sz w:val="21"/>
        </w:rPr>
        <w:t>方案围绕“新员工提问—智能体理解场景—匹配分行依据—输出办事指引—人工处理例外—反馈更新知识”的闭环展开。智能体以分行专属知识为优先依据，输出不止是“解释”，还应给出明确的下一步行动；对于无明确依据、涉及审批或敏感信息的问题，坚持不编造、可转人工、可追溯。</w:t>
      </w:r>
    </w:p>
    <w:p>
      <w:r>
        <w:drawing>
          <wp:inline xmlns:a="http://schemas.openxmlformats.org/drawingml/2006/main" xmlns:pic="http://schemas.openxmlformats.org/drawingml/2006/picture">
            <wp:extent cx="5976000" cy="3253600"/>
            <wp:docPr id="1" name="Picture 1"/>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976000" cy="3253600"/>
                    </a:xfrm>
                    <a:prstGeom prst="rect"/>
                  </pic:spPr>
                </pic:pic>
              </a:graphicData>
            </a:graphic>
          </wp:inline>
        </w:drawing>
      </w:r>
    </w:p>
    <w:p>
      <w:pPr>
        <w:spacing w:before="40" w:after="120" w:line="240" w:lineRule="auto"/>
        <w:jc w:val="center"/>
      </w:pPr>
      <w:r>
        <w:rPr>
          <w:rFonts w:ascii="仿宋_GB2312" w:hAnsi="仿宋_GB2312" w:eastAsia="仿宋_GB2312"/>
          <w:b w:val="0"/>
          <w:i w:val="0"/>
          <w:color w:val="595959"/>
          <w:sz w:val="18"/>
        </w:rPr>
        <w:t>图 1 方案概览图：分行专属知识驱动的新员工服务闭环</w:t>
      </w:r>
    </w:p>
    <w:p>
      <w:pPr>
        <w:spacing w:before="220" w:after="100" w:line="288" w:lineRule="auto"/>
        <w:keepNext/>
      </w:pPr>
      <w:r>
        <w:rPr>
          <w:rFonts w:ascii="黑体" w:hAnsi="黑体" w:eastAsia="黑体"/>
          <w:b/>
          <w:i w:val="0"/>
          <w:color w:val="1F4E78"/>
          <w:sz w:val="26"/>
        </w:rPr>
        <w:t>3.2 业务流程优化设计（Before / After）</w:t>
      </w:r>
    </w:p>
    <w:p>
      <w:pPr>
        <w:spacing w:before="0" w:after="80" w:line="360" w:lineRule="auto"/>
        <w:ind w:firstLine="420"/>
        <w:keepLines/>
      </w:pPr>
      <w:r>
        <w:rPr>
          <w:rFonts w:ascii="仿宋_GB2312" w:hAnsi="仿宋_GB2312" w:eastAsia="仿宋_GB2312"/>
          <w:b w:val="0"/>
          <w:i w:val="0"/>
          <w:color w:val="000000"/>
          <w:sz w:val="21"/>
        </w:rPr>
        <w:t>引入智能体后，人工角色不被替代，而是从“重复解释者”转为“规则维护者、例外审核者和成长导师”。标准、重复、低风险的问题由智能体先行处理；涉及制度解释边界、岗位实操、审批判断和敏感信息的事项，仍由责任人员最终确认。</w:t>
      </w:r>
    </w:p>
    <w:p>
      <w:r>
        <w:drawing>
          <wp:inline xmlns:a="http://schemas.openxmlformats.org/drawingml/2006/main" xmlns:pic="http://schemas.openxmlformats.org/drawingml/2006/picture">
            <wp:extent cx="5976000" cy="3486000"/>
            <wp:docPr id="2" name="Picture 2"/>
            <wp:cNvGraphicFramePr>
              <a:graphicFrameLocks noChangeAspect="1"/>
            </wp:cNvGraphicFramePr>
            <a:graphic>
              <a:graphicData uri="http://schemas.openxmlformats.org/drawingml/2006/picture">
                <pic:pic>
                  <pic:nvPicPr>
                    <pic:cNvPr id="0" name="before_after.png"/>
                    <pic:cNvPicPr/>
                  </pic:nvPicPr>
                  <pic:blipFill>
                    <a:blip r:embed="rId12"/>
                    <a:stretch>
                      <a:fillRect/>
                    </a:stretch>
                  </pic:blipFill>
                  <pic:spPr>
                    <a:xfrm>
                      <a:off x="0" y="0"/>
                      <a:ext cx="5976000" cy="3486000"/>
                    </a:xfrm>
                    <a:prstGeom prst="rect"/>
                  </pic:spPr>
                </pic:pic>
              </a:graphicData>
            </a:graphic>
          </wp:inline>
        </w:drawing>
      </w:r>
    </w:p>
    <w:p>
      <w:pPr>
        <w:spacing w:before="40" w:after="120" w:line="240" w:lineRule="auto"/>
        <w:jc w:val="center"/>
      </w:pPr>
      <w:r>
        <w:rPr>
          <w:rFonts w:ascii="仿宋_GB2312" w:hAnsi="仿宋_GB2312" w:eastAsia="仿宋_GB2312"/>
          <w:b w:val="0"/>
          <w:i w:val="0"/>
          <w:color w:val="595959"/>
          <w:sz w:val="18"/>
        </w:rPr>
        <w:t>图 2 业务流程对比图：从人工响应走向智能体协同服务</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3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业务维度</w:t>
            </w:r>
          </w:p>
        </w:tc>
        <w:tc>
          <w:tcPr>
            <w:tcW w:type="dxa" w:w="2835"/>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优化前</w:t>
            </w:r>
          </w:p>
        </w:tc>
        <w:tc>
          <w:tcPr>
            <w:tcW w:type="dxa" w:w="3005"/>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优化后</w:t>
            </w:r>
          </w:p>
        </w:tc>
        <w:tc>
          <w:tcPr>
            <w:tcW w:type="dxa" w:w="266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预期变化</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信息获取</w:t>
            </w:r>
          </w:p>
        </w:tc>
        <w:tc>
          <w:tcPr>
            <w:tcW w:type="dxa" w:w="283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新员工在邮件、文档、群聊和人工咨询间往返查找。</w:t>
            </w:r>
          </w:p>
        </w:tc>
        <w:tc>
          <w:tcPr>
            <w:tcW w:type="dxa" w:w="300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通过自然语言提问或场景入口，获得结构化答案与已授权办事链接。</w:t>
            </w:r>
          </w:p>
        </w:tc>
        <w:tc>
          <w:tcPr>
            <w:tcW w:type="dxa" w:w="266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缩短信息查找路径，降低材料遗漏。</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咨询响应</w:t>
            </w:r>
          </w:p>
        </w:tc>
        <w:tc>
          <w:tcPr>
            <w:tcW w:type="dxa" w:w="283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依赖综合岗或导师工作时间，人工检索后逐项回复。</w:t>
            </w:r>
          </w:p>
        </w:tc>
        <w:tc>
          <w:tcPr>
            <w:tcW w:type="dxa" w:w="300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全天候自动响应；对无依据或特殊事项明确转人工。</w:t>
            </w:r>
          </w:p>
        </w:tc>
        <w:tc>
          <w:tcPr>
            <w:tcW w:type="dxa" w:w="266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标准问题即时答复，人工聚焦例外。</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知识更新</w:t>
            </w:r>
          </w:p>
        </w:tc>
        <w:tc>
          <w:tcPr>
            <w:tcW w:type="dxa" w:w="283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制度变更靠人工通知与文档替换，版本易混用。</w:t>
            </w:r>
          </w:p>
        </w:tc>
        <w:tc>
          <w:tcPr>
            <w:tcW w:type="dxa" w:w="300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按审核、发布、生效、下线机制运营，问答引用有效内容。</w:t>
            </w:r>
          </w:p>
        </w:tc>
        <w:tc>
          <w:tcPr>
            <w:tcW w:type="dxa" w:w="266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统一口径，提升可追溯性。</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员工带教</w:t>
            </w:r>
          </w:p>
        </w:tc>
        <w:tc>
          <w:tcPr>
            <w:tcW w:type="dxa" w:w="283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导师反复解释基础规则，实操带教时间被挤占。</w:t>
            </w:r>
          </w:p>
        </w:tc>
        <w:tc>
          <w:tcPr>
            <w:tcW w:type="dxa" w:w="300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智能体承担基础答疑和学习引导，导师强化实操与能力培养。</w:t>
            </w:r>
          </w:p>
        </w:tc>
        <w:tc>
          <w:tcPr>
            <w:tcW w:type="dxa" w:w="266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提升带教的针对性与高价值投入。</w:t>
            </w:r>
          </w:p>
        </w:tc>
      </w:tr>
    </w:tbl>
    <w:p>
      <w:pPr>
        <w:spacing w:after="20"/>
      </w:pPr>
    </w:p>
    <w:p>
      <w:pPr>
        <w:spacing w:before="220" w:after="100" w:line="288" w:lineRule="auto"/>
        <w:keepNext/>
      </w:pPr>
      <w:r>
        <w:rPr>
          <w:rFonts w:ascii="黑体" w:hAnsi="黑体" w:eastAsia="黑体"/>
          <w:b/>
          <w:i w:val="0"/>
          <w:color w:val="1F4E78"/>
          <w:sz w:val="26"/>
        </w:rPr>
        <w:t>3.3 智能体能力定义</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623"/>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编号</w:t>
            </w:r>
          </w:p>
        </w:tc>
        <w:tc>
          <w:tcPr>
            <w:tcW w:type="dxa" w:w="133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能力名称</w:t>
            </w:r>
          </w:p>
        </w:tc>
        <w:tc>
          <w:tcPr>
            <w:tcW w:type="dxa" w:w="3458"/>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业务描述</w:t>
            </w:r>
          </w:p>
        </w:tc>
        <w:tc>
          <w:tcPr>
            <w:tcW w:type="dxa" w:w="255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对应痛点</w:t>
            </w:r>
          </w:p>
        </w:tc>
        <w:tc>
          <w:tcPr>
            <w:tcW w:type="dxa" w:w="167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对应功能</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A-01</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分行知识理解与依据匹配</w:t>
            </w:r>
          </w:p>
        </w:tc>
        <w:tc>
          <w:tcPr>
            <w:tcW w:type="dxa" w:w="345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理解新员工的自然语言问题，从已审核、已授权的分行/支行/岗位知识中匹配适用依据。</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本地化流程答复泛化、口径不准。</w:t>
            </w:r>
          </w:p>
        </w:tc>
        <w:tc>
          <w:tcPr>
            <w:tcW w:type="dxa" w:w="167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F-001、F-007</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A-02</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场景化办事引导</w:t>
            </w:r>
          </w:p>
        </w:tc>
        <w:tc>
          <w:tcPr>
            <w:tcW w:type="dxa" w:w="345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将制度解释转化为“事项—步骤—材料—时限—入口—注意事项”的可执行清单。</w:t>
            </w:r>
          </w:p>
        </w:tc>
        <w:tc>
          <w:tcPr>
            <w:tcW w:type="dxa" w:w="255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新员工知道规则但不会办、易漏办。</w:t>
            </w:r>
          </w:p>
        </w:tc>
        <w:tc>
          <w:tcPr>
            <w:tcW w:type="dxa" w:w="167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F-002、F-003</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A-03</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材料与入口聚合</w:t>
            </w:r>
          </w:p>
        </w:tc>
        <w:tc>
          <w:tcPr>
            <w:tcW w:type="dxa" w:w="345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按入职阶段和事项汇总责任书、合规书等材料及合法授权的办理链接。</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材料分散、邮件反复发送。</w:t>
            </w:r>
          </w:p>
        </w:tc>
        <w:tc>
          <w:tcPr>
            <w:tcW w:type="dxa" w:w="167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F-003</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A-04</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多轮澄清与上下文理解</w:t>
            </w:r>
          </w:p>
        </w:tc>
        <w:tc>
          <w:tcPr>
            <w:tcW w:type="dxa" w:w="345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在同一会话中关联前文；信息不足时先澄清岗位、支行、时间等关键条件。</w:t>
            </w:r>
          </w:p>
        </w:tc>
        <w:tc>
          <w:tcPr>
            <w:tcW w:type="dxa" w:w="255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重复描述背景、回答不够贴合。</w:t>
            </w:r>
          </w:p>
        </w:tc>
        <w:tc>
          <w:tcPr>
            <w:tcW w:type="dxa" w:w="167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F-004、F-005</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A-05</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安全边界与人工协同</w:t>
            </w:r>
          </w:p>
        </w:tc>
        <w:tc>
          <w:tcPr>
            <w:tcW w:type="dxa" w:w="345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对无依据、低置信、需审批或敏感问题，说明边界、展示责任部门并记录反馈。</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错误回答、越权答复、问题无法闭环。</w:t>
            </w:r>
          </w:p>
        </w:tc>
        <w:tc>
          <w:tcPr>
            <w:tcW w:type="dxa" w:w="167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F-006、F-007</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A-06</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服务运营洞察</w:t>
            </w:r>
          </w:p>
        </w:tc>
        <w:tc>
          <w:tcPr>
            <w:tcW w:type="dxa" w:w="345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统计高频问题、未命中、评价与转人工原因，形成知识优化优先级。</w:t>
            </w:r>
          </w:p>
        </w:tc>
        <w:tc>
          <w:tcPr>
            <w:tcW w:type="dxa" w:w="255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经验无法沉淀、更新缺少依据。</w:t>
            </w:r>
          </w:p>
        </w:tc>
        <w:tc>
          <w:tcPr>
            <w:tcW w:type="dxa" w:w="167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F-007、F-008</w:t>
            </w:r>
          </w:p>
        </w:tc>
      </w:tr>
    </w:tbl>
    <w:p>
      <w:pPr>
        <w:spacing w:after="20"/>
      </w:pPr>
    </w:p>
    <w:p>
      <w:pPr>
        <w:spacing w:before="220" w:after="100" w:line="288" w:lineRule="auto"/>
        <w:keepNext/>
      </w:pPr>
      <w:r>
        <w:rPr>
          <w:rFonts w:ascii="黑体" w:hAnsi="黑体" w:eastAsia="黑体"/>
          <w:b/>
          <w:i w:val="0"/>
          <w:color w:val="1F4E78"/>
          <w:sz w:val="26"/>
        </w:rPr>
        <w:t>3.4 知识与数据需求</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70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知识/数据项</w:t>
            </w:r>
          </w:p>
        </w:tc>
        <w:tc>
          <w:tcPr>
            <w:tcW w:type="dxa" w:w="238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主要内容</w:t>
            </w:r>
          </w:p>
        </w:tc>
        <w:tc>
          <w:tcPr>
            <w:tcW w:type="dxa" w:w="150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数据形态</w:t>
            </w:r>
          </w:p>
        </w:tc>
        <w:tc>
          <w:tcPr>
            <w:tcW w:type="dxa" w:w="201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更新频率</w:t>
            </w:r>
          </w:p>
        </w:tc>
        <w:tc>
          <w:tcPr>
            <w:tcW w:type="dxa" w:w="204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责任方</w:t>
            </w:r>
          </w:p>
        </w:tc>
      </w:tr>
      <w:tr>
        <w:trPr>
          <w:cantSplit/>
        </w:trPr>
        <w:tc>
          <w:tcPr>
            <w:tcW w:type="dxa" w:w="170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分行新员工入职手册</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报到流程、入职阶段任务、联系人及常见问题。</w:t>
            </w:r>
          </w:p>
        </w:tc>
        <w:tc>
          <w:tcPr>
            <w:tcW w:type="dxa" w:w="150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非结构化文档；按章节解析。</w:t>
            </w:r>
          </w:p>
        </w:tc>
        <w:tc>
          <w:tcPr>
            <w:tcW w:type="dxa" w:w="201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制度发布或修订后及时更新；至少按月复核。</w:t>
            </w:r>
          </w:p>
        </w:tc>
        <w:tc>
          <w:tcPr>
            <w:tcW w:type="dxa" w:w="204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分行人力资源/综合管理相关责任部门。</w:t>
            </w:r>
          </w:p>
        </w:tc>
      </w:tr>
      <w:tr>
        <w:trPr>
          <w:cantSplit/>
        </w:trPr>
        <w:tc>
          <w:tcPr>
            <w:tcW w:type="dxa" w:w="170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支行内部规章制度汇编</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支行差异化管理要求、办事路径、联系人信息。</w:t>
            </w:r>
          </w:p>
        </w:tc>
        <w:tc>
          <w:tcPr>
            <w:tcW w:type="dxa" w:w="150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非结构化文档/表格。</w:t>
            </w:r>
          </w:p>
        </w:tc>
        <w:tc>
          <w:tcPr>
            <w:tcW w:type="dxa" w:w="201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发生调整后提交审核；至少按季度复核。</w:t>
            </w:r>
          </w:p>
        </w:tc>
        <w:tc>
          <w:tcPr>
            <w:tcW w:type="dxa" w:w="204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支行综合岗/制度责任人。</w:t>
            </w:r>
          </w:p>
        </w:tc>
      </w:tr>
      <w:tr>
        <w:trPr>
          <w:cantSplit/>
        </w:trPr>
        <w:tc>
          <w:tcPr>
            <w:tcW w:type="dxa" w:w="170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各岗位基础操作指南</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柜员、客户经理、中后台等岗位的基础学习与操作要点。</w:t>
            </w:r>
          </w:p>
        </w:tc>
        <w:tc>
          <w:tcPr>
            <w:tcW w:type="dxa" w:w="150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文档、流程图、FAQ。</w:t>
            </w:r>
          </w:p>
        </w:tc>
        <w:tc>
          <w:tcPr>
            <w:tcW w:type="dxa" w:w="201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业务规则变化后更新；按岗位定期复核。</w:t>
            </w:r>
          </w:p>
        </w:tc>
        <w:tc>
          <w:tcPr>
            <w:tcW w:type="dxa" w:w="204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各业务条线/岗位负责人。</w:t>
            </w:r>
          </w:p>
        </w:tc>
      </w:tr>
      <w:tr>
        <w:trPr>
          <w:cantSplit/>
        </w:trPr>
        <w:tc>
          <w:tcPr>
            <w:tcW w:type="dxa" w:w="170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考勤与福利管理办法</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考勤、假期、福利、薪酬相关的可公开解释内容。</w:t>
            </w:r>
          </w:p>
        </w:tc>
        <w:tc>
          <w:tcPr>
            <w:tcW w:type="dxa" w:w="150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制度文档、FAQ。</w:t>
            </w:r>
          </w:p>
        </w:tc>
        <w:tc>
          <w:tcPr>
            <w:tcW w:type="dxa" w:w="201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政策调整后及时更新。</w:t>
            </w:r>
          </w:p>
        </w:tc>
        <w:tc>
          <w:tcPr>
            <w:tcW w:type="dxa" w:w="204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人力资源相关责任部门。</w:t>
            </w:r>
          </w:p>
        </w:tc>
      </w:tr>
      <w:tr>
        <w:trPr>
          <w:cantSplit/>
        </w:trPr>
        <w:tc>
          <w:tcPr>
            <w:tcW w:type="dxa" w:w="170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历史咨询与FAQ（脱敏）</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高频问题、标准答复、容易误解的问题及例外类型。</w:t>
            </w:r>
          </w:p>
        </w:tc>
        <w:tc>
          <w:tcPr>
            <w:tcW w:type="dxa" w:w="150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结构化表格/工单摘要。</w:t>
            </w:r>
          </w:p>
        </w:tc>
        <w:tc>
          <w:tcPr>
            <w:tcW w:type="dxa" w:w="201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试运行期间按周汇总；稳定后按月运营。</w:t>
            </w:r>
          </w:p>
        </w:tc>
        <w:tc>
          <w:tcPr>
            <w:tcW w:type="dxa" w:w="204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综合岗/运营人员。</w:t>
            </w:r>
          </w:p>
        </w:tc>
      </w:tr>
      <w:tr>
        <w:trPr>
          <w:cantSplit/>
        </w:trPr>
        <w:tc>
          <w:tcPr>
            <w:tcW w:type="dxa" w:w="170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办事入口与材料链接清单</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系统入口、云盘资料、表单、材料模板及适用权限说明。</w:t>
            </w:r>
          </w:p>
        </w:tc>
        <w:tc>
          <w:tcPr>
            <w:tcW w:type="dxa" w:w="150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结构化链接台账。</w:t>
            </w:r>
          </w:p>
        </w:tc>
        <w:tc>
          <w:tcPr>
            <w:tcW w:type="dxa" w:w="201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链接变更后即时更新并定期校验。</w:t>
            </w:r>
          </w:p>
        </w:tc>
        <w:tc>
          <w:tcPr>
            <w:tcW w:type="dxa" w:w="204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入口/材料责任部门。</w:t>
            </w:r>
          </w:p>
        </w:tc>
      </w:tr>
    </w:tbl>
    <w:p>
      <w:pPr>
        <w:spacing w:after="20"/>
      </w:pPr>
    </w:p>
    <w:p>
      <w:pPr>
        <w:spacing w:before="0" w:after="80" w:line="360" w:lineRule="auto"/>
        <w:keepLines/>
      </w:pPr>
      <w:r>
        <w:rPr>
          <w:rFonts w:ascii="仿宋_GB2312" w:hAnsi="仿宋_GB2312" w:eastAsia="仿宋_GB2312"/>
          <w:b w:val="0"/>
          <w:i w:val="0"/>
          <w:color w:val="595959"/>
          <w:sz w:val="21"/>
        </w:rPr>
        <w:t>数据使用原则：仅纳入完成授权和脱敏处理的知识与数据；新员工身份、岗位、支行等个性化信息应遵循最小必要原则获取与使用；涉及个人隐私、薪酬明细、审批状态等敏感信息的查询，不在首期自动答复范围内，需按行内制度另行评估。</w:t>
      </w:r>
    </w:p>
    <w:p>
      <w:pPr>
        <w:spacing w:before="220" w:after="100" w:line="288" w:lineRule="auto"/>
        <w:keepNext/>
      </w:pPr>
      <w:r>
        <w:rPr>
          <w:rFonts w:ascii="黑体" w:hAnsi="黑体" w:eastAsia="黑体"/>
          <w:b/>
          <w:i w:val="0"/>
          <w:color w:val="1F4E78"/>
          <w:sz w:val="26"/>
        </w:rPr>
        <w:t>3.5 与现有系统的关系</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关系维度</w:t>
            </w:r>
          </w:p>
        </w:tc>
        <w:tc>
          <w:tcPr>
            <w:tcW w:type="dxa" w:w="782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方案说明</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访问入口</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建议优先在行内已有智能体平台或统一员工服务入口内嵌，避免新增分散账号与入口；移动端可作为后续扩展。</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数据与知识衔接</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首期以已电子化、可审核的制度文档、FAQ和链接台账为主；对需要动态获取的事项，待接口与权限条件成熟后逐步接入。</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结果回写</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首期不直接回写审批或业务系统，仅沉淀问答日志、用户评价、未命中问题和知识更新任务；后续可评估与培训、工单等系统的合规对接。</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与既有AI能力的关系</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复用行内“智会小浦”等通用大模型与知识检索底座；本方案的重点是建设上海分行专属知识、业务流程、权限边界与运营机制，弥补通用能力的本地适配不足。</w:t>
            </w:r>
          </w:p>
        </w:tc>
      </w:tr>
    </w:tbl>
    <w:p>
      <w:pPr>
        <w:spacing w:after="20"/>
      </w:pPr>
    </w:p>
    <w:p>
      <w:pPr>
        <w:spacing w:before="300" w:after="160" w:line="276" w:lineRule="auto"/>
        <w:pBdr>
          <w:bottom w:val="single" w:sz="10" w:space="5" w:color="1F4E78"/>
        </w:pBdr>
        <w:keepNext/>
      </w:pPr>
      <w:r>
        <w:rPr>
          <w:rFonts w:ascii="黑体" w:hAnsi="黑体" w:eastAsia="黑体"/>
          <w:b/>
          <w:i w:val="0"/>
          <w:color w:val="1F4E78"/>
          <w:sz w:val="32"/>
        </w:rPr>
        <w:t>模块四：预期成效与可推广价值</w:t>
      </w:r>
    </w:p>
    <w:p>
      <w:pPr>
        <w:spacing w:before="220" w:after="100" w:line="288" w:lineRule="auto"/>
        <w:keepNext/>
      </w:pPr>
      <w:r>
        <w:rPr>
          <w:rFonts w:ascii="黑体" w:hAnsi="黑体" w:eastAsia="黑体"/>
          <w:b/>
          <w:i w:val="0"/>
          <w:color w:val="1F4E78"/>
          <w:sz w:val="26"/>
        </w:rPr>
        <w:t>4.1 定量成效预估</w:t>
      </w:r>
    </w:p>
    <w:p>
      <w:pPr>
        <w:spacing w:before="0" w:after="80" w:line="360" w:lineRule="auto"/>
        <w:ind w:firstLine="420"/>
        <w:keepLines/>
      </w:pPr>
      <w:r>
        <w:rPr>
          <w:rFonts w:ascii="仿宋_GB2312" w:hAnsi="仿宋_GB2312" w:eastAsia="仿宋_GB2312"/>
          <w:b w:val="0"/>
          <w:i w:val="0"/>
          <w:color w:val="000000"/>
          <w:sz w:val="21"/>
        </w:rPr>
        <w:t>项目成效以“试点前后对比 + 过程数据验证”为原则测算，不以未经验证的绝对数字替代基线。正式实施前，需由试点单位连续采集咨询量、处理时长、材料办理周期、知识覆盖、满意度等数据，形成可比较的基线。</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275"/>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成效维度</w:t>
            </w:r>
          </w:p>
        </w:tc>
        <w:tc>
          <w:tcPr>
            <w:tcW w:type="dxa" w:w="2523"/>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现状基线（实施前采集）</w:t>
            </w:r>
          </w:p>
        </w:tc>
        <w:tc>
          <w:tcPr>
            <w:tcW w:type="dxa" w:w="2579"/>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预期目标</w:t>
            </w:r>
          </w:p>
        </w:tc>
        <w:tc>
          <w:tcPr>
            <w:tcW w:type="dxa" w:w="3260"/>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测算依据</w:t>
            </w:r>
          </w:p>
        </w:tc>
      </w:tr>
      <w:tr>
        <w:trPr>
          <w:cantSplit/>
        </w:trPr>
        <w:tc>
          <w:tcPr>
            <w:tcW w:type="dxa" w:w="127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人力节约</w:t>
            </w:r>
          </w:p>
        </w:tc>
        <w:tc>
          <w:tcPr>
            <w:tcW w:type="dxa" w:w="25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综合岗、导师在重复咨询、材料发送和基础解释上的投入。</w:t>
            </w:r>
          </w:p>
        </w:tc>
        <w:tc>
          <w:tcPr>
            <w:tcW w:type="dxa" w:w="2579"/>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重复咨询量较基线下降 60%；释放的工时转用于带教、异常处理和制度维护。</w:t>
            </w:r>
          </w:p>
        </w:tc>
        <w:tc>
          <w:tcPr>
            <w:tcW w:type="dxa" w:w="326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按试点期“咨询量 × 单次平均处理时长”计算，并剔除需人工审核的复杂事项。</w:t>
            </w:r>
          </w:p>
        </w:tc>
      </w:tr>
      <w:tr>
        <w:trPr>
          <w:cantSplit/>
        </w:trPr>
        <w:tc>
          <w:tcPr>
            <w:tcW w:type="dxa" w:w="127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时效提升</w:t>
            </w:r>
          </w:p>
        </w:tc>
        <w:tc>
          <w:tcPr>
            <w:tcW w:type="dxa" w:w="25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新员工在信息查找、等待答复、反复确认上的时间成本；材料办理周期。</w:t>
            </w:r>
          </w:p>
        </w:tc>
        <w:tc>
          <w:tcPr>
            <w:tcW w:type="dxa" w:w="2579"/>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标准问题实现即时响应；入职材料办理周期目标控制在 5 个工作日内。</w:t>
            </w:r>
          </w:p>
        </w:tc>
        <w:tc>
          <w:tcPr>
            <w:tcW w:type="dxa" w:w="326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对比试点前后同类型事项的首次提问至完成办理时间；区分员工、系统和审批环节责任。</w:t>
            </w:r>
          </w:p>
        </w:tc>
      </w:tr>
      <w:tr>
        <w:trPr>
          <w:cantSplit/>
        </w:trPr>
        <w:tc>
          <w:tcPr>
            <w:tcW w:type="dxa" w:w="127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质量提升</w:t>
            </w:r>
          </w:p>
        </w:tc>
        <w:tc>
          <w:tcPr>
            <w:tcW w:type="dxa" w:w="25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授权知识范围内回答准确性、材料清单完整性、链接有效性。</w:t>
            </w:r>
          </w:p>
        </w:tc>
        <w:tc>
          <w:tcPr>
            <w:tcW w:type="dxa" w:w="2579"/>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问答准确率不低于 90%；重点场景材料与链接按抽检规则保持准确有效。</w:t>
            </w:r>
          </w:p>
        </w:tc>
        <w:tc>
          <w:tcPr>
            <w:tcW w:type="dxa" w:w="326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基于标准题集、人工抽检、用户评价、转人工与纠错记录综合评估。</w:t>
            </w:r>
          </w:p>
        </w:tc>
      </w:tr>
      <w:tr>
        <w:trPr>
          <w:cantSplit/>
        </w:trPr>
        <w:tc>
          <w:tcPr>
            <w:tcW w:type="dxa" w:w="127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服务覆盖</w:t>
            </w:r>
          </w:p>
        </w:tc>
        <w:tc>
          <w:tcPr>
            <w:tcW w:type="dxa" w:w="25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试点新员工对智能体的知晓、使用和自助解决情况。</w:t>
            </w:r>
          </w:p>
        </w:tc>
        <w:tc>
          <w:tcPr>
            <w:tcW w:type="dxa" w:w="2579"/>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新员工自主查询率不低于 80%；服务覆盖试点范围内新员工。</w:t>
            </w:r>
          </w:p>
        </w:tc>
        <w:tc>
          <w:tcPr>
            <w:tcW w:type="dxa" w:w="326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按活跃用户、有效会话和自主完成事项比例统计。</w:t>
            </w:r>
          </w:p>
        </w:tc>
      </w:tr>
      <w:tr>
        <w:trPr>
          <w:cantSplit/>
        </w:trPr>
        <w:tc>
          <w:tcPr>
            <w:tcW w:type="dxa" w:w="127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体验改善</w:t>
            </w:r>
          </w:p>
        </w:tc>
        <w:tc>
          <w:tcPr>
            <w:tcW w:type="dxa" w:w="25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新员工对答案清晰度、便利性、可信度与人工协同的评价。</w:t>
            </w:r>
          </w:p>
        </w:tc>
        <w:tc>
          <w:tcPr>
            <w:tcW w:type="dxa" w:w="2579"/>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满意度不低于 90%。</w:t>
            </w:r>
          </w:p>
        </w:tc>
        <w:tc>
          <w:tcPr>
            <w:tcW w:type="dxa" w:w="326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通过会话评价、问卷与访谈交叉验证。</w:t>
            </w:r>
          </w:p>
        </w:tc>
      </w:tr>
    </w:tbl>
    <w:p>
      <w:pPr>
        <w:spacing w:after="20"/>
      </w:pPr>
    </w:p>
    <w:p>
      <w:pPr>
        <w:spacing w:before="220" w:after="100" w:line="288" w:lineRule="auto"/>
        <w:keepNext/>
      </w:pPr>
      <w:r>
        <w:rPr>
          <w:rFonts w:ascii="黑体" w:hAnsi="黑体" w:eastAsia="黑体"/>
          <w:b/>
          <w:i w:val="0"/>
          <w:color w:val="1F4E78"/>
          <w:sz w:val="26"/>
        </w:rPr>
        <w:t>4.2 定性价值分析</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价值维度</w:t>
            </w:r>
          </w:p>
        </w:tc>
        <w:tc>
          <w:tcPr>
            <w:tcW w:type="dxa" w:w="782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预期改善</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新员工体验</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在需要帮助的第一时间获得分行专属、结构化、可执行的指引，降低入职焦虑和“信息不对称”带来的反复确认。</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风险与合规</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以有效制度和授权材料为依据，知识更新可追溯；对无依据及高风险事项主动转人工，降低口径不一致与误操作风险。</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组织效能</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综合岗和导师从反复答疑、材料转发中释放，更多投入带教、实操辅导、例外审核与员工成长。</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管理支持</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通过高频问题、未命中问题、低满意回答等数据，识别制度宣导薄弱点和流程优化机会。</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能力沉淀</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形成可运营的分行知识目录、问答模板、场景清单、测试题集和审核机制，成为后续智能化员工服务的基础资产。</w:t>
            </w:r>
          </w:p>
        </w:tc>
      </w:tr>
    </w:tbl>
    <w:p>
      <w:pPr>
        <w:spacing w:after="20"/>
      </w:pPr>
    </w:p>
    <w:p>
      <w:pPr>
        <w:spacing w:before="220" w:after="100" w:line="288" w:lineRule="auto"/>
        <w:keepNext/>
      </w:pPr>
      <w:r>
        <w:rPr>
          <w:rFonts w:ascii="黑体" w:hAnsi="黑体" w:eastAsia="黑体"/>
          <w:b/>
          <w:i w:val="0"/>
          <w:color w:val="1F4E78"/>
          <w:sz w:val="26"/>
        </w:rPr>
        <w:t>4.3 可推广性与复用价值</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复用方向</w:t>
            </w:r>
          </w:p>
        </w:tc>
        <w:tc>
          <w:tcPr>
            <w:tcW w:type="dxa" w:w="782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可推广设计</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跨网点推广</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知识模型采用“分行统一知识 + 支行差异知识 + 岗位适用规则”的分层组织方式。试点验证后，可将统一内容复用至全分行，将支行差异内容按权限和责任人逐步接入。</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跨条线复用</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可迁移至员工日常制度咨询、合规学习、岗位转岗指引、内部流程导航、常见IT服务咨询等场景，复用核心的知识治理、问答与转人工机制。</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能力资产沉淀</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沉淀高频问题库、场景化待办模板、答案结构模板、知识审核标准、测试题集和运营指标口径，缩短后续类似项目建设周期。</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长期演进方向</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在安全合规和数据条件成熟后，可逐步扩展为岗位学习路径推荐、主动提醒、培训测验、工单协同、知识质量自动巡检等能力。</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推广前提</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需明确知识责任人与更新机制、统一入口与权限规则，并在推广前完成本地差异梳理和高风险事项边界定义。</w:t>
            </w:r>
          </w:p>
        </w:tc>
      </w:tr>
    </w:tbl>
    <w:p>
      <w:pPr>
        <w:spacing w:after="20"/>
      </w:pPr>
    </w:p>
    <w:p>
      <w:pPr>
        <w:spacing w:before="300" w:after="160" w:line="276" w:lineRule="auto"/>
        <w:pBdr>
          <w:bottom w:val="single" w:sz="10" w:space="5" w:color="1F4E78"/>
        </w:pBdr>
        <w:keepNext/>
      </w:pPr>
      <w:r>
        <w:rPr>
          <w:rFonts w:ascii="黑体" w:hAnsi="黑体" w:eastAsia="黑体"/>
          <w:b/>
          <w:i w:val="0"/>
          <w:color w:val="1F4E78"/>
          <w:sz w:val="32"/>
        </w:rPr>
        <w:t>模块五：落地实施可行性分析</w:t>
      </w:r>
    </w:p>
    <w:p>
      <w:pPr>
        <w:spacing w:before="220" w:after="100" w:line="288" w:lineRule="auto"/>
        <w:keepNext/>
      </w:pPr>
      <w:r>
        <w:rPr>
          <w:rFonts w:ascii="黑体" w:hAnsi="黑体" w:eastAsia="黑体"/>
          <w:b/>
          <w:i w:val="0"/>
          <w:color w:val="1F4E78"/>
          <w:sz w:val="26"/>
        </w:rPr>
        <w:t>5.1 现有基础评估</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0"/>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基础条件</w:t>
            </w:r>
          </w:p>
        </w:tc>
        <w:tc>
          <w:tcPr>
            <w:tcW w:type="dxa" w:w="323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现状评估</w:t>
            </w:r>
          </w:p>
        </w:tc>
        <w:tc>
          <w:tcPr>
            <w:tcW w:type="dxa" w:w="113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支撑程度</w:t>
            </w:r>
          </w:p>
        </w:tc>
        <w:tc>
          <w:tcPr>
            <w:tcW w:type="dxa" w:w="3543"/>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缺口与补充措施</w:t>
            </w:r>
          </w:p>
        </w:tc>
      </w:tr>
      <w:tr>
        <w:trPr>
          <w:cantSplit/>
        </w:trPr>
        <w:tc>
          <w:tcPr>
            <w:tcW w:type="dxa" w:w="11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系统基础</w:t>
            </w:r>
          </w:p>
        </w:tc>
        <w:tc>
          <w:tcPr>
            <w:tcW w:type="dxa" w:w="323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行内已具备“智会小浦”等大模型与知识问答基础能力，可作为智能体构建底座；现有员工服务入口可作为优先接入方向。</w:t>
            </w:r>
          </w:p>
        </w:tc>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部分支撑</w:t>
            </w:r>
          </w:p>
        </w:tc>
        <w:tc>
          <w:tcPr>
            <w:tcW w:type="dxa" w:w="354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需在需求阶段明确具体部署平台、访问入口、单点登录、日志审计和链接跳转规则。</w:t>
            </w:r>
          </w:p>
        </w:tc>
      </w:tr>
      <w:tr>
        <w:trPr>
          <w:cantSplit/>
        </w:trPr>
        <w:tc>
          <w:tcPr>
            <w:tcW w:type="dxa" w:w="119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数据基础</w:t>
            </w:r>
          </w:p>
        </w:tc>
        <w:tc>
          <w:tcPr>
            <w:tcW w:type="dxa" w:w="323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新员工入职手册、支行规章、岗位操作指南等核心材料已具备电子化基础；历史咨询与FAQ可在脱敏后复用。</w:t>
            </w:r>
          </w:p>
        </w:tc>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部分支撑</w:t>
            </w:r>
          </w:p>
        </w:tc>
        <w:tc>
          <w:tcPr>
            <w:tcW w:type="dxa" w:w="354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需建立知识目录、去重清洗、版本标识、适用范围和有效期字段；不满足质量要求的材料先治理后入库。</w:t>
            </w:r>
          </w:p>
        </w:tc>
      </w:tr>
      <w:tr>
        <w:trPr>
          <w:cantSplit/>
        </w:trPr>
        <w:tc>
          <w:tcPr>
            <w:tcW w:type="dxa" w:w="11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知识基础</w:t>
            </w:r>
          </w:p>
        </w:tc>
        <w:tc>
          <w:tcPr>
            <w:tcW w:type="dxa" w:w="323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分行与支行已沉淀多类制度、流程与材料，但分散管理，责任边界和更新频率尚需统一。</w:t>
            </w:r>
          </w:p>
        </w:tc>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部分支撑</w:t>
            </w:r>
          </w:p>
        </w:tc>
        <w:tc>
          <w:tcPr>
            <w:tcW w:type="dxa" w:w="354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确定“内容提供—业务审核—平台发布—定期复核”责任链，建立失效内容下线机制。</w:t>
            </w:r>
          </w:p>
        </w:tc>
      </w:tr>
      <w:tr>
        <w:trPr>
          <w:cantSplit/>
        </w:trPr>
        <w:tc>
          <w:tcPr>
            <w:tcW w:type="dxa" w:w="119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人员基础</w:t>
            </w:r>
          </w:p>
        </w:tc>
        <w:tc>
          <w:tcPr>
            <w:tcW w:type="dxa" w:w="323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综合岗、HR协同人员、岗位负责人和带教导师具备业务知识，可参与需求梳理和试点验证。</w:t>
            </w:r>
          </w:p>
        </w:tc>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部分支撑</w:t>
            </w:r>
          </w:p>
        </w:tc>
        <w:tc>
          <w:tcPr>
            <w:tcW w:type="dxa" w:w="354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试点期间配置业务负责人、知识运营人员、测试代表和科技对接人，明确每周投入与决策机制。</w:t>
            </w:r>
          </w:p>
        </w:tc>
      </w:tr>
      <w:tr>
        <w:trPr>
          <w:cantSplit/>
        </w:trPr>
        <w:tc>
          <w:tcPr>
            <w:tcW w:type="dxa" w:w="11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AI平台基础</w:t>
            </w:r>
          </w:p>
        </w:tc>
        <w:tc>
          <w:tcPr>
            <w:tcW w:type="dxa" w:w="323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通用大模型、文档理解、知识检索、多轮对话等能力属于成熟应用范围。</w:t>
            </w:r>
          </w:p>
        </w:tc>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较充分</w:t>
            </w:r>
          </w:p>
        </w:tc>
        <w:tc>
          <w:tcPr>
            <w:tcW w:type="dxa" w:w="354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依托行内合规平台进行模型调用、知识权限、日志留存和运行监控；不在未授权环境处理内部材料。</w:t>
            </w:r>
          </w:p>
        </w:tc>
      </w:tr>
    </w:tbl>
    <w:p>
      <w:pPr>
        <w:spacing w:after="20"/>
      </w:pPr>
    </w:p>
    <w:p>
      <w:pPr>
        <w:spacing w:before="220" w:after="100" w:line="288" w:lineRule="auto"/>
        <w:keepNext/>
      </w:pPr>
      <w:r>
        <w:rPr>
          <w:rFonts w:ascii="黑体" w:hAnsi="黑体" w:eastAsia="黑体"/>
          <w:b/>
          <w:i w:val="0"/>
          <w:color w:val="1F4E78"/>
          <w:sz w:val="26"/>
        </w:rPr>
        <w:t>5.2 技术可行性判断（业务视角）</w:t>
      </w:r>
    </w:p>
    <w:p>
      <w:pPr>
        <w:pStyle w:val="ListBullet"/>
        <w:spacing w:after="60" w:line="324" w:lineRule="auto"/>
        <w:ind w:left="420" w:hanging="204"/>
      </w:pPr>
      <w:r>
        <w:rPr>
          <w:rFonts w:ascii="仿宋_GB2312" w:hAnsi="仿宋_GB2312" w:eastAsia="仿宋_GB2312"/>
          <w:b w:val="0"/>
          <w:i w:val="0"/>
          <w:color w:val="000000"/>
          <w:sz w:val="21"/>
        </w:rPr>
        <w:t>核心能力成熟：文档理解、基于知识的问答、材料信息提取、多轮对话和结构化输出均属于当前大模型可支持的成熟能力，适合先在标准化、低风险问题中开展试点。</w:t>
      </w:r>
    </w:p>
    <w:p>
      <w:pPr>
        <w:pStyle w:val="ListBullet"/>
        <w:spacing w:after="60" w:line="324" w:lineRule="auto"/>
        <w:ind w:left="420" w:hanging="204"/>
      </w:pPr>
      <w:r>
        <w:rPr>
          <w:rFonts w:ascii="仿宋_GB2312" w:hAnsi="仿宋_GB2312" w:eastAsia="仿宋_GB2312"/>
          <w:b w:val="0"/>
          <w:i w:val="0"/>
          <w:color w:val="000000"/>
          <w:sz w:val="21"/>
        </w:rPr>
        <w:t>部署路径清晰：可复用行内既有大模型与知识检索能力，项目重点转向本地知识治理、业务规则、权限配置、入口整合与运营机制建设。</w:t>
      </w:r>
    </w:p>
    <w:p>
      <w:pPr>
        <w:pStyle w:val="ListBullet"/>
        <w:spacing w:after="60" w:line="324" w:lineRule="auto"/>
        <w:ind w:left="420" w:hanging="204"/>
      </w:pPr>
      <w:r>
        <w:rPr>
          <w:rFonts w:ascii="仿宋_GB2312" w:hAnsi="仿宋_GB2312" w:eastAsia="仿宋_GB2312"/>
          <w:b w:val="0"/>
          <w:i w:val="0"/>
          <w:color w:val="000000"/>
          <w:sz w:val="21"/>
        </w:rPr>
        <w:t>对接节奏可控：首期不依赖复杂的交易或审批系统直连，以文档知识、FAQ和链接台账为主；动态数据与系统回写在权限、接口和安全评估完成后再分步接入。</w:t>
      </w:r>
    </w:p>
    <w:p>
      <w:pPr>
        <w:pStyle w:val="ListBullet"/>
        <w:spacing w:after="60" w:line="324" w:lineRule="auto"/>
        <w:ind w:left="420" w:hanging="204"/>
      </w:pPr>
      <w:r>
        <w:rPr>
          <w:rFonts w:ascii="仿宋_GB2312" w:hAnsi="仿宋_GB2312" w:eastAsia="仿宋_GB2312"/>
          <w:b w:val="0"/>
          <w:i w:val="0"/>
          <w:color w:val="000000"/>
          <w:sz w:val="21"/>
        </w:rPr>
        <w:t>数据合规可管：通过最小必要授权、分行—支行—岗位三级权限、脱敏处理、审计日志和人工复核，能够将敏感数据与越权风险控制在可管理范围。</w:t>
      </w:r>
    </w:p>
    <w:p>
      <w:pPr>
        <w:spacing w:before="220" w:after="100" w:line="288" w:lineRule="auto"/>
        <w:keepNext/>
      </w:pPr>
      <w:r>
        <w:rPr>
          <w:rFonts w:ascii="黑体" w:hAnsi="黑体" w:eastAsia="黑体"/>
          <w:b/>
          <w:i w:val="0"/>
          <w:color w:val="1F4E78"/>
          <w:sz w:val="26"/>
        </w:rPr>
        <w:t>5.3 实施风险与应对</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247"/>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风险类型</w:t>
            </w:r>
          </w:p>
        </w:tc>
        <w:tc>
          <w:tcPr>
            <w:tcW w:type="dxa" w:w="2579"/>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风险描述</w:t>
            </w:r>
          </w:p>
        </w:tc>
        <w:tc>
          <w:tcPr>
            <w:tcW w:type="dxa" w:w="765"/>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等级</w:t>
            </w:r>
          </w:p>
        </w:tc>
        <w:tc>
          <w:tcPr>
            <w:tcW w:type="dxa" w:w="4507"/>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应对措施</w:t>
            </w:r>
          </w:p>
        </w:tc>
      </w:tr>
      <w:tr>
        <w:trPr>
          <w:cantSplit/>
        </w:trPr>
        <w:tc>
          <w:tcPr>
            <w:tcW w:type="dxa" w:w="12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数据安全与权限风险</w:t>
            </w:r>
          </w:p>
        </w:tc>
        <w:tc>
          <w:tcPr>
            <w:tcW w:type="dxa" w:w="2579"/>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知识或员工信息存在越权访问、敏感数据暴露风险。</w:t>
            </w:r>
          </w:p>
        </w:tc>
        <w:tc>
          <w:tcPr>
            <w:tcW w:type="dxa" w:w="76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高</w:t>
            </w:r>
          </w:p>
        </w:tc>
        <w:tc>
          <w:tcPr>
            <w:tcW w:type="dxa" w:w="450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采用最小权限、分行—支行—岗位分级授权、脱敏入库、访问审计与定期权限复核；敏感个人信息不纳入首期自动问答。</w:t>
            </w:r>
          </w:p>
        </w:tc>
      </w:tr>
      <w:tr>
        <w:trPr>
          <w:cantSplit/>
        </w:trPr>
        <w:tc>
          <w:tcPr>
            <w:tcW w:type="dxa" w:w="12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回答准确性风险</w:t>
            </w:r>
          </w:p>
        </w:tc>
        <w:tc>
          <w:tcPr>
            <w:tcW w:type="dxa" w:w="2579"/>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模型可能生成无依据、过期或不适用于本地流程的答案。</w:t>
            </w:r>
          </w:p>
        </w:tc>
        <w:tc>
          <w:tcPr>
            <w:tcW w:type="dxa" w:w="76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高</w:t>
            </w:r>
          </w:p>
        </w:tc>
        <w:tc>
          <w:tcPr>
            <w:tcW w:type="dxa" w:w="450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仅基于已审核知识回答；展示来源或责任部门；设置低置信/无依据转人工；建立标准题集、人工抽检和纠错闭环。</w:t>
            </w:r>
          </w:p>
        </w:tc>
      </w:tr>
      <w:tr>
        <w:trPr>
          <w:cantSplit/>
        </w:trPr>
        <w:tc>
          <w:tcPr>
            <w:tcW w:type="dxa" w:w="12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知识时效性风险</w:t>
            </w:r>
          </w:p>
        </w:tc>
        <w:tc>
          <w:tcPr>
            <w:tcW w:type="dxa" w:w="2579"/>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制度或链接变更未及时同步，导致答案失效。</w:t>
            </w:r>
          </w:p>
        </w:tc>
        <w:tc>
          <w:tcPr>
            <w:tcW w:type="dxa" w:w="76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中</w:t>
            </w:r>
          </w:p>
        </w:tc>
        <w:tc>
          <w:tcPr>
            <w:tcW w:type="dxa" w:w="450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建立知识责任人、有效期、定期复核和紧急下线机制；链接台账自动/人工校验。</w:t>
            </w:r>
          </w:p>
        </w:tc>
      </w:tr>
      <w:tr>
        <w:trPr>
          <w:cantSplit/>
        </w:trPr>
        <w:tc>
          <w:tcPr>
            <w:tcW w:type="dxa" w:w="12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业务连续性风险</w:t>
            </w:r>
          </w:p>
        </w:tc>
        <w:tc>
          <w:tcPr>
            <w:tcW w:type="dxa" w:w="2579"/>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智能体故障或性能波动影响查询体验。</w:t>
            </w:r>
          </w:p>
        </w:tc>
        <w:tc>
          <w:tcPr>
            <w:tcW w:type="dxa" w:w="76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中</w:t>
            </w:r>
          </w:p>
        </w:tc>
        <w:tc>
          <w:tcPr>
            <w:tcW w:type="dxa" w:w="450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保留人工咨询、邮件/手册等兜底渠道；提供故障提示与服务降级；建立监控和响应机制。</w:t>
            </w:r>
          </w:p>
        </w:tc>
      </w:tr>
      <w:tr>
        <w:trPr>
          <w:cantSplit/>
        </w:trPr>
        <w:tc>
          <w:tcPr>
            <w:tcW w:type="dxa" w:w="12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用户接受度风险</w:t>
            </w:r>
          </w:p>
        </w:tc>
        <w:tc>
          <w:tcPr>
            <w:tcW w:type="dxa" w:w="2579"/>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员工不了解、不会使用或不信任智能体。</w:t>
            </w:r>
          </w:p>
        </w:tc>
        <w:tc>
          <w:tcPr>
            <w:tcW w:type="dxa" w:w="76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中</w:t>
            </w:r>
          </w:p>
        </w:tc>
        <w:tc>
          <w:tcPr>
            <w:tcW w:type="dxa" w:w="450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将智能体嵌入既有入口；设置高频场景导航与示例问题；开展入职培训、试点反馈和持续优化。</w:t>
            </w:r>
          </w:p>
        </w:tc>
      </w:tr>
      <w:tr>
        <w:trPr>
          <w:cantSplit/>
        </w:trPr>
        <w:tc>
          <w:tcPr>
            <w:tcW w:type="dxa" w:w="12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合规与责任边界风险</w:t>
            </w:r>
          </w:p>
        </w:tc>
        <w:tc>
          <w:tcPr>
            <w:tcW w:type="dxa" w:w="2579"/>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用户将智能体输出误认为审批意见或最终业务结论。</w:t>
            </w:r>
          </w:p>
        </w:tc>
        <w:tc>
          <w:tcPr>
            <w:tcW w:type="dxa" w:w="76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高</w:t>
            </w:r>
          </w:p>
        </w:tc>
        <w:tc>
          <w:tcPr>
            <w:tcW w:type="dxa" w:w="450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明确“辅助指引、人工最终确认”定位；对审批、解释权、敏感和高风险事项限制自动答复并提示责任部门。</w:t>
            </w:r>
          </w:p>
        </w:tc>
      </w:tr>
    </w:tbl>
    <w:p>
      <w:pPr>
        <w:spacing w:after="20"/>
      </w:pPr>
    </w:p>
    <w:p>
      <w:pPr>
        <w:spacing w:before="220" w:after="100" w:line="288" w:lineRule="auto"/>
        <w:keepNext/>
      </w:pPr>
      <w:r>
        <w:rPr>
          <w:rFonts w:ascii="黑体" w:hAnsi="黑体" w:eastAsia="黑体"/>
          <w:b/>
          <w:i w:val="0"/>
          <w:color w:val="1F4E78"/>
          <w:sz w:val="26"/>
        </w:rPr>
        <w:t>5.4 资源需求与实施路径</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360"/>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资源类别</w:t>
            </w:r>
          </w:p>
        </w:tc>
        <w:tc>
          <w:tcPr>
            <w:tcW w:type="dxa" w:w="289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投入方向</w:t>
            </w:r>
          </w:p>
        </w:tc>
        <w:tc>
          <w:tcPr>
            <w:tcW w:type="dxa" w:w="4847"/>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说明</w:t>
            </w:r>
          </w:p>
        </w:tc>
      </w:tr>
      <w:tr>
        <w:trPr>
          <w:cantSplit/>
        </w:trPr>
        <w:tc>
          <w:tcPr>
            <w:tcW w:type="dxa" w:w="136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业务资源</w:t>
            </w:r>
          </w:p>
        </w:tc>
        <w:tc>
          <w:tcPr>
            <w:tcW w:type="dxa" w:w="289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业务负责人 1 名；综合岗/HR协同、制度责任人、岗位代表和新员工测试代表共同参与。</w:t>
            </w:r>
          </w:p>
        </w:tc>
        <w:tc>
          <w:tcPr>
            <w:tcW w:type="dxa" w:w="48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负责需求确认、知识审核、试点测试、问题闭环和运营决策。</w:t>
            </w:r>
          </w:p>
        </w:tc>
      </w:tr>
      <w:tr>
        <w:trPr>
          <w:cantSplit/>
        </w:trPr>
        <w:tc>
          <w:tcPr>
            <w:tcW w:type="dxa" w:w="136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科技资源</w:t>
            </w:r>
          </w:p>
        </w:tc>
        <w:tc>
          <w:tcPr>
            <w:tcW w:type="dxa" w:w="289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依托行内AI平台，配置产品/需求、知识库配置、前后端/集成、测试与安全合规支持。</w:t>
            </w:r>
          </w:p>
        </w:tc>
        <w:tc>
          <w:tcPr>
            <w:tcW w:type="dxa" w:w="48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具体人月与算力需求应在需求评审后按平台能力、接口范围和试点规模估算。</w:t>
            </w:r>
          </w:p>
        </w:tc>
      </w:tr>
      <w:tr>
        <w:trPr>
          <w:cantSplit/>
        </w:trPr>
        <w:tc>
          <w:tcPr>
            <w:tcW w:type="dxa" w:w="136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系统资源</w:t>
            </w:r>
          </w:p>
        </w:tc>
        <w:tc>
          <w:tcPr>
            <w:tcW w:type="dxa" w:w="289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行内合规大模型推理能力、知识库存储、访问入口、权限体系、日志审计与监控能力。</w:t>
            </w:r>
          </w:p>
        </w:tc>
        <w:tc>
          <w:tcPr>
            <w:tcW w:type="dxa" w:w="48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首期不新增高耦合交易系统改造；如需后续接口，单独开展安全与技术评估。</w:t>
            </w:r>
          </w:p>
        </w:tc>
      </w:tr>
      <w:tr>
        <w:trPr>
          <w:cantSplit/>
        </w:trPr>
        <w:tc>
          <w:tcPr>
            <w:tcW w:type="dxa" w:w="136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关键依赖</w:t>
            </w:r>
          </w:p>
        </w:tc>
        <w:tc>
          <w:tcPr>
            <w:tcW w:type="dxa" w:w="289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有效知识目录和责任人、材料/链接台账、权限规则、试点单位和员工名单、行内平台接入条件。</w:t>
            </w:r>
          </w:p>
        </w:tc>
        <w:tc>
          <w:tcPr>
            <w:tcW w:type="dxa" w:w="48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任一依赖未满足时，应优先缩小试点范围，不带病上线。</w:t>
            </w:r>
          </w:p>
        </w:tc>
      </w:tr>
    </w:tbl>
    <w:p>
      <w:pPr>
        <w:spacing w:after="20"/>
      </w:pPr>
    </w:p>
    <w:p>
      <w:r>
        <w:drawing>
          <wp:inline xmlns:a="http://schemas.openxmlformats.org/drawingml/2006/main" xmlns:pic="http://schemas.openxmlformats.org/drawingml/2006/picture">
            <wp:extent cx="5976000" cy="2589600"/>
            <wp:docPr id="3" name="Picture 3"/>
            <wp:cNvGraphicFramePr>
              <a:graphicFrameLocks noChangeAspect="1"/>
            </wp:cNvGraphicFramePr>
            <a:graphic>
              <a:graphicData uri="http://schemas.openxmlformats.org/drawingml/2006/picture">
                <pic:pic>
                  <pic:nvPicPr>
                    <pic:cNvPr id="0" name="timeline.png"/>
                    <pic:cNvPicPr/>
                  </pic:nvPicPr>
                  <pic:blipFill>
                    <a:blip r:embed="rId13"/>
                    <a:stretch>
                      <a:fillRect/>
                    </a:stretch>
                  </pic:blipFill>
                  <pic:spPr>
                    <a:xfrm>
                      <a:off x="0" y="0"/>
                      <a:ext cx="5976000" cy="2589600"/>
                    </a:xfrm>
                    <a:prstGeom prst="rect"/>
                  </pic:spPr>
                </pic:pic>
              </a:graphicData>
            </a:graphic>
          </wp:inline>
        </w:drawing>
      </w:r>
    </w:p>
    <w:p>
      <w:pPr>
        <w:spacing w:before="40" w:after="120" w:line="240" w:lineRule="auto"/>
        <w:jc w:val="center"/>
      </w:pPr>
      <w:r>
        <w:rPr>
          <w:rFonts w:ascii="仿宋_GB2312" w:hAnsi="仿宋_GB2312" w:eastAsia="仿宋_GB2312"/>
          <w:b w:val="0"/>
          <w:i w:val="0"/>
          <w:color w:val="595959"/>
          <w:sz w:val="18"/>
        </w:rPr>
        <w:t>图 3 分阶段实施路径：先试点验证，再复制推广</w:t>
      </w:r>
    </w:p>
    <w:p>
      <w:r>
        <w:br w:type="page"/>
      </w:r>
    </w:p>
    <w:p>
      <w:pPr>
        <w:spacing w:before="300" w:after="160" w:line="276" w:lineRule="auto"/>
        <w:pBdr>
          <w:bottom w:val="single" w:sz="10" w:space="5" w:color="1F4E78"/>
        </w:pBdr>
        <w:keepNext/>
      </w:pPr>
      <w:r>
        <w:rPr>
          <w:rFonts w:ascii="黑体" w:hAnsi="黑体" w:eastAsia="黑体"/>
          <w:b/>
          <w:i w:val="0"/>
          <w:color w:val="1F4E78"/>
          <w:sz w:val="32"/>
        </w:rPr>
        <w:t>附录 A：AI 技术验证材料（辅助）</w:t>
      </w:r>
    </w:p>
    <w:p>
      <w:pPr>
        <w:spacing w:before="0" w:after="80" w:line="360" w:lineRule="auto"/>
        <w:ind w:firstLine="420"/>
        <w:keepLines/>
      </w:pPr>
      <w:r>
        <w:rPr>
          <w:rFonts w:ascii="仿宋_GB2312" w:hAnsi="仿宋_GB2312" w:eastAsia="仿宋_GB2312"/>
          <w:b w:val="0"/>
          <w:i w:val="0"/>
          <w:color w:val="000000"/>
          <w:sz w:val="21"/>
        </w:rPr>
        <w:t>本附录用于展示参赛队伍对“智会小浦”关键能力的初步验证思路，供后续需求细化和技术评估参考。附录不替代业务需求，不包含真实客户或员工敏感数据；其中示例均为脱敏、虚构场景。</w:t>
      </w:r>
    </w:p>
    <w:p>
      <w:pPr>
        <w:spacing w:before="220" w:after="100" w:line="288" w:lineRule="auto"/>
        <w:keepNext/>
      </w:pPr>
      <w:r>
        <w:rPr>
          <w:rFonts w:ascii="黑体" w:hAnsi="黑体" w:eastAsia="黑体"/>
          <w:b/>
          <w:i w:val="0"/>
          <w:color w:val="1F4E78"/>
          <w:sz w:val="26"/>
        </w:rPr>
        <w:t>A.1 大模型应用思路</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验证维度</w:t>
            </w:r>
          </w:p>
        </w:tc>
        <w:tc>
          <w:tcPr>
            <w:tcW w:type="dxa" w:w="782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初步设想</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模型与部署原则</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优先使用行内合规的大模型与知识问答能力；不在未授权外部环境上传内部制度、员工信息或业务材料。</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角色定位</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“智会小浦”是新员工的基础答疑与办事引导助手，不作人事审批、薪酬计算、合规认定或业务最终决策。</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任务拆解</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问题理解 → 识别场景与适用范围 → 检索已审核知识 → 组织结构化答复 → 给出下一步行动 → 无依据/高风险时转人工。</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知识增强</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优先使用上海分行及支行、岗位专属知识；回答应标示来源文件名称/章节或责任部门，以便用户复核。</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质量控制</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通过问题分类、来源校验、置信判断、关键词规则、人工抽检、用户评价和纠错任务形成闭环。</w:t>
            </w:r>
          </w:p>
        </w:tc>
      </w:tr>
    </w:tbl>
    <w:p>
      <w:pPr>
        <w:spacing w:after="20"/>
      </w:pPr>
    </w:p>
    <w:p>
      <w:pPr>
        <w:spacing w:before="220" w:after="100" w:line="288" w:lineRule="auto"/>
        <w:keepNext/>
      </w:pPr>
      <w:r>
        <w:rPr>
          <w:rFonts w:ascii="黑体" w:hAnsi="黑体" w:eastAsia="黑体"/>
          <w:b/>
          <w:i w:val="0"/>
          <w:color w:val="1F4E78"/>
          <w:sz w:val="26"/>
        </w:rPr>
        <w:t>A.2 提示词设计初稿</w:t>
      </w:r>
    </w:p>
    <w:p>
      <w:pPr>
        <w:spacing w:before="0" w:after="80" w:line="360" w:lineRule="auto"/>
        <w:keepLines/>
      </w:pPr>
      <w:r>
        <w:rPr>
          <w:rFonts w:ascii="仿宋_GB2312" w:hAnsi="仿宋_GB2312" w:eastAsia="仿宋_GB2312"/>
          <w:b w:val="0"/>
          <w:i w:val="0"/>
          <w:color w:val="000000"/>
          <w:sz w:val="21"/>
        </w:rPr>
        <w:t>以下为可供验证使用的系统提示词样例。正式上线前需由业务、合规和科技团队根据平台能力、权限策略与知识质量进一步优化。</w:t>
      </w:r>
    </w:p>
    <w:tbl>
      <w:tblPr>
        <w:tblW w:type="auto" w:w="0"/>
        <w:jc w:val="center"/>
        <w:tblLook w:firstColumn="1" w:firstRow="1" w:lastColumn="0" w:lastRow="0" w:noHBand="0" w:noVBand="1" w:val="04A0"/>
      </w:tblPr>
      <w:tblGrid>
        <w:gridCol w:w="9638"/>
      </w:tblGrid>
      <w:tr>
        <w:tc>
          <w:tcPr>
            <w:tcW w:type="dxa" w:w="9639"/>
            <w:shd w:fill="F7F9FB" w:val="clear"/>
            <w:tcMar>
              <w:top w:w="160" w:type="dxa"/>
              <w:start w:w="180" w:type="dxa"/>
              <w:bottom w:w="160" w:type="dxa"/>
              <w:end w:w="180" w:type="dxa"/>
            </w:tcMar>
            <w:tcBorders>
              <w:top w:val="single" w:sz="8" w:color="5B9BD5"/>
              <w:left w:val="single" w:sz="8" w:color="5B9BD5"/>
              <w:bottom w:val="single" w:sz="8" w:color="5B9BD5"/>
              <w:right w:val="single" w:sz="8" w:color="5B9BD5"/>
            </w:tcBorders>
          </w:tcPr>
          <w:p>
            <w:pPr>
              <w:spacing w:after="40" w:line="288" w:lineRule="auto"/>
            </w:pPr>
            <w:r>
              <w:rPr>
                <w:rFonts w:ascii="等线" w:hAnsi="等线" w:eastAsia="等线"/>
                <w:b w:val="0"/>
                <w:i w:val="0"/>
                <w:color w:val="333333"/>
                <w:sz w:val="17"/>
              </w:rPr>
              <w:t>你是上海分行新员工专属智能助手“智会小浦”。你的任务是依据已审核、已授权的上海分行新员工入职手册、支行规章制度、岗位操作指南、考勤福利办法和FAQ，为新员工提供清晰、准确、可执行的入职与适岗指引。</w:t>
            </w:r>
          </w:p>
          <w:p>
            <w:pPr>
              <w:spacing w:after="40" w:line="288" w:lineRule="auto"/>
            </w:pPr>
            <w:r>
              <w:rPr>
                <w:rFonts w:ascii="等线" w:hAnsi="等线" w:eastAsia="等线"/>
                <w:b w:val="0"/>
                <w:i w:val="0"/>
                <w:color w:val="333333"/>
                <w:sz w:val="17"/>
              </w:rPr>
            </w:r>
          </w:p>
          <w:p>
            <w:pPr>
              <w:spacing w:after="40" w:line="288" w:lineRule="auto"/>
            </w:pPr>
            <w:r>
              <w:rPr>
                <w:rFonts w:ascii="等线" w:hAnsi="等线" w:eastAsia="等线"/>
                <w:b w:val="0"/>
                <w:i w:val="0"/>
                <w:color w:val="333333"/>
                <w:sz w:val="17"/>
              </w:rPr>
              <w:t>回答规则：</w:t>
            </w:r>
          </w:p>
          <w:p>
            <w:pPr>
              <w:spacing w:after="40" w:line="288" w:lineRule="auto"/>
            </w:pPr>
            <w:r>
              <w:rPr>
                <w:rFonts w:ascii="等线" w:hAnsi="等线" w:eastAsia="等线"/>
                <w:b w:val="0"/>
                <w:i w:val="0"/>
                <w:color w:val="333333"/>
                <w:sz w:val="17"/>
              </w:rPr>
              <w:t>1. 优先使用上海分行、支行及岗位专属的有效知识；不能以通用信息替代本地明确规则。</w:t>
            </w:r>
          </w:p>
          <w:p>
            <w:pPr>
              <w:spacing w:after="40" w:line="288" w:lineRule="auto"/>
            </w:pPr>
            <w:r>
              <w:rPr>
                <w:rFonts w:ascii="等线" w:hAnsi="等线" w:eastAsia="等线"/>
                <w:b w:val="0"/>
                <w:i w:val="0"/>
                <w:color w:val="333333"/>
                <w:sz w:val="17"/>
              </w:rPr>
              <w:t>2. 对流程类问题，按“适用对象—办理步骤—所需材料—办理时限—注意事项—下一步行动”组织答案。</w:t>
            </w:r>
          </w:p>
          <w:p>
            <w:pPr>
              <w:spacing w:after="40" w:line="288" w:lineRule="auto"/>
            </w:pPr>
            <w:r>
              <w:rPr>
                <w:rFonts w:ascii="等线" w:hAnsi="等线" w:eastAsia="等线"/>
                <w:b w:val="0"/>
                <w:i w:val="0"/>
                <w:color w:val="333333"/>
                <w:sz w:val="17"/>
              </w:rPr>
              <w:t>3. 对材料类问题，使用清单说明材料名称、用途、获取/提交方式和责任部门；仅展示用户有权访问的链接。</w:t>
            </w:r>
          </w:p>
          <w:p>
            <w:pPr>
              <w:spacing w:after="40" w:line="288" w:lineRule="auto"/>
            </w:pPr>
            <w:r>
              <w:rPr>
                <w:rFonts w:ascii="等线" w:hAnsi="等线" w:eastAsia="等线"/>
                <w:b w:val="0"/>
                <w:i w:val="0"/>
                <w:color w:val="333333"/>
                <w:sz w:val="17"/>
              </w:rPr>
              <w:t>4. 当问题涉及岗位、支行、入职时间等关键条件且信息不足时，先提出简洁澄清问题。</w:t>
            </w:r>
          </w:p>
          <w:p>
            <w:pPr>
              <w:spacing w:after="40" w:line="288" w:lineRule="auto"/>
            </w:pPr>
            <w:r>
              <w:rPr>
                <w:rFonts w:ascii="等线" w:hAnsi="等线" w:eastAsia="等线"/>
                <w:b w:val="0"/>
                <w:i w:val="0"/>
                <w:color w:val="333333"/>
                <w:sz w:val="17"/>
              </w:rPr>
              <w:t>5. 若知识库没有明确依据、内容已失效、事项涉及审批/敏感信息/最终判断，必须如实说明，并引导联系对应责任部门；严禁猜测或编造。</w:t>
            </w:r>
          </w:p>
          <w:p>
            <w:pPr>
              <w:spacing w:after="40" w:line="288" w:lineRule="auto"/>
            </w:pPr>
            <w:r>
              <w:rPr>
                <w:rFonts w:ascii="等线" w:hAnsi="等线" w:eastAsia="等线"/>
                <w:b w:val="0"/>
                <w:i w:val="0"/>
                <w:color w:val="333333"/>
                <w:sz w:val="17"/>
              </w:rPr>
              <w:t>6. 语言简洁、友好，避免堆砌技术术语；不得输出内部敏感信息或超出用户权限的内容。</w:t>
            </w:r>
          </w:p>
        </w:tc>
      </w:tr>
    </w:tbl>
    <w:p>
      <w:pPr>
        <w:spacing w:before="220" w:after="100" w:line="288" w:lineRule="auto"/>
        <w:keepNext/>
      </w:pPr>
      <w:r>
        <w:rPr>
          <w:rFonts w:ascii="黑体" w:hAnsi="黑体" w:eastAsia="黑体"/>
          <w:b/>
          <w:i w:val="0"/>
          <w:color w:val="1F4E78"/>
          <w:sz w:val="26"/>
        </w:rPr>
        <w:t>A.3 输入输出示例（脱敏）</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33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场景</w:t>
            </w:r>
          </w:p>
        </w:tc>
        <w:tc>
          <w:tcPr>
            <w:tcW w:type="dxa" w:w="238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用户输入（脱敏）</w:t>
            </w:r>
          </w:p>
        </w:tc>
        <w:tc>
          <w:tcPr>
            <w:tcW w:type="dxa" w:w="425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预期输出要点</w:t>
            </w:r>
          </w:p>
        </w:tc>
        <w:tc>
          <w:tcPr>
            <w:tcW w:type="dxa" w:w="167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验证功能</w:t>
            </w:r>
          </w:p>
        </w:tc>
      </w:tr>
      <w:tr>
        <w:trPr>
          <w:cantSplit/>
        </w:trPr>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示例 1：入职待办</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输入：我下周入职，第一周需要完成哪些事情？</w:t>
            </w:r>
          </w:p>
        </w:tc>
        <w:tc>
          <w:tcPr>
            <w:tcW w:type="dxa" w:w="425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输出应包含：先确认岗位/支行或提示选择；按优先级列出报到、材料签署、系统开通、考勤设置、岗位学习等事项；列明时限、材料、入口和责任人；无明确适用规则时提示人工确认。</w:t>
            </w:r>
          </w:p>
        </w:tc>
        <w:tc>
          <w:tcPr>
            <w:tcW w:type="dxa" w:w="167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验证 F-002、F-003</w:t>
            </w:r>
          </w:p>
        </w:tc>
      </w:tr>
      <w:tr>
        <w:trPr>
          <w:cantSplit/>
        </w:trPr>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示例 2：材料追问</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输入：转正材料有哪些？其中体检报告交到哪里？</w:t>
            </w:r>
          </w:p>
        </w:tc>
        <w:tc>
          <w:tcPr>
            <w:tcW w:type="dxa" w:w="425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输出应能关联前文“转正材料”场景，列出已授权材料清单；对体检报告说明提交方式、时限与责任部门；如支行规则不同，先澄清支行或提示参考本地规则。</w:t>
            </w:r>
          </w:p>
        </w:tc>
        <w:tc>
          <w:tcPr>
            <w:tcW w:type="dxa" w:w="167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验证 F-003、F-004</w:t>
            </w:r>
          </w:p>
        </w:tc>
      </w:tr>
      <w:tr>
        <w:trPr>
          <w:cantSplit/>
        </w:trPr>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示例 3：制度边界</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输入：我的绩效奖金什么时候发、能发多少？</w:t>
            </w:r>
          </w:p>
        </w:tc>
        <w:tc>
          <w:tcPr>
            <w:tcW w:type="dxa" w:w="425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输出应说明该问题涉及个人薪酬与具体政策，智能体仅提供已公开的一般指引和责任部门，不输出个人敏感信息或未经确认的结论。</w:t>
            </w:r>
          </w:p>
        </w:tc>
        <w:tc>
          <w:tcPr>
            <w:tcW w:type="dxa" w:w="167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验证 F-001、F-006</w:t>
            </w:r>
          </w:p>
        </w:tc>
      </w:tr>
      <w:tr>
        <w:trPr>
          <w:cantSplit/>
        </w:trPr>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示例 4：知识未命中</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输入：某个尚未纳入知识库的特殊办理事项怎么操作？</w:t>
            </w:r>
          </w:p>
        </w:tc>
        <w:tc>
          <w:tcPr>
            <w:tcW w:type="dxa" w:w="425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输出应如实说明“当前知识库暂无明确依据”，给出应联系的部门或工单路径，并记录为待补充问题。</w:t>
            </w:r>
          </w:p>
        </w:tc>
        <w:tc>
          <w:tcPr>
            <w:tcW w:type="dxa" w:w="167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验证 F-006、F-007</w:t>
            </w:r>
          </w:p>
        </w:tc>
      </w:tr>
    </w:tbl>
    <w:p>
      <w:pPr>
        <w:spacing w:after="20"/>
      </w:pPr>
    </w:p>
    <w:p>
      <w:pPr>
        <w:spacing w:before="220" w:after="100" w:line="288" w:lineRule="auto"/>
        <w:keepNext/>
      </w:pPr>
      <w:r>
        <w:rPr>
          <w:rFonts w:ascii="黑体" w:hAnsi="黑体" w:eastAsia="黑体"/>
          <w:b/>
          <w:i w:val="0"/>
          <w:color w:val="1F4E78"/>
          <w:sz w:val="26"/>
        </w:rPr>
        <w:t>A.4 测试案例与效果验证方案</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3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测试类型</w:t>
            </w:r>
          </w:p>
        </w:tc>
        <w:tc>
          <w:tcPr>
            <w:tcW w:type="dxa" w:w="266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测试设计</w:t>
            </w:r>
          </w:p>
        </w:tc>
        <w:tc>
          <w:tcPr>
            <w:tcW w:type="dxa" w:w="2608"/>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核心验证点</w:t>
            </w:r>
          </w:p>
        </w:tc>
        <w:tc>
          <w:tcPr>
            <w:tcW w:type="dxa" w:w="323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建议验证方式</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正向用例</w:t>
            </w:r>
          </w:p>
        </w:tc>
        <w:tc>
          <w:tcPr>
            <w:tcW w:type="dxa" w:w="266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覆盖已入库且规则明确的高频问题，如入职流程、考勤、福利、材料清单、岗位学习。</w:t>
            </w:r>
          </w:p>
        </w:tc>
        <w:tc>
          <w:tcPr>
            <w:tcW w:type="dxa" w:w="26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回答是否准确、完整、步骤清晰，能否定位依据或责任部门。</w:t>
            </w:r>
          </w:p>
        </w:tc>
        <w:tc>
          <w:tcPr>
            <w:tcW w:type="dxa" w:w="323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由业务人员基于脱敏标准题集评分；目标准确率不低于 90%。</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边界用例</w:t>
            </w:r>
          </w:p>
        </w:tc>
        <w:tc>
          <w:tcPr>
            <w:tcW w:type="dxa" w:w="266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同一问题因岗位、支行、入职阶段不同而答案不同；用户问题表述模糊或信息不全。</w:t>
            </w:r>
          </w:p>
        </w:tc>
        <w:tc>
          <w:tcPr>
            <w:tcW w:type="dxa" w:w="26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能否识别适用条件并主动澄清，而非给出绝对化答案。</w:t>
            </w:r>
          </w:p>
        </w:tc>
        <w:tc>
          <w:tcPr>
            <w:tcW w:type="dxa" w:w="323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核查澄清率、误答率与适用范围提示完整度。</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异常用例</w:t>
            </w:r>
          </w:p>
        </w:tc>
        <w:tc>
          <w:tcPr>
            <w:tcW w:type="dxa" w:w="266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知识库无答案、知识过期、用户索要敏感信息、试图绕过权限或要求最终审批判断。</w:t>
            </w:r>
          </w:p>
        </w:tc>
        <w:tc>
          <w:tcPr>
            <w:tcW w:type="dxa" w:w="26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能否拒绝编造、保护敏感信息、提示人工渠道并留痕。</w:t>
            </w:r>
          </w:p>
        </w:tc>
        <w:tc>
          <w:tcPr>
            <w:tcW w:type="dxa" w:w="323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核查安全拦截率、人工转接正确率与日志完整性。</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体验用例</w:t>
            </w:r>
          </w:p>
        </w:tc>
        <w:tc>
          <w:tcPr>
            <w:tcW w:type="dxa" w:w="266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新员工完成典型任务，如“查询第一周待办”“找到签署材料”“确认转正准备”。</w:t>
            </w:r>
          </w:p>
        </w:tc>
        <w:tc>
          <w:tcPr>
            <w:tcW w:type="dxa" w:w="26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用户是否能一次理解并完成下一步，是否减少来回询问。</w:t>
            </w:r>
          </w:p>
        </w:tc>
        <w:tc>
          <w:tcPr>
            <w:tcW w:type="dxa" w:w="323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记录任务完成率、平均轮次、满意度和未命中问题。</w:t>
            </w:r>
          </w:p>
        </w:tc>
      </w:tr>
    </w:tbl>
    <w:p>
      <w:pPr>
        <w:spacing w:after="20"/>
      </w:pPr>
    </w:p>
    <w:p>
      <w:pPr>
        <w:spacing w:before="0" w:after="80" w:line="360" w:lineRule="auto"/>
        <w:keepLines/>
      </w:pPr>
      <w:r>
        <w:rPr>
          <w:rFonts w:ascii="仿宋_GB2312" w:hAnsi="仿宋_GB2312" w:eastAsia="仿宋_GB2312"/>
          <w:b w:val="0"/>
          <w:i w:val="0"/>
          <w:color w:val="000000"/>
          <w:sz w:val="21"/>
        </w:rPr>
        <w:t>持续改进机制：试运行期间按周复盘高频问题、未命中问题、低满意回答、转人工原因和知识更新任务；对涉及制度、权限或风险的问题，由对应责任部门审核后再纳入知识库，形成“问题发现—内容补充—审核发布—回归测试—效果监测”的闭环。</w:t>
      </w:r>
    </w:p>
    <w:sectPr w:rsidR="00FC693F" w:rsidRPr="0006063C" w:rsidSect="00034616">
      <w:headerReference w:type="default" r:id="rId9"/>
      <w:footerReference w:type="default" r:id="rId10"/>
      <w:pgSz w:w="11906" w:h="16838"/>
      <w:pgMar w:top="1247" w:right="1134" w:bottom="1191"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宋体" w:hAnsi="宋体" w:eastAsia="宋体"/>
        <w:b w:val="0"/>
        <w:i w:val="0"/>
        <w:color w:val="595959"/>
        <w:sz w:val="16"/>
      </w:rPr>
      <w:t>上海分行｜“智会小浦”新员工入职指引智能体</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5" w:color="A6A6A6"/>
      </w:pBdr>
    </w:pPr>
    <w:r>
      <w:rPr>
        <w:rFonts w:ascii="宋体" w:hAnsi="宋体" w:eastAsia="宋体"/>
        <w:b w:val="0"/>
        <w:i w:val="0"/>
        <w:color w:val="595959"/>
        <w:sz w:val="17"/>
      </w:rPr>
      <w:t>新员工入职指引智能体参赛方案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仿宋_GB2312" w:hAnsi="仿宋_GB2312" w:eastAsia="仿宋_GB231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仿宋_GB2312" w:hAnsi="仿宋_GB2312" w:eastAsia="仿宋_GB231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