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before="1700"/>
        <w:jc w:val="center"/>
      </w:pPr>
      <w:r>
        <w:rPr>
          <w:rFonts w:ascii="黑体" w:cs="黑体" w:eastAsia="黑体" w:hAnsi="黑体"/>
          <w:b/>
          <w:bCs/>
          <w:color w:val="1F4E79"/>
          <w:sz w:val="48"/>
          <w:szCs w:val="48"/>
        </w:rPr>
        <w:t xml:space="preserve">智能算法模型库设计报告</w:t>
      </w:r>
    </w:p>
    <w:p>
      <w:pPr>
        <w:spacing w:after="900"/>
        <w:jc w:val="center"/>
      </w:pPr>
      <w:r>
        <w:rPr>
          <w:rFonts w:ascii="黑体" w:cs="黑体" w:eastAsia="黑体" w:hAnsi="黑体"/>
          <w:b/>
          <w:bCs/>
          <w:sz w:val="32"/>
          <w:szCs w:val="32"/>
        </w:rPr>
        <w:t xml:space="preserve">（第一至十章完整版）</w:t>
      </w:r>
    </w:p>
    <w:p>
      <w:pPr>
        <w:spacing w:after="180" w:before="1200"/>
        <w:jc w:val="center"/>
      </w:pPr>
      <w:r>
        <w:rPr>
          <w:rFonts w:ascii="宋体" w:cs="宋体" w:eastAsia="宋体" w:hAnsi="宋体"/>
          <w:sz w:val="26"/>
          <w:szCs w:val="26"/>
        </w:rPr>
        <w:t xml:space="preserve">版本：V1.0</w:t>
      </w:r>
    </w:p>
    <w:p>
      <w:pPr>
        <w:spacing w:after="180"/>
        <w:jc w:val="center"/>
      </w:pPr>
      <w:r>
        <w:rPr>
          <w:rFonts w:ascii="宋体" w:cs="宋体" w:eastAsia="宋体" w:hAnsi="宋体"/>
          <w:sz w:val="26"/>
          <w:szCs w:val="26"/>
        </w:rPr>
        <w:t xml:space="preserve">编制日期：2026年8月</w:t>
      </w:r>
    </w:p>
    <w:p>
      <w:pPr>
        <w:spacing w:after="180"/>
        <w:jc w:val="center"/>
      </w:pPr>
      <w:r>
        <w:rPr>
          <w:rFonts w:ascii="宋体" w:cs="宋体" w:eastAsia="宋体" w:hAnsi="宋体"/>
          <w:sz w:val="24"/>
          <w:szCs w:val="24"/>
        </w:rPr>
        <w:t xml:space="preserve">适用范围：军事杀伤链应用功能智能化算法库</w:t>
      </w:r>
    </w:p>
    <w:p>
      <w:r>
        <w:br w:type="page"/>
      </w:r>
    </w:p>
    <w:p>
      <w:pPr>
        <w:spacing w:after="360" w:before="200"/>
        <w:jc w:val="center"/>
      </w:pPr>
      <w:r>
        <w:rPr>
          <w:rFonts w:ascii="黑体" w:cs="黑体" w:eastAsia="黑体" w:hAnsi="黑体"/>
          <w:b/>
          <w:bCs/>
          <w:color w:val="1F4E79"/>
          <w:sz w:val="32"/>
          <w:szCs w:val="32"/>
        </w:rPr>
        <w:t xml:space="preserve">修订记录</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4200"/>
        <w:gridCol w:w="2126"/>
      </w:tblGrid>
      <w:tr>
        <w:tc>
          <w:tcPr>
            <w:tcW w:type="dxa" w:w="1200"/>
            <w:tcBorders>
              <w:top w:val="single" w:color="A6A6A6" w:sz="4"/>
              <w:left w:val="single" w:color="A6A6A6" w:sz="4"/>
              <w:bottom w:val="single" w:color="A6A6A6" w:sz="4"/>
              <w:right w:val="single" w:color="A6A6A6" w:sz="4"/>
            </w:tcBorders>
            <w:shd w:fill="D9EAF7" w:val="clear"/>
            <w:tcMar>
              <w:top w:type="dxa" w:w="90"/>
              <w:left w:type="dxa" w:w="120"/>
              <w:bottom w:type="dxa" w:w="90"/>
              <w:right w:type="dxa" w:w="120"/>
            </w:tcMar>
            <w:vAlign w:val="center"/>
          </w:tcPr>
          <w:p>
            <w:pPr>
              <w:spacing w:after="0" w:line="280"/>
              <w:jc w:val="center"/>
            </w:pPr>
            <w:r>
              <w:rPr>
                <w:rFonts w:ascii="宋体" w:cs="宋体" w:eastAsia="宋体" w:hAnsi="宋体"/>
                <w:b/>
                <w:bCs/>
                <w:sz w:val="18"/>
                <w:szCs w:val="18"/>
              </w:rPr>
              <w:t xml:space="preserve">版本</w:t>
            </w:r>
          </w:p>
        </w:tc>
        <w:tc>
          <w:tcPr>
            <w:tcW w:type="dxa" w:w="1500"/>
            <w:tcBorders>
              <w:top w:val="single" w:color="A6A6A6" w:sz="4"/>
              <w:left w:val="single" w:color="A6A6A6" w:sz="4"/>
              <w:bottom w:val="single" w:color="A6A6A6" w:sz="4"/>
              <w:right w:val="single" w:color="A6A6A6" w:sz="4"/>
            </w:tcBorders>
            <w:shd w:fill="D9EAF7" w:val="clear"/>
            <w:tcMar>
              <w:top w:type="dxa" w:w="90"/>
              <w:left w:type="dxa" w:w="120"/>
              <w:bottom w:type="dxa" w:w="90"/>
              <w:right w:type="dxa" w:w="120"/>
            </w:tcMar>
            <w:vAlign w:val="center"/>
          </w:tcPr>
          <w:p>
            <w:pPr>
              <w:spacing w:after="0" w:line="280"/>
              <w:jc w:val="center"/>
            </w:pPr>
            <w:r>
              <w:rPr>
                <w:rFonts w:ascii="宋体" w:cs="宋体" w:eastAsia="宋体" w:hAnsi="宋体"/>
                <w:b/>
                <w:bCs/>
                <w:sz w:val="18"/>
                <w:szCs w:val="18"/>
              </w:rPr>
              <w:t xml:space="preserve">日期</w:t>
            </w:r>
          </w:p>
        </w:tc>
        <w:tc>
          <w:tcPr>
            <w:tcW w:type="dxa" w:w="4200"/>
            <w:tcBorders>
              <w:top w:val="single" w:color="A6A6A6" w:sz="4"/>
              <w:left w:val="single" w:color="A6A6A6" w:sz="4"/>
              <w:bottom w:val="single" w:color="A6A6A6" w:sz="4"/>
              <w:right w:val="single" w:color="A6A6A6" w:sz="4"/>
            </w:tcBorders>
            <w:shd w:fill="D9EAF7" w:val="clear"/>
            <w:tcMar>
              <w:top w:type="dxa" w:w="90"/>
              <w:left w:type="dxa" w:w="120"/>
              <w:bottom w:type="dxa" w:w="90"/>
              <w:right w:type="dxa" w:w="120"/>
            </w:tcMar>
            <w:vAlign w:val="center"/>
          </w:tcPr>
          <w:p>
            <w:pPr>
              <w:spacing w:after="0" w:line="280"/>
              <w:jc w:val="center"/>
            </w:pPr>
            <w:r>
              <w:rPr>
                <w:rFonts w:ascii="宋体" w:cs="宋体" w:eastAsia="宋体" w:hAnsi="宋体"/>
                <w:b/>
                <w:bCs/>
                <w:sz w:val="18"/>
                <w:szCs w:val="18"/>
              </w:rPr>
              <w:t xml:space="preserve">修订内容</w:t>
            </w:r>
          </w:p>
        </w:tc>
        <w:tc>
          <w:tcPr>
            <w:tcW w:type="dxa" w:w="2126"/>
            <w:tcBorders>
              <w:top w:val="single" w:color="A6A6A6" w:sz="4"/>
              <w:left w:val="single" w:color="A6A6A6" w:sz="4"/>
              <w:bottom w:val="single" w:color="A6A6A6" w:sz="4"/>
              <w:right w:val="single" w:color="A6A6A6" w:sz="4"/>
            </w:tcBorders>
            <w:shd w:fill="D9EAF7" w:val="clear"/>
            <w:tcMar>
              <w:top w:type="dxa" w:w="90"/>
              <w:left w:type="dxa" w:w="120"/>
              <w:bottom w:type="dxa" w:w="90"/>
              <w:right w:type="dxa" w:w="120"/>
            </w:tcMar>
            <w:vAlign w:val="center"/>
          </w:tcPr>
          <w:p>
            <w:pPr>
              <w:spacing w:after="0" w:line="280"/>
              <w:jc w:val="center"/>
            </w:pPr>
            <w:r>
              <w:rPr>
                <w:rFonts w:ascii="宋体" w:cs="宋体" w:eastAsia="宋体" w:hAnsi="宋体"/>
                <w:b/>
                <w:bCs/>
                <w:sz w:val="18"/>
                <w:szCs w:val="18"/>
              </w:rPr>
              <w:t xml:space="preserve">编制/审核</w:t>
            </w:r>
          </w:p>
        </w:tc>
      </w:tr>
      <w:tr>
        <w:tc>
          <w:tcPr>
            <w:tcW w:type="dxa" w:w="12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left"/>
            </w:pPr>
            <w:r>
              <w:rPr>
                <w:rFonts w:ascii="宋体" w:cs="宋体" w:eastAsia="宋体" w:hAnsi="宋体"/>
                <w:b w:val="false"/>
                <w:bCs w:val="false"/>
                <w:sz w:val="18"/>
                <w:szCs w:val="18"/>
              </w:rPr>
              <w:t xml:space="preserve">V1.0</w:t>
            </w:r>
          </w:p>
        </w:tc>
        <w:tc>
          <w:tcPr>
            <w:tcW w:type="dxa" w:w="15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left"/>
            </w:pPr>
            <w:r>
              <w:rPr>
                <w:rFonts w:ascii="宋体" w:cs="宋体" w:eastAsia="宋体" w:hAnsi="宋体"/>
                <w:b w:val="false"/>
                <w:bCs w:val="false"/>
                <w:sz w:val="18"/>
                <w:szCs w:val="18"/>
              </w:rPr>
              <w:t xml:space="preserve">2026年8月</w:t>
            </w:r>
          </w:p>
        </w:tc>
        <w:tc>
          <w:tcPr>
            <w:tcW w:type="dxa" w:w="42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left"/>
            </w:pPr>
            <w:r>
              <w:rPr>
                <w:rFonts w:ascii="宋体" w:cs="宋体" w:eastAsia="宋体" w:hAnsi="宋体"/>
                <w:b w:val="false"/>
                <w:bCs w:val="false"/>
                <w:sz w:val="18"/>
                <w:szCs w:val="18"/>
              </w:rPr>
              <w:t xml:space="preserve">形成报告前置内容及第一章初稿。</w:t>
            </w:r>
          </w:p>
        </w:tc>
        <w:tc>
          <w:tcPr>
            <w:tcW w:type="dxa" w:w="2126"/>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left"/>
            </w:pPr>
            <w:r>
              <w:rPr>
                <w:rFonts w:ascii="宋体" w:cs="宋体" w:eastAsia="宋体" w:hAnsi="宋体"/>
                <w:b w:val="false"/>
                <w:bCs w:val="false"/>
                <w:sz w:val="18"/>
                <w:szCs w:val="18"/>
              </w:rPr>
              <w:t xml:space="preserve">编制：待定
审核：待定</w:t>
            </w:r>
          </w:p>
        </w:tc>
      </w:tr>
    </w:tbl>
    <w:p>
      <w:r>
        <w:br w:type="page"/>
      </w:r>
    </w:p>
    <w:p>
      <w:pPr>
        <w:spacing w:after="360" w:before="200"/>
        <w:jc w:val="center"/>
      </w:pPr>
      <w:r>
        <w:rPr>
          <w:rFonts w:ascii="黑体" w:cs="黑体" w:eastAsia="黑体" w:hAnsi="黑体"/>
          <w:b/>
          <w:bCs/>
          <w:color w:val="1F4E79"/>
          <w:sz w:val="32"/>
          <w:szCs w:val="32"/>
        </w:rPr>
        <w:t xml:space="preserve">摘  要</w:t>
      </w:r>
    </w:p>
    <w:p>
      <w:pPr>
        <w:spacing w:after="180" w:before="0" w:line="360"/>
        <w:ind w:firstLine="480"/>
        <w:jc w:val="both"/>
      </w:pPr>
      <w:r>
        <w:rPr>
          <w:rFonts w:ascii="宋体" w:cs="宋体" w:eastAsia="宋体" w:hAnsi="宋体"/>
          <w:sz w:val="22"/>
          <w:szCs w:val="22"/>
        </w:rPr>
        <w:t xml:space="preserve">本报告面向军事杀伤链应用功能智能化建设需求，围绕算法模型的标准化描述、注册管理、资源画像、版本管理、节点侧加载与统一运行，提出智能算法模型库的设计思路与建设内容。算法库以 OODA 决策循环和 F2T2EA 杀伤链为业务牵引，将算法能力映射至发现、定位、跟踪、目标选择、行动执行与效果评估等流程功能点，为分布式智能体的技能形成、任务执行和后续工作流协同提供算法能力底座。</w:t>
      </w:r>
    </w:p>
    <w:p>
      <w:pPr>
        <w:spacing w:after="180" w:before="0" w:line="360"/>
        <w:ind w:firstLine="480"/>
        <w:jc w:val="both"/>
      </w:pPr>
      <w:r>
        <w:rPr>
          <w:rFonts w:ascii="宋体" w:cs="宋体" w:eastAsia="宋体" w:hAnsi="宋体"/>
          <w:sz w:val="22"/>
          <w:szCs w:val="22"/>
        </w:rPr>
        <w:t xml:space="preserve">本期纳入二十类算法模型，包括聚类、关联规则、回归、随机森林、传统神经网络、朴素贝叶斯、生成对抗网络、大语言模型、检索增强生成、智能体、联邦学习、强化学习、可解释人工智能、多模态融合、时序预测、实时目标检测、变化检测、多目标跟踪定位和图神经网络等。算法库同时支持 ONNX 本地推理与 Python HTTP 服务两种后端形态，以统一算法卡、输入输出 Schema、资源约束、模型运行接口和审计信息屏蔽模型实现差异。</w:t>
      </w:r>
    </w:p>
    <w:p>
      <w:pPr>
        <w:spacing w:after="180" w:before="0" w:line="360"/>
        <w:ind w:firstLine="480"/>
        <w:jc w:val="both"/>
      </w:pPr>
      <w:r>
        <w:rPr>
          <w:rFonts w:ascii="宋体" w:cs="宋体" w:eastAsia="宋体" w:hAnsi="宋体"/>
          <w:sz w:val="22"/>
          <w:szCs w:val="22"/>
        </w:rPr>
        <w:t xml:space="preserve">报告后续章节将进一步明确算法库总体架构、模型清单与分类、功能点覆盖关系、参数量与 FLOPs、带宽和算力资源需求、模型选择策略、模型调用机制、接口设计以及验证部署方案。本章重点说明建设背景、建设目标、建设范围和术语定义，为后续设计内容建立统一边界。</w:t>
      </w:r>
    </w:p>
    <w:p>
      <w:r>
        <w:br w:type="page"/>
      </w:r>
    </w:p>
    <w:p>
      <w:pPr>
        <w:spacing w:after="360" w:before="200"/>
        <w:jc w:val="center"/>
      </w:pPr>
      <w:r>
        <w:rPr>
          <w:rFonts w:ascii="黑体" w:cs="黑体" w:eastAsia="黑体" w:hAnsi="黑体"/>
          <w:b/>
          <w:bCs/>
          <w:color w:val="1F4E79"/>
          <w:sz w:val="32"/>
          <w:szCs w:val="32"/>
        </w:rPr>
        <w:t xml:space="preserve">目  录</w:t>
      </w:r>
    </w:p>
    <w:p>
      <w:pPr>
        <w:tabs>
          <w:tab w:val="right" w:pos="9026" w:leader="dot"/>
        </w:tabs>
        <w:spacing w:after="90" w:line="280"/>
        <w:ind w:left="0"/>
      </w:pPr>
      <w:r>
        <w:rPr>
          <w:rFonts w:ascii="宋体" w:cs="宋体" w:eastAsia="宋体" w:hAnsi="宋体"/>
          <w:sz w:val="21"/>
          <w:szCs w:val="21"/>
        </w:rPr>
        <w:t>摘 要	i</w:t>
      </w:r>
    </w:p>
    <w:p>
      <w:pPr>
        <w:tabs>
          <w:tab w:val="right" w:pos="9026" w:leader="dot"/>
        </w:tabs>
        <w:spacing w:after="90" w:line="280"/>
        <w:ind w:left="0"/>
      </w:pPr>
      <w:r>
        <w:rPr>
          <w:rFonts w:ascii="宋体" w:cs="宋体" w:eastAsia="宋体" w:hAnsi="宋体"/>
          <w:sz w:val="21"/>
          <w:szCs w:val="21"/>
        </w:rPr>
        <w:t>第1章 概述	1</w:t>
      </w:r>
    </w:p>
    <w:p>
      <w:pPr>
        <w:tabs>
          <w:tab w:val="right" w:pos="9026" w:leader="dot"/>
        </w:tabs>
        <w:spacing w:after="90" w:line="280"/>
        <w:ind w:left="360"/>
      </w:pPr>
      <w:r>
        <w:rPr>
          <w:rFonts w:ascii="宋体" w:cs="宋体" w:eastAsia="宋体" w:hAnsi="宋体"/>
          <w:sz w:val="21"/>
          <w:szCs w:val="21"/>
        </w:rPr>
        <w:t>1.1 建设背景	1</w:t>
      </w:r>
    </w:p>
    <w:p>
      <w:pPr>
        <w:tabs>
          <w:tab w:val="right" w:pos="9026" w:leader="dot"/>
        </w:tabs>
        <w:spacing w:after="90" w:line="280"/>
        <w:ind w:left="360"/>
      </w:pPr>
      <w:r>
        <w:rPr>
          <w:rFonts w:ascii="宋体" w:cs="宋体" w:eastAsia="宋体" w:hAnsi="宋体"/>
          <w:sz w:val="21"/>
          <w:szCs w:val="21"/>
        </w:rPr>
        <w:t>1.2 建设目标	1</w:t>
      </w:r>
    </w:p>
    <w:p>
      <w:pPr>
        <w:tabs>
          <w:tab w:val="right" w:pos="9026" w:leader="dot"/>
        </w:tabs>
        <w:spacing w:after="90" w:line="280"/>
        <w:ind w:left="360"/>
      </w:pPr>
      <w:r>
        <w:rPr>
          <w:rFonts w:ascii="宋体" w:cs="宋体" w:eastAsia="宋体" w:hAnsi="宋体"/>
          <w:sz w:val="21"/>
          <w:szCs w:val="21"/>
        </w:rPr>
        <w:t>1.3 建设范围	1</w:t>
      </w:r>
    </w:p>
    <w:p>
      <w:pPr>
        <w:tabs>
          <w:tab w:val="right" w:pos="9026" w:leader="dot"/>
        </w:tabs>
        <w:spacing w:after="90" w:line="280"/>
        <w:ind w:left="360"/>
      </w:pPr>
      <w:r>
        <w:rPr>
          <w:rFonts w:ascii="宋体" w:cs="宋体" w:eastAsia="宋体" w:hAnsi="宋体"/>
          <w:sz w:val="21"/>
          <w:szCs w:val="21"/>
        </w:rPr>
        <w:t>1.4 术语、缩略语与引用标准	1</w:t>
      </w:r>
    </w:p>
    <w:p>
      <w:pPr>
        <w:tabs>
          <w:tab w:val="right" w:pos="9026" w:leader="dot"/>
        </w:tabs>
        <w:spacing w:after="90" w:line="280"/>
        <w:ind w:left="0"/>
      </w:pPr>
      <w:r>
        <w:rPr>
          <w:rFonts w:ascii="宋体" w:cs="宋体" w:eastAsia="宋体" w:hAnsi="宋体"/>
          <w:sz w:val="21"/>
          <w:szCs w:val="21"/>
        </w:rPr>
        <w:t>第2章 算法库总体架构</w:t>
      </w:r>
    </w:p>
    <w:p>
      <w:pPr>
        <w:tabs>
          <w:tab w:val="right" w:pos="9026" w:leader="dot"/>
        </w:tabs>
        <w:spacing w:after="90" w:line="280"/>
        <w:ind w:left="0"/>
      </w:pPr>
      <w:r>
        <w:rPr>
          <w:rFonts w:ascii="宋体" w:cs="宋体" w:eastAsia="宋体" w:hAnsi="宋体"/>
          <w:sz w:val="21"/>
          <w:szCs w:val="21"/>
        </w:rPr>
        <w:t>第3章 模型清单与标准化描述</w:t>
      </w:r>
    </w:p>
    <w:p>
      <w:pPr>
        <w:tabs>
          <w:tab w:val="right" w:pos="9026" w:leader="dot"/>
        </w:tabs>
        <w:spacing w:after="90" w:line="280"/>
        <w:ind w:left="0"/>
      </w:pPr>
      <w:r>
        <w:rPr>
          <w:rFonts w:ascii="宋体" w:cs="宋体" w:eastAsia="宋体" w:hAnsi="宋体"/>
          <w:sz w:val="21"/>
          <w:szCs w:val="21"/>
        </w:rPr>
        <w:t>第4章 模型分类与能力分析</w:t>
      </w:r>
    </w:p>
    <w:p>
      <w:pPr>
        <w:tabs>
          <w:tab w:val="right" w:pos="9026" w:leader="dot"/>
        </w:tabs>
        <w:spacing w:after="90" w:line="280"/>
        <w:ind w:left="0"/>
      </w:pPr>
      <w:r>
        <w:rPr>
          <w:rFonts w:ascii="宋体" w:cs="宋体" w:eastAsia="宋体" w:hAnsi="宋体"/>
          <w:sz w:val="21"/>
          <w:szCs w:val="21"/>
        </w:rPr>
        <w:t>第5章 功能点覆盖关系与杀伤链映射</w:t>
      </w:r>
    </w:p>
    <w:p>
      <w:pPr>
        <w:tabs>
          <w:tab w:val="right" w:pos="9026" w:leader="dot"/>
        </w:tabs>
        <w:spacing w:after="90" w:line="280"/>
        <w:ind w:left="0"/>
      </w:pPr>
      <w:r>
        <w:rPr>
          <w:rFonts w:ascii="宋体" w:cs="宋体" w:eastAsia="宋体" w:hAnsi="宋体"/>
          <w:sz w:val="21"/>
          <w:szCs w:val="21"/>
        </w:rPr>
        <w:t>第6章 模型资源画像与部署适配</w:t>
      </w:r>
    </w:p>
    <w:p>
      <w:pPr>
        <w:tabs>
          <w:tab w:val="right" w:pos="9026" w:leader="dot"/>
        </w:tabs>
        <w:spacing w:after="90" w:line="280"/>
        <w:ind w:left="0"/>
      </w:pPr>
      <w:r>
        <w:rPr>
          <w:rFonts w:ascii="宋体" w:cs="宋体" w:eastAsia="宋体" w:hAnsi="宋体"/>
          <w:sz w:val="21"/>
          <w:szCs w:val="21"/>
        </w:rPr>
        <w:t>第7章 模型选择策略与编排机制</w:t>
      </w:r>
    </w:p>
    <w:p>
      <w:pPr>
        <w:tabs>
          <w:tab w:val="right" w:pos="9026" w:leader="dot"/>
        </w:tabs>
        <w:spacing w:after="90" w:line="280"/>
        <w:ind w:left="0"/>
      </w:pPr>
      <w:r>
        <w:rPr>
          <w:rFonts w:ascii="宋体" w:cs="宋体" w:eastAsia="宋体" w:hAnsi="宋体"/>
          <w:sz w:val="21"/>
          <w:szCs w:val="21"/>
        </w:rPr>
        <w:t>第8章 模型调用方式与运行机制</w:t>
      </w:r>
    </w:p>
    <w:p>
      <w:pPr>
        <w:tabs>
          <w:tab w:val="right" w:pos="9026" w:leader="dot"/>
        </w:tabs>
        <w:spacing w:after="90" w:line="280"/>
        <w:ind w:left="0"/>
      </w:pPr>
      <w:r>
        <w:rPr>
          <w:rFonts w:ascii="宋体" w:cs="宋体" w:eastAsia="宋体" w:hAnsi="宋体"/>
          <w:sz w:val="21"/>
          <w:szCs w:val="21"/>
        </w:rPr>
        <w:t>第9章 算法库接口设计</w:t>
      </w:r>
    </w:p>
    <w:p>
      <w:pPr>
        <w:tabs>
          <w:tab w:val="right" w:pos="9026" w:leader="dot"/>
        </w:tabs>
        <w:spacing w:after="90" w:line="280"/>
        <w:ind w:left="0"/>
      </w:pPr>
      <w:r>
        <w:rPr>
          <w:rFonts w:ascii="宋体" w:cs="宋体" w:eastAsia="宋体" w:hAnsi="宋体"/>
          <w:sz w:val="21"/>
          <w:szCs w:val="21"/>
        </w:rPr>
        <w:t>第10章 验证方案、部署建议与建设路线</w:t>
      </w:r>
    </w:p>
    <w:p>
      <w:pPr>
        <w:tabs>
          <w:tab w:val="right" w:pos="9026" w:leader="dot"/>
        </w:tabs>
        <w:spacing w:after="90" w:line="280"/>
        <w:ind w:left="0"/>
      </w:pPr>
      <w:r>
        <w:rPr>
          <w:rFonts w:ascii="宋体" w:cs="宋体" w:eastAsia="宋体" w:hAnsi="宋体"/>
          <w:sz w:val="21"/>
          <w:szCs w:val="21"/>
        </w:rPr>
        <w:t>附录A 20类算法模型详细清单</w:t>
      </w:r>
    </w:p>
    <w:p>
      <w:pPr>
        <w:tabs>
          <w:tab w:val="right" w:pos="9026" w:leader="dot"/>
        </w:tabs>
        <w:spacing w:after="90" w:line="280"/>
        <w:ind w:left="0"/>
      </w:pPr>
      <w:r>
        <w:rPr>
          <w:rFonts w:ascii="宋体" w:cs="宋体" w:eastAsia="宋体" w:hAnsi="宋体"/>
          <w:sz w:val="21"/>
          <w:szCs w:val="21"/>
        </w:rPr>
        <w:t>附录B 算法卡字段定义</w:t>
      </w:r>
    </w:p>
    <w:p>
      <w:pPr>
        <w:tabs>
          <w:tab w:val="right" w:pos="9026" w:leader="dot"/>
        </w:tabs>
        <w:spacing w:after="90" w:line="280"/>
        <w:ind w:left="0"/>
      </w:pPr>
      <w:r>
        <w:rPr>
          <w:rFonts w:ascii="宋体" w:cs="宋体" w:eastAsia="宋体" w:hAnsi="宋体"/>
          <w:sz w:val="21"/>
          <w:szCs w:val="21"/>
        </w:rPr>
        <w:t>附录C 接口请求与响应示例</w:t>
      </w:r>
    </w:p>
    <w:p>
      <w:pPr>
        <w:spacing w:after="180" w:before="180" w:line="360"/>
        <w:jc w:val="both"/>
      </w:pPr>
      <w:r>
        <w:rPr>
          <w:rFonts w:ascii="宋体" w:cs="宋体" w:eastAsia="宋体" w:hAnsi="宋体"/>
          <w:color w:val="666666"/>
          <w:sz w:val="18"/>
          <w:szCs w:val="18"/>
        </w:rPr>
        <w:t xml:space="preserve">注：本报告包含第一章至第十章完整正文及附录A/B/C。</w:t>
      </w:r>
    </w:p>
    <w:p>
      <w:pPr>
        <w:pStyle w:val="Heading1"/>
        <w:pageBreakBefore/>
        <w:spacing w:after="160" w:before="280" w:line="360"/>
      </w:pPr>
      <w:r>
        <w:rPr>
          <w:rFonts w:ascii="黑体" w:cs="黑体" w:eastAsia="黑体" w:hAnsi="黑体"/>
          <w:b/>
          <w:bCs/>
          <w:color w:val="1F4E79"/>
          <w:sz w:val="32"/>
          <w:szCs w:val="32"/>
        </w:rPr>
        <w:t xml:space="preserve">第1章 概述</w:t>
      </w:r>
    </w:p>
    <w:p>
      <w:pPr>
        <w:pStyle w:val="Heading2"/>
        <w:spacing w:after="160" w:before="200" w:line="360"/>
      </w:pPr>
      <w:r>
        <w:rPr>
          <w:rFonts w:ascii="黑体" w:cs="黑体" w:eastAsia="黑体" w:hAnsi="黑体"/>
          <w:b/>
          <w:bCs/>
          <w:color w:val="000000"/>
          <w:sz w:val="28"/>
          <w:szCs w:val="28"/>
        </w:rPr>
        <w:t xml:space="preserve">1.1 建设背景</w:t>
      </w:r>
    </w:p>
    <w:p>
      <w:pPr>
        <w:spacing w:after="180" w:before="0" w:line="360"/>
        <w:ind w:firstLine="480"/>
        <w:jc w:val="both"/>
      </w:pPr>
      <w:r>
        <w:rPr>
          <w:rFonts w:ascii="宋体" w:cs="宋体" w:eastAsia="宋体" w:hAnsi="宋体"/>
          <w:sz w:val="22"/>
          <w:szCs w:val="22"/>
        </w:rPr>
        <w:t xml:space="preserve">现代军事任务呈现多源感知信息密集、目标状态快速变化、任务协同链路复杂和决策时效要求高等特点。面向杀伤链智能化应用，系统需要将光电、红外、雷达、文本情报、平台遥测、航迹与任务状态等异构数据转化为可验证、可追溯、可传递的智能结果，并在不同算力节点上完成检测、识别、跟踪、态势研判、方案推荐、执行控制和效果评估等处理。</w:t>
      </w:r>
    </w:p>
    <w:p>
      <w:pPr>
        <w:spacing w:after="180" w:before="0" w:line="360"/>
        <w:ind w:firstLine="480"/>
        <w:jc w:val="both"/>
      </w:pPr>
      <w:r>
        <w:rPr>
          <w:rFonts w:ascii="宋体" w:cs="宋体" w:eastAsia="宋体" w:hAnsi="宋体"/>
          <w:sz w:val="22"/>
          <w:szCs w:val="22"/>
        </w:rPr>
        <w:t xml:space="preserve">OODA 循环强调“观察—判断—决策—行动”的持续迭代，F2T2EA 过程进一步将任务活动细化为发现、定位、跟踪、目标选择、行动和评估等阶段。上述过程不是单一模型能够独立完成的，而是需要检测、变化分析、概率分类、图关系推理、时序预测、多模态融合、规则校验、强化学习调度、知识增强与可信评估等多类算法协同支撑。因此，有必要建设统一的智能算法模型库，将分散的算法模型、数据契约、运行配置、资源需求和验证资产进行标准化管理。</w:t>
      </w:r>
    </w:p>
    <w:p>
      <w:pPr>
        <w:spacing w:after="180" w:before="0" w:line="360"/>
        <w:ind w:firstLine="480"/>
        <w:jc w:val="both"/>
      </w:pPr>
      <w:r>
        <w:rPr>
          <w:rFonts w:ascii="宋体" w:cs="宋体" w:eastAsia="宋体" w:hAnsi="宋体"/>
          <w:sz w:val="22"/>
          <w:szCs w:val="22"/>
        </w:rPr>
        <w:t xml:space="preserve">现有算法实现具有模型范式多样、运行环境异构、算力需求差异显著的特点。例如，实时目标检测和多目标跟踪对图像输入、GPU 显存和实时响应提出较高要求；规则、回归和传统机器学习模型适于受限算力节点快速部署；大语言模型与 RAG 模型依赖文本上下文、向量检索或外部知识资源；联邦学习和强化学习模型还涉及模型参数交换、策略推理或多节点协同。若缺少统一管理与运行机制，容易形成模型接口不一致、部署方式割裂、资源不可感知、版本难追溯和结果难审计等问题。</w:t>
      </w:r>
    </w:p>
    <w:p>
      <w:pPr>
        <w:spacing w:after="180" w:before="0" w:line="360"/>
        <w:ind w:firstLine="480"/>
        <w:jc w:val="both"/>
      </w:pPr>
      <w:r>
        <w:rPr>
          <w:rFonts w:ascii="宋体" w:cs="宋体" w:eastAsia="宋体" w:hAnsi="宋体"/>
          <w:sz w:val="22"/>
          <w:szCs w:val="22"/>
        </w:rPr>
        <w:t xml:space="preserve">本算法库以标准算法卡为核心，以注册管理、校验激活、资源画像、统一调用、节点侧加载、缓存复用和执行审计为基础能力，形成面向 Agent 和工作流的算法服务底座。库内算法可采用 ONNX 本地模型或 Python HTTP 服务两种后端，由统一运行协调机制完成请求封装、输入校验、模型执行、输出校验与结果归一化，并向上层提供按功能、能力标签、后端形态和资源约束进行查询与选择的能力。</w:t>
      </w:r>
    </w:p>
    <w:p>
      <w:pPr>
        <w:pStyle w:val="Heading2"/>
        <w:spacing w:after="160" w:before="200" w:line="360"/>
      </w:pPr>
      <w:r>
        <w:rPr>
          <w:rFonts w:ascii="黑体" w:cs="黑体" w:eastAsia="黑体" w:hAnsi="黑体"/>
          <w:b/>
          <w:bCs/>
          <w:color w:val="000000"/>
          <w:sz w:val="28"/>
          <w:szCs w:val="28"/>
        </w:rPr>
        <w:t xml:space="preserve">1.2 建设目标</w:t>
      </w:r>
    </w:p>
    <w:p>
      <w:pPr>
        <w:pStyle w:val="Heading3"/>
        <w:spacing w:after="160" w:before="200" w:line="360"/>
      </w:pPr>
      <w:r>
        <w:rPr>
          <w:rFonts w:ascii="黑体" w:cs="黑体" w:eastAsia="黑体" w:hAnsi="黑体"/>
          <w:b/>
          <w:bCs/>
          <w:color w:val="000000"/>
          <w:sz w:val="24"/>
          <w:szCs w:val="24"/>
        </w:rPr>
        <w:t xml:space="preserve">1.2.1 总体目标</w:t>
      </w:r>
    </w:p>
    <w:p>
      <w:pPr>
        <w:spacing w:after="180" w:before="0" w:line="360"/>
        <w:ind w:firstLine="480"/>
        <w:jc w:val="both"/>
      </w:pPr>
      <w:r>
        <w:rPr>
          <w:rFonts w:ascii="宋体" w:cs="宋体" w:eastAsia="宋体" w:hAnsi="宋体"/>
          <w:sz w:val="22"/>
          <w:szCs w:val="22"/>
        </w:rPr>
        <w:t xml:space="preserve">建设统一、可扩展、可部署、可验证的智能算法模型库，完成二十类算法模型的工程化接入与标准化管理，支撑模型在中心节点、边缘节点及受控算法服务环境中的按需加载和统一调用，为分布式智能体形成技能集合、为上层任务工作流选择算法能力、为杀伤链智能化应用的闭环运行提供可靠的算法底座。</w:t>
      </w:r>
    </w:p>
    <w:p>
      <w:pPr>
        <w:pStyle w:val="Heading3"/>
        <w:spacing w:after="160" w:before="200" w:line="360"/>
      </w:pPr>
      <w:r>
        <w:rPr>
          <w:rFonts w:ascii="黑体" w:cs="黑体" w:eastAsia="黑体" w:hAnsi="黑体"/>
          <w:b/>
          <w:bCs/>
          <w:color w:val="000000"/>
          <w:sz w:val="24"/>
          <w:szCs w:val="24"/>
        </w:rPr>
        <w:t xml:space="preserve">1.2.2 具体目标</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6926"/>
      </w:tblGrid>
      <w:tr>
        <w:tc>
          <w:tcPr>
            <w:tcW w:type="dxa" w:w="2100"/>
            <w:tcBorders>
              <w:top w:val="single" w:color="A6A6A6" w:sz="4"/>
              <w:left w:val="single" w:color="A6A6A6" w:sz="4"/>
              <w:bottom w:val="single" w:color="A6A6A6" w:sz="4"/>
              <w:right w:val="single" w:color="A6A6A6" w:sz="4"/>
            </w:tcBorders>
            <w:shd w:fill="D9EAF7" w:val="clear"/>
            <w:tcMar>
              <w:top w:type="dxa" w:w="90"/>
              <w:left w:type="dxa" w:w="120"/>
              <w:bottom w:type="dxa" w:w="90"/>
              <w:right w:type="dxa" w:w="120"/>
            </w:tcMar>
            <w:vAlign w:val="center"/>
          </w:tcPr>
          <w:p>
            <w:pPr>
              <w:spacing w:after="0" w:line="280"/>
              <w:jc w:val="center"/>
            </w:pPr>
            <w:r>
              <w:rPr>
                <w:rFonts w:ascii="宋体" w:cs="宋体" w:eastAsia="宋体" w:hAnsi="宋体"/>
                <w:b/>
                <w:bCs/>
                <w:sz w:val="18"/>
                <w:szCs w:val="18"/>
              </w:rPr>
              <w:t xml:space="preserve">目标类别</w:t>
            </w:r>
          </w:p>
        </w:tc>
        <w:tc>
          <w:tcPr>
            <w:tcW w:type="dxa" w:w="6926"/>
            <w:tcBorders>
              <w:top w:val="single" w:color="A6A6A6" w:sz="4"/>
              <w:left w:val="single" w:color="A6A6A6" w:sz="4"/>
              <w:bottom w:val="single" w:color="A6A6A6" w:sz="4"/>
              <w:right w:val="single" w:color="A6A6A6" w:sz="4"/>
            </w:tcBorders>
            <w:shd w:fill="D9EAF7" w:val="clear"/>
            <w:tcMar>
              <w:top w:type="dxa" w:w="90"/>
              <w:left w:type="dxa" w:w="120"/>
              <w:bottom w:type="dxa" w:w="90"/>
              <w:right w:type="dxa" w:w="120"/>
            </w:tcMar>
            <w:vAlign w:val="center"/>
          </w:tcPr>
          <w:p>
            <w:pPr>
              <w:spacing w:after="0" w:line="280"/>
              <w:jc w:val="center"/>
            </w:pPr>
            <w:r>
              <w:rPr>
                <w:rFonts w:ascii="宋体" w:cs="宋体" w:eastAsia="宋体" w:hAnsi="宋体"/>
                <w:b/>
                <w:bCs/>
                <w:sz w:val="18"/>
                <w:szCs w:val="18"/>
              </w:rPr>
              <w:t xml:space="preserve">目标内容</w:t>
            </w:r>
          </w:p>
        </w:tc>
      </w:tr>
      <w:tr>
        <w:tc>
          <w:tcPr>
            <w:tcW w:type="dxa" w:w="21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left"/>
            </w:pPr>
            <w:r>
              <w:rPr>
                <w:rFonts w:ascii="宋体" w:cs="宋体" w:eastAsia="宋体" w:hAnsi="宋体"/>
                <w:b w:val="false"/>
                <w:bCs w:val="false"/>
                <w:sz w:val="18"/>
                <w:szCs w:val="18"/>
              </w:rPr>
              <w:t xml:space="preserve">统一描述目标</w:t>
            </w:r>
          </w:p>
        </w:tc>
        <w:tc>
          <w:tcPr>
            <w:tcW w:type="dxa" w:w="6926"/>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left"/>
            </w:pPr>
            <w:r>
              <w:rPr>
                <w:rFonts w:ascii="宋体" w:cs="宋体" w:eastAsia="宋体" w:hAnsi="宋体"/>
                <w:b w:val="false"/>
                <w:bCs w:val="false"/>
                <w:sz w:val="18"/>
                <w:szCs w:val="18"/>
              </w:rPr>
              <w:t xml:space="preserve">建立算法卡、输入输出 Schema、预处理/后处理配置、张量契约、性能指标、资源画像和安全约束等标准化描述机制。</w:t>
            </w:r>
          </w:p>
        </w:tc>
      </w:tr>
      <w:tr>
        <w:tc>
          <w:tcPr>
            <w:tcW w:type="dxa" w:w="21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left"/>
            </w:pPr>
            <w:r>
              <w:rPr>
                <w:rFonts w:ascii="宋体" w:cs="宋体" w:eastAsia="宋体" w:hAnsi="宋体"/>
                <w:b w:val="false"/>
                <w:bCs w:val="false"/>
                <w:sz w:val="18"/>
                <w:szCs w:val="18"/>
              </w:rPr>
              <w:t xml:space="preserve">统一管理目标</w:t>
            </w:r>
          </w:p>
        </w:tc>
        <w:tc>
          <w:tcPr>
            <w:tcW w:type="dxa" w:w="6926"/>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left"/>
            </w:pPr>
            <w:r>
              <w:rPr>
                <w:rFonts w:ascii="宋体" w:cs="宋体" w:eastAsia="宋体" w:hAnsi="宋体"/>
                <w:b w:val="false"/>
                <w:bCs w:val="false"/>
                <w:sz w:val="18"/>
                <w:szCs w:val="18"/>
              </w:rPr>
              <w:t xml:space="preserve">实现算法注册、校验、激活、查询、版本管理、部署状态维护、禁用和删除等生命周期管理能力。</w:t>
            </w:r>
          </w:p>
        </w:tc>
      </w:tr>
      <w:tr>
        <w:tc>
          <w:tcPr>
            <w:tcW w:type="dxa" w:w="21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left"/>
            </w:pPr>
            <w:r>
              <w:rPr>
                <w:rFonts w:ascii="宋体" w:cs="宋体" w:eastAsia="宋体" w:hAnsi="宋体"/>
                <w:b w:val="false"/>
                <w:bCs w:val="false"/>
                <w:sz w:val="18"/>
                <w:szCs w:val="18"/>
              </w:rPr>
              <w:t xml:space="preserve">统一运行目标</w:t>
            </w:r>
          </w:p>
        </w:tc>
        <w:tc>
          <w:tcPr>
            <w:tcW w:type="dxa" w:w="6926"/>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left"/>
            </w:pPr>
            <w:r>
              <w:rPr>
                <w:rFonts w:ascii="宋体" w:cs="宋体" w:eastAsia="宋体" w:hAnsi="宋体"/>
                <w:b w:val="false"/>
                <w:bCs w:val="false"/>
                <w:sz w:val="18"/>
                <w:szCs w:val="18"/>
              </w:rPr>
              <w:t xml:space="preserve">构建 ONNX 本地推理与 Python HTTP 服务双后端运行机制，向调用方提供一致的请求、结果、错误码和审计信息。</w:t>
            </w:r>
          </w:p>
        </w:tc>
      </w:tr>
      <w:tr>
        <w:tc>
          <w:tcPr>
            <w:tcW w:type="dxa" w:w="21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left"/>
            </w:pPr>
            <w:r>
              <w:rPr>
                <w:rFonts w:ascii="宋体" w:cs="宋体" w:eastAsia="宋体" w:hAnsi="宋体"/>
                <w:b w:val="false"/>
                <w:bCs w:val="false"/>
                <w:sz w:val="18"/>
                <w:szCs w:val="18"/>
              </w:rPr>
              <w:t xml:space="preserve">资源适配目标</w:t>
            </w:r>
          </w:p>
        </w:tc>
        <w:tc>
          <w:tcPr>
            <w:tcW w:type="dxa" w:w="6926"/>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left"/>
            </w:pPr>
            <w:r>
              <w:rPr>
                <w:rFonts w:ascii="宋体" w:cs="宋体" w:eastAsia="宋体" w:hAnsi="宋体"/>
                <w:b w:val="false"/>
                <w:bCs w:val="false"/>
                <w:sz w:val="18"/>
                <w:szCs w:val="18"/>
              </w:rPr>
              <w:t xml:space="preserve">记录 Params、FLOPs、模型文件大小、CPU/GPU、内存、显存、存储和带宽等资源指标，支撑按节点条件进行模型选择和加载。</w:t>
            </w:r>
          </w:p>
        </w:tc>
      </w:tr>
      <w:tr>
        <w:tc>
          <w:tcPr>
            <w:tcW w:type="dxa" w:w="21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left"/>
            </w:pPr>
            <w:r>
              <w:rPr>
                <w:rFonts w:ascii="宋体" w:cs="宋体" w:eastAsia="宋体" w:hAnsi="宋体"/>
                <w:b w:val="false"/>
                <w:bCs w:val="false"/>
                <w:sz w:val="18"/>
                <w:szCs w:val="18"/>
              </w:rPr>
              <w:t xml:space="preserve">功能映射目标</w:t>
            </w:r>
          </w:p>
        </w:tc>
        <w:tc>
          <w:tcPr>
            <w:tcW w:type="dxa" w:w="6926"/>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left"/>
            </w:pPr>
            <w:r>
              <w:rPr>
                <w:rFonts w:ascii="宋体" w:cs="宋体" w:eastAsia="宋体" w:hAnsi="宋体"/>
                <w:b w:val="false"/>
                <w:bCs w:val="false"/>
                <w:sz w:val="18"/>
                <w:szCs w:val="18"/>
              </w:rPr>
              <w:t xml:space="preserve">将算法能力映射至 OODA 与 F2T2EA 流程功能点，支撑检测、分类、跟踪、威胁研判、决策规划、执行控制和效果评估。</w:t>
            </w:r>
          </w:p>
        </w:tc>
      </w:tr>
      <w:tr>
        <w:tc>
          <w:tcPr>
            <w:tcW w:type="dxa" w:w="21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left"/>
            </w:pPr>
            <w:r>
              <w:rPr>
                <w:rFonts w:ascii="宋体" w:cs="宋体" w:eastAsia="宋体" w:hAnsi="宋体"/>
                <w:b w:val="false"/>
                <w:bCs w:val="false"/>
                <w:sz w:val="18"/>
                <w:szCs w:val="18"/>
              </w:rPr>
              <w:t xml:space="preserve">质量保障目标</w:t>
            </w:r>
          </w:p>
        </w:tc>
        <w:tc>
          <w:tcPr>
            <w:tcW w:type="dxa" w:w="6926"/>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left"/>
            </w:pPr>
            <w:r>
              <w:rPr>
                <w:rFonts w:ascii="宋体" w:cs="宋体" w:eastAsia="宋体" w:hAnsi="宋体"/>
                <w:b w:val="false"/>
                <w:bCs w:val="false"/>
                <w:sz w:val="18"/>
                <w:szCs w:val="18"/>
              </w:rPr>
              <w:t xml:space="preserve">通过 Schema 校验、模型包校验、服务健康检查、Golden Case 回归和运行审计，保证算法接入与调用过程可验证、可追溯。</w:t>
            </w:r>
          </w:p>
        </w:tc>
      </w:tr>
    </w:tbl>
    <w:p>
      <w:pPr>
        <w:pStyle w:val="Heading2"/>
        <w:spacing w:after="160" w:before="200" w:line="360"/>
      </w:pPr>
      <w:r>
        <w:rPr>
          <w:rFonts w:ascii="黑体" w:cs="黑体" w:eastAsia="黑体" w:hAnsi="黑体"/>
          <w:b/>
          <w:bCs/>
          <w:color w:val="000000"/>
          <w:sz w:val="28"/>
          <w:szCs w:val="28"/>
        </w:rPr>
        <w:t xml:space="preserve">1.3 建设范围</w:t>
      </w:r>
    </w:p>
    <w:p>
      <w:pPr>
        <w:pStyle w:val="Heading3"/>
        <w:spacing w:after="160" w:before="200" w:line="360"/>
      </w:pPr>
      <w:r>
        <w:rPr>
          <w:rFonts w:ascii="黑体" w:cs="黑体" w:eastAsia="黑体" w:hAnsi="黑体"/>
          <w:b/>
          <w:bCs/>
          <w:color w:val="000000"/>
          <w:sz w:val="24"/>
          <w:szCs w:val="24"/>
        </w:rPr>
        <w:t xml:space="preserve">1.3.1 纳入范围</w:t>
      </w:r>
    </w:p>
    <w:p>
      <w:pPr>
        <w:spacing w:after="180" w:before="0" w:line="360"/>
        <w:ind w:firstLine="480"/>
        <w:jc w:val="both"/>
      </w:pPr>
      <w:r>
        <w:rPr>
          <w:rFonts w:ascii="宋体" w:cs="宋体" w:eastAsia="宋体" w:hAnsi="宋体"/>
          <w:sz w:val="22"/>
          <w:szCs w:val="22"/>
        </w:rPr>
        <w:t xml:space="preserve">本报告覆盖的算法库范围包括算法资产、算法管理、统一运行、节点侧加载和对外服务接口五个方面：</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6926"/>
      </w:tblGrid>
      <w:tr>
        <w:tc>
          <w:tcPr>
            <w:tcW w:type="dxa" w:w="2100"/>
            <w:tcBorders>
              <w:top w:val="single" w:color="A6A6A6" w:sz="4"/>
              <w:left w:val="single" w:color="A6A6A6" w:sz="4"/>
              <w:bottom w:val="single" w:color="A6A6A6" w:sz="4"/>
              <w:right w:val="single" w:color="A6A6A6" w:sz="4"/>
            </w:tcBorders>
            <w:shd w:fill="D9EAF7" w:val="clear"/>
            <w:tcMar>
              <w:top w:type="dxa" w:w="90"/>
              <w:left w:type="dxa" w:w="120"/>
              <w:bottom w:type="dxa" w:w="90"/>
              <w:right w:type="dxa" w:w="120"/>
            </w:tcMar>
            <w:vAlign w:val="center"/>
          </w:tcPr>
          <w:p>
            <w:pPr>
              <w:spacing w:after="0" w:line="280"/>
              <w:jc w:val="center"/>
            </w:pPr>
            <w:r>
              <w:rPr>
                <w:rFonts w:ascii="宋体" w:cs="宋体" w:eastAsia="宋体" w:hAnsi="宋体"/>
                <w:b/>
                <w:bCs/>
                <w:sz w:val="18"/>
                <w:szCs w:val="18"/>
              </w:rPr>
              <w:t xml:space="preserve">范围维度</w:t>
            </w:r>
          </w:p>
        </w:tc>
        <w:tc>
          <w:tcPr>
            <w:tcW w:type="dxa" w:w="6926"/>
            <w:tcBorders>
              <w:top w:val="single" w:color="A6A6A6" w:sz="4"/>
              <w:left w:val="single" w:color="A6A6A6" w:sz="4"/>
              <w:bottom w:val="single" w:color="A6A6A6" w:sz="4"/>
              <w:right w:val="single" w:color="A6A6A6" w:sz="4"/>
            </w:tcBorders>
            <w:shd w:fill="D9EAF7" w:val="clear"/>
            <w:tcMar>
              <w:top w:type="dxa" w:w="90"/>
              <w:left w:type="dxa" w:w="120"/>
              <w:bottom w:type="dxa" w:w="90"/>
              <w:right w:type="dxa" w:w="120"/>
            </w:tcMar>
            <w:vAlign w:val="center"/>
          </w:tcPr>
          <w:p>
            <w:pPr>
              <w:spacing w:after="0" w:line="280"/>
              <w:jc w:val="center"/>
            </w:pPr>
            <w:r>
              <w:rPr>
                <w:rFonts w:ascii="宋体" w:cs="宋体" w:eastAsia="宋体" w:hAnsi="宋体"/>
                <w:b/>
                <w:bCs/>
                <w:sz w:val="18"/>
                <w:szCs w:val="18"/>
              </w:rPr>
              <w:t xml:space="preserve">主要内容</w:t>
            </w:r>
          </w:p>
        </w:tc>
      </w:tr>
      <w:tr>
        <w:tc>
          <w:tcPr>
            <w:tcW w:type="dxa" w:w="21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left"/>
            </w:pPr>
            <w:r>
              <w:rPr>
                <w:rFonts w:ascii="宋体" w:cs="宋体" w:eastAsia="宋体" w:hAnsi="宋体"/>
                <w:b w:val="false"/>
                <w:bCs w:val="false"/>
                <w:sz w:val="18"/>
                <w:szCs w:val="18"/>
              </w:rPr>
              <w:t xml:space="preserve">算法资产</w:t>
            </w:r>
          </w:p>
        </w:tc>
        <w:tc>
          <w:tcPr>
            <w:tcW w:type="dxa" w:w="6926"/>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left"/>
            </w:pPr>
            <w:r>
              <w:rPr>
                <w:rFonts w:ascii="宋体" w:cs="宋体" w:eastAsia="宋体" w:hAnsi="宋体"/>
                <w:b w:val="false"/>
                <w:bCs w:val="false"/>
                <w:sz w:val="18"/>
                <w:szCs w:val="18"/>
              </w:rPr>
              <w:t xml:space="preserve">二十类算法及其对应实现、模型文件、训练或参考数据、输入输出 Schema、算法卡、服务入口、预处理后处理配置及 Golden Case。</w:t>
            </w:r>
          </w:p>
        </w:tc>
      </w:tr>
      <w:tr>
        <w:tc>
          <w:tcPr>
            <w:tcW w:type="dxa" w:w="21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left"/>
            </w:pPr>
            <w:r>
              <w:rPr>
                <w:rFonts w:ascii="宋体" w:cs="宋体" w:eastAsia="宋体" w:hAnsi="宋体"/>
                <w:b w:val="false"/>
                <w:bCs w:val="false"/>
                <w:sz w:val="18"/>
                <w:szCs w:val="18"/>
              </w:rPr>
              <w:t xml:space="preserve">算法管理</w:t>
            </w:r>
          </w:p>
        </w:tc>
        <w:tc>
          <w:tcPr>
            <w:tcW w:type="dxa" w:w="6926"/>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left"/>
            </w:pPr>
            <w:r>
              <w:rPr>
                <w:rFonts w:ascii="宋体" w:cs="宋体" w:eastAsia="宋体" w:hAnsi="宋体"/>
                <w:b w:val="false"/>
                <w:bCs w:val="false"/>
                <w:sz w:val="18"/>
                <w:szCs w:val="18"/>
              </w:rPr>
              <w:t xml:space="preserve">算法注册、校验、激活、版本与状态维护、多维检索、部署记录、禁用和删除。</w:t>
            </w:r>
          </w:p>
        </w:tc>
      </w:tr>
      <w:tr>
        <w:tc>
          <w:tcPr>
            <w:tcW w:type="dxa" w:w="21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left"/>
            </w:pPr>
            <w:r>
              <w:rPr>
                <w:rFonts w:ascii="宋体" w:cs="宋体" w:eastAsia="宋体" w:hAnsi="宋体"/>
                <w:b w:val="false"/>
                <w:bCs w:val="false"/>
                <w:sz w:val="18"/>
                <w:szCs w:val="18"/>
              </w:rPr>
              <w:t xml:space="preserve">统一运行</w:t>
            </w:r>
          </w:p>
        </w:tc>
        <w:tc>
          <w:tcPr>
            <w:tcW w:type="dxa" w:w="6926"/>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left"/>
            </w:pPr>
            <w:r>
              <w:rPr>
                <w:rFonts w:ascii="宋体" w:cs="宋体" w:eastAsia="宋体" w:hAnsi="宋体"/>
                <w:b w:val="false"/>
                <w:bCs w:val="false"/>
                <w:sz w:val="18"/>
                <w:szCs w:val="18"/>
              </w:rPr>
              <w:t xml:space="preserve">请求封装、输入输出校验、ONNX Runner、Python HTTP Runner、并发池、运行缓存、模型加载和执行审计。</w:t>
            </w:r>
          </w:p>
        </w:tc>
      </w:tr>
      <w:tr>
        <w:tc>
          <w:tcPr>
            <w:tcW w:type="dxa" w:w="21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left"/>
            </w:pPr>
            <w:r>
              <w:rPr>
                <w:rFonts w:ascii="宋体" w:cs="宋体" w:eastAsia="宋体" w:hAnsi="宋体"/>
                <w:b w:val="false"/>
                <w:bCs w:val="false"/>
                <w:sz w:val="18"/>
                <w:szCs w:val="18"/>
              </w:rPr>
              <w:t xml:space="preserve">节点侧部署</w:t>
            </w:r>
          </w:p>
        </w:tc>
        <w:tc>
          <w:tcPr>
            <w:tcW w:type="dxa" w:w="6926"/>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left"/>
            </w:pPr>
            <w:r>
              <w:rPr>
                <w:rFonts w:ascii="宋体" w:cs="宋体" w:eastAsia="宋体" w:hAnsi="宋体"/>
                <w:b w:val="false"/>
                <w:bCs w:val="false"/>
                <w:sz w:val="18"/>
                <w:szCs w:val="18"/>
              </w:rPr>
              <w:t xml:space="preserve">模型包分发、本地加载、缓存复用、部署状态回写、资源约束匹配及模型版本切换。</w:t>
            </w:r>
          </w:p>
        </w:tc>
      </w:tr>
      <w:tr>
        <w:tc>
          <w:tcPr>
            <w:tcW w:type="dxa" w:w="21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left"/>
            </w:pPr>
            <w:r>
              <w:rPr>
                <w:rFonts w:ascii="宋体" w:cs="宋体" w:eastAsia="宋体" w:hAnsi="宋体"/>
                <w:b w:val="false"/>
                <w:bCs w:val="false"/>
                <w:sz w:val="18"/>
                <w:szCs w:val="18"/>
              </w:rPr>
              <w:t xml:space="preserve">对外接入</w:t>
            </w:r>
          </w:p>
        </w:tc>
        <w:tc>
          <w:tcPr>
            <w:tcW w:type="dxa" w:w="6926"/>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left"/>
            </w:pPr>
            <w:r>
              <w:rPr>
                <w:rFonts w:ascii="宋体" w:cs="宋体" w:eastAsia="宋体" w:hAnsi="宋体"/>
                <w:b w:val="false"/>
                <w:bCs w:val="false"/>
                <w:sz w:val="18"/>
                <w:szCs w:val="18"/>
              </w:rPr>
              <w:t xml:space="preserve">HTTP API、CLI、模型文件服务、Agent 调用接口、健康检查与运行状态查询。</w:t>
            </w:r>
          </w:p>
        </w:tc>
      </w:tr>
    </w:tbl>
    <w:p>
      <w:pPr>
        <w:pStyle w:val="Heading3"/>
        <w:spacing w:after="160" w:before="200" w:line="360"/>
      </w:pPr>
      <w:r>
        <w:rPr>
          <w:rFonts w:ascii="黑体" w:cs="黑体" w:eastAsia="黑体" w:hAnsi="黑体"/>
          <w:b/>
          <w:bCs/>
          <w:color w:val="000000"/>
          <w:sz w:val="24"/>
          <w:szCs w:val="24"/>
        </w:rPr>
        <w:t xml:space="preserve">1.3.2 二十类算法范围</w:t>
      </w:r>
    </w:p>
    <w:p>
      <w:pPr>
        <w:spacing w:after="180" w:before="0" w:line="360"/>
        <w:ind w:firstLine="480"/>
        <w:jc w:val="both"/>
      </w:pPr>
      <w:r>
        <w:rPr>
          <w:rFonts w:ascii="宋体" w:cs="宋体" w:eastAsia="宋体" w:hAnsi="宋体"/>
          <w:sz w:val="22"/>
          <w:szCs w:val="22"/>
        </w:rPr>
        <w:t xml:space="preserve">本期算法库以二十类算法模型为范围边界。每类算法可包含一个或多个具体实现，并根据节点资源、精度要求和运行环境提供 Python HTTP 服务版、ONNX 本地推理版或规则/传统机器学习版等不同形态。具体清单见表1-1。</w:t>
      </w:r>
    </w:p>
    <w:p>
      <w:pPr>
        <w:spacing w:after="100" w:before="120"/>
        <w:jc w:val="center"/>
      </w:pPr>
      <w:r>
        <w:rPr>
          <w:rFonts w:ascii="宋体" w:cs="宋体" w:eastAsia="宋体" w:hAnsi="宋体"/>
          <w:b/>
          <w:bCs/>
          <w:sz w:val="20"/>
          <w:szCs w:val="20"/>
        </w:rPr>
        <w:t xml:space="preserve">表1-1  本期纳入的二十类算法模型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6026"/>
      </w:tblGrid>
      <w:tr>
        <w:tc>
          <w:tcPr>
            <w:tcW w:type="dxa" w:w="900"/>
            <w:tcBorders>
              <w:top w:val="single" w:color="A6A6A6" w:sz="4"/>
              <w:left w:val="single" w:color="A6A6A6" w:sz="4"/>
              <w:bottom w:val="single" w:color="A6A6A6" w:sz="4"/>
              <w:right w:val="single" w:color="A6A6A6" w:sz="4"/>
            </w:tcBorders>
            <w:shd w:fill="D9EAF7" w:val="clear"/>
            <w:tcMar>
              <w:top w:type="dxa" w:w="90"/>
              <w:left w:type="dxa" w:w="120"/>
              <w:bottom w:type="dxa" w:w="90"/>
              <w:right w:type="dxa" w:w="120"/>
            </w:tcMar>
            <w:vAlign w:val="center"/>
          </w:tcPr>
          <w:p>
            <w:pPr>
              <w:spacing w:after="0" w:line="280"/>
              <w:jc w:val="center"/>
            </w:pPr>
            <w:r>
              <w:rPr>
                <w:rFonts w:ascii="宋体" w:cs="宋体" w:eastAsia="宋体" w:hAnsi="宋体"/>
                <w:b/>
                <w:bCs/>
                <w:sz w:val="18"/>
                <w:szCs w:val="18"/>
              </w:rPr>
              <w:t xml:space="preserve">编号</w:t>
            </w:r>
          </w:p>
        </w:tc>
        <w:tc>
          <w:tcPr>
            <w:tcW w:type="dxa" w:w="2100"/>
            <w:tcBorders>
              <w:top w:val="single" w:color="A6A6A6" w:sz="4"/>
              <w:left w:val="single" w:color="A6A6A6" w:sz="4"/>
              <w:bottom w:val="single" w:color="A6A6A6" w:sz="4"/>
              <w:right w:val="single" w:color="A6A6A6" w:sz="4"/>
            </w:tcBorders>
            <w:shd w:fill="D9EAF7" w:val="clear"/>
            <w:tcMar>
              <w:top w:type="dxa" w:w="90"/>
              <w:left w:type="dxa" w:w="120"/>
              <w:bottom w:type="dxa" w:w="90"/>
              <w:right w:type="dxa" w:w="120"/>
            </w:tcMar>
            <w:vAlign w:val="center"/>
          </w:tcPr>
          <w:p>
            <w:pPr>
              <w:spacing w:after="0" w:line="280"/>
              <w:jc w:val="center"/>
            </w:pPr>
            <w:r>
              <w:rPr>
                <w:rFonts w:ascii="宋体" w:cs="宋体" w:eastAsia="宋体" w:hAnsi="宋体"/>
                <w:b/>
                <w:bCs/>
                <w:sz w:val="18"/>
                <w:szCs w:val="18"/>
              </w:rPr>
              <w:t xml:space="preserve">算法类别</w:t>
            </w:r>
          </w:p>
        </w:tc>
        <w:tc>
          <w:tcPr>
            <w:tcW w:type="dxa" w:w="6026"/>
            <w:tcBorders>
              <w:top w:val="single" w:color="A6A6A6" w:sz="4"/>
              <w:left w:val="single" w:color="A6A6A6" w:sz="4"/>
              <w:bottom w:val="single" w:color="A6A6A6" w:sz="4"/>
              <w:right w:val="single" w:color="A6A6A6" w:sz="4"/>
            </w:tcBorders>
            <w:shd w:fill="D9EAF7" w:val="clear"/>
            <w:tcMar>
              <w:top w:type="dxa" w:w="90"/>
              <w:left w:type="dxa" w:w="120"/>
              <w:bottom w:type="dxa" w:w="90"/>
              <w:right w:type="dxa" w:w="120"/>
            </w:tcMar>
            <w:vAlign w:val="center"/>
          </w:tcPr>
          <w:p>
            <w:pPr>
              <w:spacing w:after="0" w:line="280"/>
              <w:jc w:val="center"/>
            </w:pPr>
            <w:r>
              <w:rPr>
                <w:rFonts w:ascii="宋体" w:cs="宋体" w:eastAsia="宋体" w:hAnsi="宋体"/>
                <w:b/>
                <w:bCs/>
                <w:sz w:val="18"/>
                <w:szCs w:val="18"/>
              </w:rPr>
              <w:t xml:space="preserve">主要实现</w:t>
            </w:r>
          </w:p>
        </w:tc>
      </w:tr>
      <w:tr>
        <w:tc>
          <w:tcPr>
            <w:tcW w:type="dxa" w:w="9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left"/>
            </w:pPr>
            <w:r>
              <w:rPr>
                <w:rFonts w:ascii="宋体" w:cs="宋体" w:eastAsia="宋体" w:hAnsi="宋体"/>
                <w:b w:val="false"/>
                <w:bCs w:val="false"/>
                <w:sz w:val="18"/>
                <w:szCs w:val="18"/>
              </w:rPr>
              <w:t xml:space="preserve">M01</w:t>
            </w:r>
          </w:p>
        </w:tc>
        <w:tc>
          <w:tcPr>
            <w:tcW w:type="dxa" w:w="21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left"/>
            </w:pPr>
            <w:r>
              <w:rPr>
                <w:rFonts w:ascii="宋体" w:cs="宋体" w:eastAsia="宋体" w:hAnsi="宋体"/>
                <w:b w:val="false"/>
                <w:bCs w:val="false"/>
                <w:sz w:val="18"/>
                <w:szCs w:val="18"/>
              </w:rPr>
              <w:t xml:space="preserve">聚类算法</w:t>
            </w:r>
          </w:p>
        </w:tc>
        <w:tc>
          <w:tcPr>
            <w:tcW w:type="dxa" w:w="6026"/>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left"/>
            </w:pPr>
            <w:r>
              <w:rPr>
                <w:rFonts w:ascii="宋体" w:cs="宋体" w:eastAsia="宋体" w:hAnsi="宋体"/>
                <w:b w:val="false"/>
                <w:bCs w:val="false"/>
                <w:sz w:val="18"/>
                <w:szCs w:val="18"/>
              </w:rPr>
              <w:t xml:space="preserve">clustering_engine</w:t>
            </w:r>
          </w:p>
        </w:tc>
      </w:tr>
      <w:tr>
        <w:tc>
          <w:tcPr>
            <w:tcW w:type="dxa" w:w="9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left"/>
            </w:pPr>
            <w:r>
              <w:rPr>
                <w:rFonts w:ascii="宋体" w:cs="宋体" w:eastAsia="宋体" w:hAnsi="宋体"/>
                <w:b w:val="false"/>
                <w:bCs w:val="false"/>
                <w:sz w:val="18"/>
                <w:szCs w:val="18"/>
              </w:rPr>
              <w:t xml:space="preserve">M02</w:t>
            </w:r>
          </w:p>
        </w:tc>
        <w:tc>
          <w:tcPr>
            <w:tcW w:type="dxa" w:w="21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left"/>
            </w:pPr>
            <w:r>
              <w:rPr>
                <w:rFonts w:ascii="宋体" w:cs="宋体" w:eastAsia="宋体" w:hAnsi="宋体"/>
                <w:b w:val="false"/>
                <w:bCs w:val="false"/>
                <w:sz w:val="18"/>
                <w:szCs w:val="18"/>
              </w:rPr>
              <w:t xml:space="preserve">关联算法</w:t>
            </w:r>
          </w:p>
        </w:tc>
        <w:tc>
          <w:tcPr>
            <w:tcW w:type="dxa" w:w="6026"/>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left"/>
            </w:pPr>
            <w:r>
              <w:rPr>
                <w:rFonts w:ascii="宋体" w:cs="宋体" w:eastAsia="宋体" w:hAnsi="宋体"/>
                <w:b w:val="false"/>
                <w:bCs w:val="false"/>
                <w:sz w:val="18"/>
                <w:szCs w:val="18"/>
              </w:rPr>
              <w:t xml:space="preserve">execution_rule_matcher</w:t>
            </w:r>
          </w:p>
        </w:tc>
      </w:tr>
      <w:tr>
        <w:tc>
          <w:tcPr>
            <w:tcW w:type="dxa" w:w="9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left"/>
            </w:pPr>
            <w:r>
              <w:rPr>
                <w:rFonts w:ascii="宋体" w:cs="宋体" w:eastAsia="宋体" w:hAnsi="宋体"/>
                <w:b w:val="false"/>
                <w:bCs w:val="false"/>
                <w:sz w:val="18"/>
                <w:szCs w:val="18"/>
              </w:rPr>
              <w:t xml:space="preserve">M03</w:t>
            </w:r>
          </w:p>
        </w:tc>
        <w:tc>
          <w:tcPr>
            <w:tcW w:type="dxa" w:w="21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left"/>
            </w:pPr>
            <w:r>
              <w:rPr>
                <w:rFonts w:ascii="宋体" w:cs="宋体" w:eastAsia="宋体" w:hAnsi="宋体"/>
                <w:b w:val="false"/>
                <w:bCs w:val="false"/>
                <w:sz w:val="18"/>
                <w:szCs w:val="18"/>
              </w:rPr>
              <w:t xml:space="preserve">线性回归</w:t>
            </w:r>
          </w:p>
        </w:tc>
        <w:tc>
          <w:tcPr>
            <w:tcW w:type="dxa" w:w="6026"/>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left"/>
            </w:pPr>
            <w:r>
              <w:rPr>
                <w:rFonts w:ascii="宋体" w:cs="宋体" w:eastAsia="宋体" w:hAnsi="宋体"/>
                <w:b w:val="false"/>
                <w:bCs w:val="false"/>
                <w:sz w:val="18"/>
                <w:szCs w:val="18"/>
              </w:rPr>
              <w:t xml:space="preserve">trajectory_linear_predictor</w:t>
            </w:r>
          </w:p>
        </w:tc>
      </w:tr>
      <w:tr>
        <w:tc>
          <w:tcPr>
            <w:tcW w:type="dxa" w:w="9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left"/>
            </w:pPr>
            <w:r>
              <w:rPr>
                <w:rFonts w:ascii="宋体" w:cs="宋体" w:eastAsia="宋体" w:hAnsi="宋体"/>
                <w:b w:val="false"/>
                <w:bCs w:val="false"/>
                <w:sz w:val="18"/>
                <w:szCs w:val="18"/>
              </w:rPr>
              <w:t xml:space="preserve">M04</w:t>
            </w:r>
          </w:p>
        </w:tc>
        <w:tc>
          <w:tcPr>
            <w:tcW w:type="dxa" w:w="21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left"/>
            </w:pPr>
            <w:r>
              <w:rPr>
                <w:rFonts w:ascii="宋体" w:cs="宋体" w:eastAsia="宋体" w:hAnsi="宋体"/>
                <w:b w:val="false"/>
                <w:bCs w:val="false"/>
                <w:sz w:val="18"/>
                <w:szCs w:val="18"/>
              </w:rPr>
              <w:t xml:space="preserve">逻辑回归</w:t>
            </w:r>
          </w:p>
        </w:tc>
        <w:tc>
          <w:tcPr>
            <w:tcW w:type="dxa" w:w="6026"/>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left"/>
            </w:pPr>
            <w:r>
              <w:rPr>
                <w:rFonts w:ascii="宋体" w:cs="宋体" w:eastAsia="宋体" w:hAnsi="宋体"/>
                <w:b w:val="false"/>
                <w:bCs w:val="false"/>
                <w:sz w:val="18"/>
                <w:szCs w:val="18"/>
              </w:rPr>
              <w:t xml:space="preserve">decision_plan_recommender_onnx；compliance_risk_scorer_onnx</w:t>
            </w:r>
          </w:p>
        </w:tc>
      </w:tr>
      <w:tr>
        <w:tc>
          <w:tcPr>
            <w:tcW w:type="dxa" w:w="9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left"/>
            </w:pPr>
            <w:r>
              <w:rPr>
                <w:rFonts w:ascii="宋体" w:cs="宋体" w:eastAsia="宋体" w:hAnsi="宋体"/>
                <w:b w:val="false"/>
                <w:bCs w:val="false"/>
                <w:sz w:val="18"/>
                <w:szCs w:val="18"/>
              </w:rPr>
              <w:t xml:space="preserve">M05</w:t>
            </w:r>
          </w:p>
        </w:tc>
        <w:tc>
          <w:tcPr>
            <w:tcW w:type="dxa" w:w="21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left"/>
            </w:pPr>
            <w:r>
              <w:rPr>
                <w:rFonts w:ascii="宋体" w:cs="宋体" w:eastAsia="宋体" w:hAnsi="宋体"/>
                <w:b w:val="false"/>
                <w:bCs w:val="false"/>
                <w:sz w:val="18"/>
                <w:szCs w:val="18"/>
              </w:rPr>
              <w:t xml:space="preserve">随机森林</w:t>
            </w:r>
          </w:p>
        </w:tc>
        <w:tc>
          <w:tcPr>
            <w:tcW w:type="dxa" w:w="6026"/>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left"/>
            </w:pPr>
            <w:r>
              <w:rPr>
                <w:rFonts w:ascii="宋体" w:cs="宋体" w:eastAsia="宋体" w:hAnsi="宋体"/>
                <w:b w:val="false"/>
                <w:bCs w:val="false"/>
                <w:sz w:val="18"/>
                <w:szCs w:val="18"/>
              </w:rPr>
              <w:t xml:space="preserve">threat_priority_random_forest 及 ONNX 版</w:t>
            </w:r>
          </w:p>
        </w:tc>
      </w:tr>
      <w:tr>
        <w:tc>
          <w:tcPr>
            <w:tcW w:type="dxa" w:w="9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left"/>
            </w:pPr>
            <w:r>
              <w:rPr>
                <w:rFonts w:ascii="宋体" w:cs="宋体" w:eastAsia="宋体" w:hAnsi="宋体"/>
                <w:b w:val="false"/>
                <w:bCs w:val="false"/>
                <w:sz w:val="18"/>
                <w:szCs w:val="18"/>
              </w:rPr>
              <w:t xml:space="preserve">M06</w:t>
            </w:r>
          </w:p>
        </w:tc>
        <w:tc>
          <w:tcPr>
            <w:tcW w:type="dxa" w:w="21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left"/>
            </w:pPr>
            <w:r>
              <w:rPr>
                <w:rFonts w:ascii="宋体" w:cs="宋体" w:eastAsia="宋体" w:hAnsi="宋体"/>
                <w:b w:val="false"/>
                <w:bCs w:val="false"/>
                <w:sz w:val="18"/>
                <w:szCs w:val="18"/>
              </w:rPr>
              <w:t xml:space="preserve">传统神经网络</w:t>
            </w:r>
          </w:p>
        </w:tc>
        <w:tc>
          <w:tcPr>
            <w:tcW w:type="dxa" w:w="6026"/>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left"/>
            </w:pPr>
            <w:r>
              <w:rPr>
                <w:rFonts w:ascii="宋体" w:cs="宋体" w:eastAsia="宋体" w:hAnsi="宋体"/>
                <w:b w:val="false"/>
                <w:bCs w:val="false"/>
                <w:sz w:val="18"/>
                <w:szCs w:val="18"/>
              </w:rPr>
              <w:t xml:space="preserve">supcon_meta_classifier 及 ONNX 版</w:t>
            </w:r>
          </w:p>
        </w:tc>
      </w:tr>
      <w:tr>
        <w:tc>
          <w:tcPr>
            <w:tcW w:type="dxa" w:w="9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left"/>
            </w:pPr>
            <w:r>
              <w:rPr>
                <w:rFonts w:ascii="宋体" w:cs="宋体" w:eastAsia="宋体" w:hAnsi="宋体"/>
                <w:b w:val="false"/>
                <w:bCs w:val="false"/>
                <w:sz w:val="18"/>
                <w:szCs w:val="18"/>
              </w:rPr>
              <w:t xml:space="preserve">M07</w:t>
            </w:r>
          </w:p>
        </w:tc>
        <w:tc>
          <w:tcPr>
            <w:tcW w:type="dxa" w:w="21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left"/>
            </w:pPr>
            <w:r>
              <w:rPr>
                <w:rFonts w:ascii="宋体" w:cs="宋体" w:eastAsia="宋体" w:hAnsi="宋体"/>
                <w:b w:val="false"/>
                <w:bCs w:val="false"/>
                <w:sz w:val="18"/>
                <w:szCs w:val="18"/>
              </w:rPr>
              <w:t xml:space="preserve">朴素贝叶斯</w:t>
            </w:r>
          </w:p>
        </w:tc>
        <w:tc>
          <w:tcPr>
            <w:tcW w:type="dxa" w:w="6026"/>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left"/>
            </w:pPr>
            <w:r>
              <w:rPr>
                <w:rFonts w:ascii="宋体" w:cs="宋体" w:eastAsia="宋体" w:hAnsi="宋体"/>
                <w:b w:val="false"/>
                <w:bCs w:val="false"/>
                <w:sz w:val="18"/>
                <w:szCs w:val="18"/>
              </w:rPr>
              <w:t xml:space="preserve">intent_gaussian_naive_bayes 及 ONNX 版</w:t>
            </w:r>
          </w:p>
        </w:tc>
      </w:tr>
      <w:tr>
        <w:tc>
          <w:tcPr>
            <w:tcW w:type="dxa" w:w="9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left"/>
            </w:pPr>
            <w:r>
              <w:rPr>
                <w:rFonts w:ascii="宋体" w:cs="宋体" w:eastAsia="宋体" w:hAnsi="宋体"/>
                <w:b w:val="false"/>
                <w:bCs w:val="false"/>
                <w:sz w:val="18"/>
                <w:szCs w:val="18"/>
              </w:rPr>
              <w:t xml:space="preserve">M08</w:t>
            </w:r>
          </w:p>
        </w:tc>
        <w:tc>
          <w:tcPr>
            <w:tcW w:type="dxa" w:w="21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left"/>
            </w:pPr>
            <w:r>
              <w:rPr>
                <w:rFonts w:ascii="宋体" w:cs="宋体" w:eastAsia="宋体" w:hAnsi="宋体"/>
                <w:b w:val="false"/>
                <w:bCs w:val="false"/>
                <w:sz w:val="18"/>
                <w:szCs w:val="18"/>
              </w:rPr>
              <w:t xml:space="preserve">生成对抗网络</w:t>
            </w:r>
          </w:p>
        </w:tc>
        <w:tc>
          <w:tcPr>
            <w:tcW w:type="dxa" w:w="6026"/>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left"/>
            </w:pPr>
            <w:r>
              <w:rPr>
                <w:rFonts w:ascii="宋体" w:cs="宋体" w:eastAsia="宋体" w:hAnsi="宋体"/>
                <w:b w:val="false"/>
                <w:bCs w:val="false"/>
                <w:sz w:val="18"/>
                <w:szCs w:val="18"/>
              </w:rPr>
              <w:t xml:space="preserve">conditional_tabular_gan 及 ONNX 版</w:t>
            </w:r>
          </w:p>
        </w:tc>
      </w:tr>
      <w:tr>
        <w:tc>
          <w:tcPr>
            <w:tcW w:type="dxa" w:w="9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left"/>
            </w:pPr>
            <w:r>
              <w:rPr>
                <w:rFonts w:ascii="宋体" w:cs="宋体" w:eastAsia="宋体" w:hAnsi="宋体"/>
                <w:b w:val="false"/>
                <w:bCs w:val="false"/>
                <w:sz w:val="18"/>
                <w:szCs w:val="18"/>
              </w:rPr>
              <w:t xml:space="preserve">M09</w:t>
            </w:r>
          </w:p>
        </w:tc>
        <w:tc>
          <w:tcPr>
            <w:tcW w:type="dxa" w:w="21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left"/>
            </w:pPr>
            <w:r>
              <w:rPr>
                <w:rFonts w:ascii="宋体" w:cs="宋体" w:eastAsia="宋体" w:hAnsi="宋体"/>
                <w:b w:val="false"/>
                <w:bCs w:val="false"/>
                <w:sz w:val="18"/>
                <w:szCs w:val="18"/>
              </w:rPr>
              <w:t xml:space="preserve">大语言模型</w:t>
            </w:r>
          </w:p>
        </w:tc>
        <w:tc>
          <w:tcPr>
            <w:tcW w:type="dxa" w:w="6026"/>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left"/>
            </w:pPr>
            <w:r>
              <w:rPr>
                <w:rFonts w:ascii="宋体" w:cs="宋体" w:eastAsia="宋体" w:hAnsi="宋体"/>
                <w:b w:val="false"/>
                <w:bCs w:val="false"/>
                <w:sz w:val="18"/>
                <w:szCs w:val="18"/>
              </w:rPr>
              <w:t xml:space="preserve">llm_rule_explainer</w:t>
            </w:r>
          </w:p>
        </w:tc>
      </w:tr>
      <w:tr>
        <w:tc>
          <w:tcPr>
            <w:tcW w:type="dxa" w:w="9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left"/>
            </w:pPr>
            <w:r>
              <w:rPr>
                <w:rFonts w:ascii="宋体" w:cs="宋体" w:eastAsia="宋体" w:hAnsi="宋体"/>
                <w:b w:val="false"/>
                <w:bCs w:val="false"/>
                <w:sz w:val="18"/>
                <w:szCs w:val="18"/>
              </w:rPr>
              <w:t xml:space="preserve">M10</w:t>
            </w:r>
          </w:p>
        </w:tc>
        <w:tc>
          <w:tcPr>
            <w:tcW w:type="dxa" w:w="21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left"/>
            </w:pPr>
            <w:r>
              <w:rPr>
                <w:rFonts w:ascii="宋体" w:cs="宋体" w:eastAsia="宋体" w:hAnsi="宋体"/>
                <w:b w:val="false"/>
                <w:bCs w:val="false"/>
                <w:sz w:val="18"/>
                <w:szCs w:val="18"/>
              </w:rPr>
              <w:t xml:space="preserve">RAG 模型</w:t>
            </w:r>
          </w:p>
        </w:tc>
        <w:tc>
          <w:tcPr>
            <w:tcW w:type="dxa" w:w="6026"/>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left"/>
            </w:pPr>
            <w:r>
              <w:rPr>
                <w:rFonts w:ascii="宋体" w:cs="宋体" w:eastAsia="宋体" w:hAnsi="宋体"/>
                <w:b w:val="false"/>
                <w:bCs w:val="false"/>
                <w:sz w:val="18"/>
                <w:szCs w:val="18"/>
              </w:rPr>
              <w:t xml:space="preserve">synapse_rag_retriever</w:t>
            </w:r>
          </w:p>
        </w:tc>
      </w:tr>
      <w:tr>
        <w:tc>
          <w:tcPr>
            <w:tcW w:type="dxa" w:w="9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left"/>
            </w:pPr>
            <w:r>
              <w:rPr>
                <w:rFonts w:ascii="宋体" w:cs="宋体" w:eastAsia="宋体" w:hAnsi="宋体"/>
                <w:b w:val="false"/>
                <w:bCs w:val="false"/>
                <w:sz w:val="18"/>
                <w:szCs w:val="18"/>
              </w:rPr>
              <w:t xml:space="preserve">M11</w:t>
            </w:r>
          </w:p>
        </w:tc>
        <w:tc>
          <w:tcPr>
            <w:tcW w:type="dxa" w:w="21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left"/>
            </w:pPr>
            <w:r>
              <w:rPr>
                <w:rFonts w:ascii="宋体" w:cs="宋体" w:eastAsia="宋体" w:hAnsi="宋体"/>
                <w:b w:val="false"/>
                <w:bCs w:val="false"/>
                <w:sz w:val="18"/>
                <w:szCs w:val="18"/>
              </w:rPr>
              <w:t xml:space="preserve">智能体模型</w:t>
            </w:r>
          </w:p>
        </w:tc>
        <w:tc>
          <w:tcPr>
            <w:tcW w:type="dxa" w:w="6026"/>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left"/>
            </w:pPr>
            <w:r>
              <w:rPr>
                <w:rFonts w:ascii="宋体" w:cs="宋体" w:eastAsia="宋体" w:hAnsi="宋体"/>
                <w:b w:val="false"/>
                <w:bCs w:val="false"/>
                <w:sz w:val="18"/>
                <w:szCs w:val="18"/>
              </w:rPr>
              <w:t xml:space="preserve">decision_planning_core</w:t>
            </w:r>
          </w:p>
        </w:tc>
      </w:tr>
      <w:tr>
        <w:tc>
          <w:tcPr>
            <w:tcW w:type="dxa" w:w="9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left"/>
            </w:pPr>
            <w:r>
              <w:rPr>
                <w:rFonts w:ascii="宋体" w:cs="宋体" w:eastAsia="宋体" w:hAnsi="宋体"/>
                <w:b w:val="false"/>
                <w:bCs w:val="false"/>
                <w:sz w:val="18"/>
                <w:szCs w:val="18"/>
              </w:rPr>
              <w:t xml:space="preserve">M12</w:t>
            </w:r>
          </w:p>
        </w:tc>
        <w:tc>
          <w:tcPr>
            <w:tcW w:type="dxa" w:w="21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left"/>
            </w:pPr>
            <w:r>
              <w:rPr>
                <w:rFonts w:ascii="宋体" w:cs="宋体" w:eastAsia="宋体" w:hAnsi="宋体"/>
                <w:b w:val="false"/>
                <w:bCs w:val="false"/>
                <w:sz w:val="18"/>
                <w:szCs w:val="18"/>
              </w:rPr>
              <w:t xml:space="preserve">联邦学习</w:t>
            </w:r>
          </w:p>
        </w:tc>
        <w:tc>
          <w:tcPr>
            <w:tcW w:type="dxa" w:w="6026"/>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left"/>
            </w:pPr>
            <w:r>
              <w:rPr>
                <w:rFonts w:ascii="宋体" w:cs="宋体" w:eastAsia="宋体" w:hAnsi="宋体"/>
                <w:b w:val="false"/>
                <w:bCs w:val="false"/>
                <w:sz w:val="18"/>
                <w:szCs w:val="18"/>
              </w:rPr>
              <w:t xml:space="preserve">federated_fedavg_aggregator</w:t>
            </w:r>
          </w:p>
        </w:tc>
      </w:tr>
      <w:tr>
        <w:tc>
          <w:tcPr>
            <w:tcW w:type="dxa" w:w="9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left"/>
            </w:pPr>
            <w:r>
              <w:rPr>
                <w:rFonts w:ascii="宋体" w:cs="宋体" w:eastAsia="宋体" w:hAnsi="宋体"/>
                <w:b w:val="false"/>
                <w:bCs w:val="false"/>
                <w:sz w:val="18"/>
                <w:szCs w:val="18"/>
              </w:rPr>
              <w:t xml:space="preserve">M13</w:t>
            </w:r>
          </w:p>
        </w:tc>
        <w:tc>
          <w:tcPr>
            <w:tcW w:type="dxa" w:w="21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left"/>
            </w:pPr>
            <w:r>
              <w:rPr>
                <w:rFonts w:ascii="宋体" w:cs="宋体" w:eastAsia="宋体" w:hAnsi="宋体"/>
                <w:b w:val="false"/>
                <w:bCs w:val="false"/>
                <w:sz w:val="18"/>
                <w:szCs w:val="18"/>
              </w:rPr>
              <w:t xml:space="preserve">强化学习</w:t>
            </w:r>
          </w:p>
        </w:tc>
        <w:tc>
          <w:tcPr>
            <w:tcW w:type="dxa" w:w="6026"/>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left"/>
            </w:pPr>
            <w:r>
              <w:rPr>
                <w:rFonts w:ascii="宋体" w:cs="宋体" w:eastAsia="宋体" w:hAnsi="宋体"/>
                <w:b w:val="false"/>
                <w:bCs w:val="false"/>
                <w:sz w:val="18"/>
                <w:szCs w:val="18"/>
              </w:rPr>
              <w:t xml:space="preserve">marl_ppo_task_scheduler 及 ONNX 版</w:t>
            </w:r>
          </w:p>
        </w:tc>
      </w:tr>
      <w:tr>
        <w:tc>
          <w:tcPr>
            <w:tcW w:type="dxa" w:w="9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left"/>
            </w:pPr>
            <w:r>
              <w:rPr>
                <w:rFonts w:ascii="宋体" w:cs="宋体" w:eastAsia="宋体" w:hAnsi="宋体"/>
                <w:b w:val="false"/>
                <w:bCs w:val="false"/>
                <w:sz w:val="18"/>
                <w:szCs w:val="18"/>
              </w:rPr>
              <w:t xml:space="preserve">M14</w:t>
            </w:r>
          </w:p>
        </w:tc>
        <w:tc>
          <w:tcPr>
            <w:tcW w:type="dxa" w:w="21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left"/>
            </w:pPr>
            <w:r>
              <w:rPr>
                <w:rFonts w:ascii="宋体" w:cs="宋体" w:eastAsia="宋体" w:hAnsi="宋体"/>
                <w:b w:val="false"/>
                <w:bCs w:val="false"/>
                <w:sz w:val="18"/>
                <w:szCs w:val="18"/>
              </w:rPr>
              <w:t xml:space="preserve">可解释 AI</w:t>
            </w:r>
          </w:p>
        </w:tc>
        <w:tc>
          <w:tcPr>
            <w:tcW w:type="dxa" w:w="6026"/>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left"/>
            </w:pPr>
            <w:r>
              <w:rPr>
                <w:rFonts w:ascii="宋体" w:cs="宋体" w:eastAsia="宋体" w:hAnsi="宋体"/>
                <w:b w:val="false"/>
                <w:bCs w:val="false"/>
                <w:sz w:val="18"/>
                <w:szCs w:val="18"/>
              </w:rPr>
              <w:t xml:space="preserve">edl_evidential_verifier 及 ONNX 版</w:t>
            </w:r>
          </w:p>
        </w:tc>
      </w:tr>
      <w:tr>
        <w:tc>
          <w:tcPr>
            <w:tcW w:type="dxa" w:w="9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left"/>
            </w:pPr>
            <w:r>
              <w:rPr>
                <w:rFonts w:ascii="宋体" w:cs="宋体" w:eastAsia="宋体" w:hAnsi="宋体"/>
                <w:b w:val="false"/>
                <w:bCs w:val="false"/>
                <w:sz w:val="18"/>
                <w:szCs w:val="18"/>
              </w:rPr>
              <w:t xml:space="preserve">M15</w:t>
            </w:r>
          </w:p>
        </w:tc>
        <w:tc>
          <w:tcPr>
            <w:tcW w:type="dxa" w:w="21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left"/>
            </w:pPr>
            <w:r>
              <w:rPr>
                <w:rFonts w:ascii="宋体" w:cs="宋体" w:eastAsia="宋体" w:hAnsi="宋体"/>
                <w:b w:val="false"/>
                <w:bCs w:val="false"/>
                <w:sz w:val="18"/>
                <w:szCs w:val="18"/>
              </w:rPr>
              <w:t xml:space="preserve">多模态融合</w:t>
            </w:r>
          </w:p>
        </w:tc>
        <w:tc>
          <w:tcPr>
            <w:tcW w:type="dxa" w:w="6026"/>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left"/>
            </w:pPr>
            <w:r>
              <w:rPr>
                <w:rFonts w:ascii="宋体" w:cs="宋体" w:eastAsia="宋体" w:hAnsi="宋体"/>
                <w:b w:val="false"/>
                <w:bCs w:val="false"/>
                <w:sz w:val="18"/>
                <w:szCs w:val="18"/>
              </w:rPr>
              <w:t xml:space="preserve">multimodal_mamba_fusion 及 ONNX 版</w:t>
            </w:r>
          </w:p>
        </w:tc>
      </w:tr>
      <w:tr>
        <w:tc>
          <w:tcPr>
            <w:tcW w:type="dxa" w:w="9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left"/>
            </w:pPr>
            <w:r>
              <w:rPr>
                <w:rFonts w:ascii="宋体" w:cs="宋体" w:eastAsia="宋体" w:hAnsi="宋体"/>
                <w:b w:val="false"/>
                <w:bCs w:val="false"/>
                <w:sz w:val="18"/>
                <w:szCs w:val="18"/>
              </w:rPr>
              <w:t xml:space="preserve">M16</w:t>
            </w:r>
          </w:p>
        </w:tc>
        <w:tc>
          <w:tcPr>
            <w:tcW w:type="dxa" w:w="21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left"/>
            </w:pPr>
            <w:r>
              <w:rPr>
                <w:rFonts w:ascii="宋体" w:cs="宋体" w:eastAsia="宋体" w:hAnsi="宋体"/>
                <w:b w:val="false"/>
                <w:bCs w:val="false"/>
                <w:sz w:val="18"/>
                <w:szCs w:val="18"/>
              </w:rPr>
              <w:t xml:space="preserve">时序序列预测</w:t>
            </w:r>
          </w:p>
        </w:tc>
        <w:tc>
          <w:tcPr>
            <w:tcW w:type="dxa" w:w="6026"/>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left"/>
            </w:pPr>
            <w:r>
              <w:rPr>
                <w:rFonts w:ascii="宋体" w:cs="宋体" w:eastAsia="宋体" w:hAnsi="宋体"/>
                <w:b w:val="false"/>
                <w:bCs w:val="false"/>
                <w:sz w:val="18"/>
                <w:szCs w:val="18"/>
              </w:rPr>
              <w:t xml:space="preserve">target_trend_predictor_onnx</w:t>
            </w:r>
          </w:p>
        </w:tc>
      </w:tr>
      <w:tr>
        <w:tc>
          <w:tcPr>
            <w:tcW w:type="dxa" w:w="9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left"/>
            </w:pPr>
            <w:r>
              <w:rPr>
                <w:rFonts w:ascii="宋体" w:cs="宋体" w:eastAsia="宋体" w:hAnsi="宋体"/>
                <w:b w:val="false"/>
                <w:bCs w:val="false"/>
                <w:sz w:val="18"/>
                <w:szCs w:val="18"/>
              </w:rPr>
              <w:t xml:space="preserve">M17</w:t>
            </w:r>
          </w:p>
        </w:tc>
        <w:tc>
          <w:tcPr>
            <w:tcW w:type="dxa" w:w="21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left"/>
            </w:pPr>
            <w:r>
              <w:rPr>
                <w:rFonts w:ascii="宋体" w:cs="宋体" w:eastAsia="宋体" w:hAnsi="宋体"/>
                <w:b w:val="false"/>
                <w:bCs w:val="false"/>
                <w:sz w:val="18"/>
                <w:szCs w:val="18"/>
              </w:rPr>
              <w:t xml:space="preserve">实时目标检测</w:t>
            </w:r>
          </w:p>
        </w:tc>
        <w:tc>
          <w:tcPr>
            <w:tcW w:type="dxa" w:w="6026"/>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left"/>
            </w:pPr>
            <w:r>
              <w:rPr>
                <w:rFonts w:ascii="宋体" w:cs="宋体" w:eastAsia="宋体" w:hAnsi="宋体"/>
                <w:b w:val="false"/>
                <w:bCs w:val="false"/>
                <w:sz w:val="18"/>
                <w:szCs w:val="18"/>
              </w:rPr>
              <w:t xml:space="preserve">battlefield_rtdetr_detector</w:t>
            </w:r>
          </w:p>
        </w:tc>
      </w:tr>
      <w:tr>
        <w:tc>
          <w:tcPr>
            <w:tcW w:type="dxa" w:w="9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left"/>
            </w:pPr>
            <w:r>
              <w:rPr>
                <w:rFonts w:ascii="宋体" w:cs="宋体" w:eastAsia="宋体" w:hAnsi="宋体"/>
                <w:b w:val="false"/>
                <w:bCs w:val="false"/>
                <w:sz w:val="18"/>
                <w:szCs w:val="18"/>
              </w:rPr>
              <w:t xml:space="preserve">M18</w:t>
            </w:r>
          </w:p>
        </w:tc>
        <w:tc>
          <w:tcPr>
            <w:tcW w:type="dxa" w:w="21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left"/>
            </w:pPr>
            <w:r>
              <w:rPr>
                <w:rFonts w:ascii="宋体" w:cs="宋体" w:eastAsia="宋体" w:hAnsi="宋体"/>
                <w:b w:val="false"/>
                <w:bCs w:val="false"/>
                <w:sz w:val="18"/>
                <w:szCs w:val="18"/>
              </w:rPr>
              <w:t xml:space="preserve">差分/变化检测</w:t>
            </w:r>
          </w:p>
        </w:tc>
        <w:tc>
          <w:tcPr>
            <w:tcW w:type="dxa" w:w="6026"/>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left"/>
            </w:pPr>
            <w:r>
              <w:rPr>
                <w:rFonts w:ascii="宋体" w:cs="宋体" w:eastAsia="宋体" w:hAnsi="宋体"/>
                <w:b w:val="false"/>
                <w:bCs w:val="false"/>
                <w:sz w:val="18"/>
                <w:szCs w:val="18"/>
              </w:rPr>
              <w:t xml:space="preserve">siamese_mask2former_damage；xbd_damage_assessor</w:t>
            </w:r>
          </w:p>
        </w:tc>
      </w:tr>
      <w:tr>
        <w:tc>
          <w:tcPr>
            <w:tcW w:type="dxa" w:w="9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left"/>
            </w:pPr>
            <w:r>
              <w:rPr>
                <w:rFonts w:ascii="宋体" w:cs="宋体" w:eastAsia="宋体" w:hAnsi="宋体"/>
                <w:b w:val="false"/>
                <w:bCs w:val="false"/>
                <w:sz w:val="18"/>
                <w:szCs w:val="18"/>
              </w:rPr>
              <w:t xml:space="preserve">M19</w:t>
            </w:r>
          </w:p>
        </w:tc>
        <w:tc>
          <w:tcPr>
            <w:tcW w:type="dxa" w:w="21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left"/>
            </w:pPr>
            <w:r>
              <w:rPr>
                <w:rFonts w:ascii="宋体" w:cs="宋体" w:eastAsia="宋体" w:hAnsi="宋体"/>
                <w:b w:val="false"/>
                <w:bCs w:val="false"/>
                <w:sz w:val="18"/>
                <w:szCs w:val="18"/>
              </w:rPr>
              <w:t xml:space="preserve">多目标跟踪定位</w:t>
            </w:r>
          </w:p>
        </w:tc>
        <w:tc>
          <w:tcPr>
            <w:tcW w:type="dxa" w:w="6026"/>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left"/>
            </w:pPr>
            <w:r>
              <w:rPr>
                <w:rFonts w:ascii="宋体" w:cs="宋体" w:eastAsia="宋体" w:hAnsi="宋体"/>
                <w:b w:val="false"/>
                <w:bCs w:val="false"/>
                <w:sz w:val="18"/>
                <w:szCs w:val="18"/>
              </w:rPr>
              <w:t xml:space="preserve">motr_neural_kalman_tracker</w:t>
            </w:r>
          </w:p>
        </w:tc>
      </w:tr>
      <w:tr>
        <w:tc>
          <w:tcPr>
            <w:tcW w:type="dxa" w:w="9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left"/>
            </w:pPr>
            <w:r>
              <w:rPr>
                <w:rFonts w:ascii="宋体" w:cs="宋体" w:eastAsia="宋体" w:hAnsi="宋体"/>
                <w:b w:val="false"/>
                <w:bCs w:val="false"/>
                <w:sz w:val="18"/>
                <w:szCs w:val="18"/>
              </w:rPr>
              <w:t xml:space="preserve">M20</w:t>
            </w:r>
          </w:p>
        </w:tc>
        <w:tc>
          <w:tcPr>
            <w:tcW w:type="dxa" w:w="21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left"/>
            </w:pPr>
            <w:r>
              <w:rPr>
                <w:rFonts w:ascii="宋体" w:cs="宋体" w:eastAsia="宋体" w:hAnsi="宋体"/>
                <w:b w:val="false"/>
                <w:bCs w:val="false"/>
                <w:sz w:val="18"/>
                <w:szCs w:val="18"/>
              </w:rPr>
              <w:t xml:space="preserve">图神经网络</w:t>
            </w:r>
          </w:p>
        </w:tc>
        <w:tc>
          <w:tcPr>
            <w:tcW w:type="dxa" w:w="6026"/>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left"/>
            </w:pPr>
            <w:r>
              <w:rPr>
                <w:rFonts w:ascii="宋体" w:cs="宋体" w:eastAsia="宋体" w:hAnsi="宋体"/>
                <w:b w:val="false"/>
                <w:bCs w:val="false"/>
                <w:sz w:val="18"/>
                <w:szCs w:val="18"/>
              </w:rPr>
              <w:t xml:space="preserve">graph_relation_reasoner 及 ONNX 版</w:t>
            </w:r>
          </w:p>
        </w:tc>
      </w:tr>
    </w:tbl>
    <w:p>
      <w:pPr>
        <w:pStyle w:val="Heading3"/>
        <w:spacing w:after="160" w:before="200" w:line="360"/>
      </w:pPr>
      <w:r>
        <w:rPr>
          <w:rFonts w:ascii="黑体" w:cs="黑体" w:eastAsia="黑体" w:hAnsi="黑体"/>
          <w:b/>
          <w:bCs/>
          <w:color w:val="000000"/>
          <w:sz w:val="24"/>
          <w:szCs w:val="24"/>
        </w:rPr>
        <w:t xml:space="preserve">1.3.3 建设边界</w:t>
      </w:r>
    </w:p>
    <w:p>
      <w:pPr>
        <w:spacing w:after="180" w:before="0" w:line="360"/>
        <w:ind w:firstLine="480"/>
        <w:jc w:val="both"/>
      </w:pPr>
      <w:r>
        <w:rPr>
          <w:rFonts w:ascii="宋体" w:cs="宋体" w:eastAsia="宋体" w:hAnsi="宋体"/>
          <w:sz w:val="22"/>
          <w:szCs w:val="22"/>
        </w:rPr>
        <w:t xml:space="preserve">本报告重点说明算法模型库及其运行支撑能力，不将统一训练平台、完整的 Commander 工作流调度、分布式 Agent 注册发现中心、共享任务与结果空间、分布式锁、跨节点检查点恢复以及仿真展示前端作为本期算法库的直接实现范围。上述能力可在后续系统集成阶段以算法库提供的标准算法卡、能力查询、运行接口和审计结果为基础进行对接。</w:t>
      </w:r>
    </w:p>
    <w:p>
      <w:pPr>
        <w:spacing w:after="180" w:before="0" w:line="360"/>
        <w:ind w:firstLine="480"/>
        <w:jc w:val="both"/>
      </w:pPr>
      <w:r>
        <w:rPr>
          <w:rFonts w:ascii="宋体" w:cs="宋体" w:eastAsia="宋体" w:hAnsi="宋体"/>
          <w:sz w:val="22"/>
          <w:szCs w:val="22"/>
        </w:rPr>
        <w:t xml:space="preserve">对于 KC-23“攻击目标/威胁”等涉及外部执行系统的功能，本算法库的职责是提供目标信息、方案建议、规则校验、执行控制参数和结果评价依据，不直接实施外部装备控制或实际攻击行为。相关接口仅作为与受控外部系统的任务移交边界。</w:t>
      </w:r>
    </w:p>
    <w:p>
      <w:pPr>
        <w:pStyle w:val="Heading2"/>
        <w:spacing w:after="160" w:before="200" w:line="360"/>
      </w:pPr>
      <w:r>
        <w:rPr>
          <w:rFonts w:ascii="黑体" w:cs="黑体" w:eastAsia="黑体" w:hAnsi="黑体"/>
          <w:b/>
          <w:bCs/>
          <w:color w:val="000000"/>
          <w:sz w:val="28"/>
          <w:szCs w:val="28"/>
        </w:rPr>
        <w:t xml:space="preserve">1.4 术语、缩略语与引用标准</w:t>
      </w:r>
    </w:p>
    <w:p>
      <w:pPr>
        <w:pStyle w:val="Heading3"/>
        <w:spacing w:after="160" w:before="200" w:line="360"/>
      </w:pPr>
      <w:r>
        <w:rPr>
          <w:rFonts w:ascii="黑体" w:cs="黑体" w:eastAsia="黑体" w:hAnsi="黑体"/>
          <w:b/>
          <w:bCs/>
          <w:color w:val="000000"/>
          <w:sz w:val="24"/>
          <w:szCs w:val="24"/>
        </w:rPr>
        <w:t xml:space="preserve">1.4.1 术语与缩略语</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A6A6A6" w:sz="4"/>
              <w:left w:val="single" w:color="A6A6A6" w:sz="4"/>
              <w:bottom w:val="single" w:color="A6A6A6" w:sz="4"/>
              <w:right w:val="single" w:color="A6A6A6" w:sz="4"/>
            </w:tcBorders>
            <w:shd w:fill="D9EAF7" w:val="clear"/>
            <w:tcMar>
              <w:top w:type="dxa" w:w="90"/>
              <w:left w:type="dxa" w:w="120"/>
              <w:bottom w:type="dxa" w:w="90"/>
              <w:right w:type="dxa" w:w="120"/>
            </w:tcMar>
            <w:vAlign w:val="center"/>
          </w:tcPr>
          <w:p>
            <w:pPr>
              <w:spacing w:after="0" w:line="280"/>
              <w:jc w:val="center"/>
            </w:pPr>
            <w:r>
              <w:rPr>
                <w:rFonts w:ascii="宋体" w:cs="宋体" w:eastAsia="宋体" w:hAnsi="宋体"/>
                <w:b/>
                <w:bCs/>
                <w:sz w:val="18"/>
                <w:szCs w:val="18"/>
              </w:rPr>
              <w:t xml:space="preserve">术语/缩略语</w:t>
            </w:r>
          </w:p>
        </w:tc>
        <w:tc>
          <w:tcPr>
            <w:tcW w:type="dxa" w:w="6526"/>
            <w:tcBorders>
              <w:top w:val="single" w:color="A6A6A6" w:sz="4"/>
              <w:left w:val="single" w:color="A6A6A6" w:sz="4"/>
              <w:bottom w:val="single" w:color="A6A6A6" w:sz="4"/>
              <w:right w:val="single" w:color="A6A6A6" w:sz="4"/>
            </w:tcBorders>
            <w:shd w:fill="D9EAF7" w:val="clear"/>
            <w:tcMar>
              <w:top w:type="dxa" w:w="90"/>
              <w:left w:type="dxa" w:w="120"/>
              <w:bottom w:type="dxa" w:w="90"/>
              <w:right w:type="dxa" w:w="120"/>
            </w:tcMar>
            <w:vAlign w:val="center"/>
          </w:tcPr>
          <w:p>
            <w:pPr>
              <w:spacing w:after="0" w:line="280"/>
              <w:jc w:val="center"/>
            </w:pPr>
            <w:r>
              <w:rPr>
                <w:rFonts w:ascii="宋体" w:cs="宋体" w:eastAsia="宋体" w:hAnsi="宋体"/>
                <w:b/>
                <w:bCs/>
                <w:sz w:val="18"/>
                <w:szCs w:val="18"/>
              </w:rPr>
              <w:t xml:space="preserve">定义</w:t>
            </w:r>
          </w:p>
        </w:tc>
      </w:tr>
      <w:tr>
        <w:tc>
          <w:tcPr>
            <w:tcW w:type="dxa" w:w="25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left"/>
            </w:pPr>
            <w:r>
              <w:rPr>
                <w:rFonts w:ascii="宋体" w:cs="宋体" w:eastAsia="宋体" w:hAnsi="宋体"/>
                <w:b w:val="false"/>
                <w:bCs w:val="false"/>
                <w:sz w:val="18"/>
                <w:szCs w:val="18"/>
              </w:rPr>
              <w:t xml:space="preserve">算法包</w:t>
            </w:r>
          </w:p>
        </w:tc>
        <w:tc>
          <w:tcPr>
            <w:tcW w:type="dxa" w:w="6526"/>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left"/>
            </w:pPr>
            <w:r>
              <w:rPr>
                <w:rFonts w:ascii="宋体" w:cs="宋体" w:eastAsia="宋体" w:hAnsi="宋体"/>
                <w:b w:val="false"/>
                <w:bCs w:val="false"/>
                <w:sz w:val="18"/>
                <w:szCs w:val="18"/>
              </w:rPr>
              <w:t xml:space="preserve">可独立接入算法库的交付单元，通常包含算法卡、输入输出 Schema、模型文件或服务入口、配置文件与测试样例。</w:t>
            </w:r>
          </w:p>
        </w:tc>
      </w:tr>
      <w:tr>
        <w:tc>
          <w:tcPr>
            <w:tcW w:type="dxa" w:w="25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left"/>
            </w:pPr>
            <w:r>
              <w:rPr>
                <w:rFonts w:ascii="宋体" w:cs="宋体" w:eastAsia="宋体" w:hAnsi="宋体"/>
                <w:b w:val="false"/>
                <w:bCs w:val="false"/>
                <w:sz w:val="18"/>
                <w:szCs w:val="18"/>
              </w:rPr>
              <w:t xml:space="preserve">算法卡（Algorithm Card）</w:t>
            </w:r>
          </w:p>
        </w:tc>
        <w:tc>
          <w:tcPr>
            <w:tcW w:type="dxa" w:w="6526"/>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left"/>
            </w:pPr>
            <w:r>
              <w:rPr>
                <w:rFonts w:ascii="宋体" w:cs="宋体" w:eastAsia="宋体" w:hAnsi="宋体"/>
                <w:b w:val="false"/>
                <w:bCs w:val="false"/>
                <w:sz w:val="18"/>
                <w:szCs w:val="18"/>
              </w:rPr>
              <w:t xml:space="preserve">描述算法身份、版本、能力、功能映射、运行方式、性能、资源和安全约束的标准化元数据文件。</w:t>
            </w:r>
          </w:p>
        </w:tc>
      </w:tr>
      <w:tr>
        <w:tc>
          <w:tcPr>
            <w:tcW w:type="dxa" w:w="25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left"/>
            </w:pPr>
            <w:r>
              <w:rPr>
                <w:rFonts w:ascii="宋体" w:cs="宋体" w:eastAsia="宋体" w:hAnsi="宋体"/>
                <w:b w:val="false"/>
                <w:bCs w:val="false"/>
                <w:sz w:val="18"/>
                <w:szCs w:val="18"/>
              </w:rPr>
              <w:t xml:space="preserve">Params</w:t>
            </w:r>
          </w:p>
        </w:tc>
        <w:tc>
          <w:tcPr>
            <w:tcW w:type="dxa" w:w="6526"/>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left"/>
            </w:pPr>
            <w:r>
              <w:rPr>
                <w:rFonts w:ascii="宋体" w:cs="宋体" w:eastAsia="宋体" w:hAnsi="宋体"/>
                <w:b w:val="false"/>
                <w:bCs w:val="false"/>
                <w:sz w:val="18"/>
                <w:szCs w:val="18"/>
              </w:rPr>
              <w:t xml:space="preserve">模型可训练参数量，用于表征模型规模、存储占用和潜在计算需求。</w:t>
            </w:r>
          </w:p>
        </w:tc>
      </w:tr>
      <w:tr>
        <w:tc>
          <w:tcPr>
            <w:tcW w:type="dxa" w:w="25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left"/>
            </w:pPr>
            <w:r>
              <w:rPr>
                <w:rFonts w:ascii="宋体" w:cs="宋体" w:eastAsia="宋体" w:hAnsi="宋体"/>
                <w:b w:val="false"/>
                <w:bCs w:val="false"/>
                <w:sz w:val="18"/>
                <w:szCs w:val="18"/>
              </w:rPr>
              <w:t xml:space="preserve">FLOPs</w:t>
            </w:r>
          </w:p>
        </w:tc>
        <w:tc>
          <w:tcPr>
            <w:tcW w:type="dxa" w:w="6526"/>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left"/>
            </w:pPr>
            <w:r>
              <w:rPr>
                <w:rFonts w:ascii="宋体" w:cs="宋体" w:eastAsia="宋体" w:hAnsi="宋体"/>
                <w:b w:val="false"/>
                <w:bCs w:val="false"/>
                <w:sz w:val="18"/>
                <w:szCs w:val="18"/>
              </w:rPr>
              <w:t xml:space="preserve">浮点运算次数，用于衡量模型在给定输入形状下的理论计算量。</w:t>
            </w:r>
          </w:p>
        </w:tc>
      </w:tr>
      <w:tr>
        <w:tc>
          <w:tcPr>
            <w:tcW w:type="dxa" w:w="25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left"/>
            </w:pPr>
            <w:r>
              <w:rPr>
                <w:rFonts w:ascii="宋体" w:cs="宋体" w:eastAsia="宋体" w:hAnsi="宋体"/>
                <w:b w:val="false"/>
                <w:bCs w:val="false"/>
                <w:sz w:val="18"/>
                <w:szCs w:val="18"/>
              </w:rPr>
              <w:t xml:space="preserve">ONNX</w:t>
            </w:r>
          </w:p>
        </w:tc>
        <w:tc>
          <w:tcPr>
            <w:tcW w:type="dxa" w:w="6526"/>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left"/>
            </w:pPr>
            <w:r>
              <w:rPr>
                <w:rFonts w:ascii="宋体" w:cs="宋体" w:eastAsia="宋体" w:hAnsi="宋体"/>
                <w:b w:val="false"/>
                <w:bCs w:val="false"/>
                <w:sz w:val="18"/>
                <w:szCs w:val="18"/>
              </w:rPr>
              <w:t xml:space="preserve">开放神经网络交换格式，用于将模型以跨框架方式部署在节点侧推理运行环境。</w:t>
            </w:r>
          </w:p>
        </w:tc>
      </w:tr>
      <w:tr>
        <w:tc>
          <w:tcPr>
            <w:tcW w:type="dxa" w:w="25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left"/>
            </w:pPr>
            <w:r>
              <w:rPr>
                <w:rFonts w:ascii="宋体" w:cs="宋体" w:eastAsia="宋体" w:hAnsi="宋体"/>
                <w:b w:val="false"/>
                <w:bCs w:val="false"/>
                <w:sz w:val="18"/>
                <w:szCs w:val="18"/>
              </w:rPr>
              <w:t xml:space="preserve">Python HTTP Service</w:t>
            </w:r>
          </w:p>
        </w:tc>
        <w:tc>
          <w:tcPr>
            <w:tcW w:type="dxa" w:w="6526"/>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left"/>
            </w:pPr>
            <w:r>
              <w:rPr>
                <w:rFonts w:ascii="宋体" w:cs="宋体" w:eastAsia="宋体" w:hAnsi="宋体"/>
                <w:b w:val="false"/>
                <w:bCs w:val="false"/>
                <w:sz w:val="18"/>
                <w:szCs w:val="18"/>
              </w:rPr>
              <w:t xml:space="preserve">以 Python 服务形式封装算法，通过 HTTP 接口提供健康检查、元数据查询和推理能力。</w:t>
            </w:r>
          </w:p>
        </w:tc>
      </w:tr>
      <w:tr>
        <w:tc>
          <w:tcPr>
            <w:tcW w:type="dxa" w:w="25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left"/>
            </w:pPr>
            <w:r>
              <w:rPr>
                <w:rFonts w:ascii="宋体" w:cs="宋体" w:eastAsia="宋体" w:hAnsi="宋体"/>
                <w:b w:val="false"/>
                <w:bCs w:val="false"/>
                <w:sz w:val="18"/>
                <w:szCs w:val="18"/>
              </w:rPr>
              <w:t xml:space="preserve">Runner</w:t>
            </w:r>
          </w:p>
        </w:tc>
        <w:tc>
          <w:tcPr>
            <w:tcW w:type="dxa" w:w="6526"/>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left"/>
            </w:pPr>
            <w:r>
              <w:rPr>
                <w:rFonts w:ascii="宋体" w:cs="宋体" w:eastAsia="宋体" w:hAnsi="宋体"/>
                <w:b w:val="false"/>
                <w:bCs w:val="false"/>
                <w:sz w:val="18"/>
                <w:szCs w:val="18"/>
              </w:rPr>
              <w:t xml:space="preserve">屏蔽不同算法后端差异的运行执行器；本算法库包括 ONNX Runner 和 Python HTTP Runner。</w:t>
            </w:r>
          </w:p>
        </w:tc>
      </w:tr>
      <w:tr>
        <w:tc>
          <w:tcPr>
            <w:tcW w:type="dxa" w:w="25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left"/>
            </w:pPr>
            <w:r>
              <w:rPr>
                <w:rFonts w:ascii="宋体" w:cs="宋体" w:eastAsia="宋体" w:hAnsi="宋体"/>
                <w:b w:val="false"/>
                <w:bCs w:val="false"/>
                <w:sz w:val="18"/>
                <w:szCs w:val="18"/>
              </w:rPr>
              <w:t xml:space="preserve">OODA</w:t>
            </w:r>
          </w:p>
        </w:tc>
        <w:tc>
          <w:tcPr>
            <w:tcW w:type="dxa" w:w="6526"/>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left"/>
            </w:pPr>
            <w:r>
              <w:rPr>
                <w:rFonts w:ascii="宋体" w:cs="宋体" w:eastAsia="宋体" w:hAnsi="宋体"/>
                <w:b w:val="false"/>
                <w:bCs w:val="false"/>
                <w:sz w:val="18"/>
                <w:szCs w:val="18"/>
              </w:rPr>
              <w:t xml:space="preserve">观察（Observe）、判断（Orient）、决策（Decide）、行动（Act）循环。</w:t>
            </w:r>
          </w:p>
        </w:tc>
      </w:tr>
      <w:tr>
        <w:tc>
          <w:tcPr>
            <w:tcW w:type="dxa" w:w="25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left"/>
            </w:pPr>
            <w:r>
              <w:rPr>
                <w:rFonts w:ascii="宋体" w:cs="宋体" w:eastAsia="宋体" w:hAnsi="宋体"/>
                <w:b w:val="false"/>
                <w:bCs w:val="false"/>
                <w:sz w:val="18"/>
                <w:szCs w:val="18"/>
              </w:rPr>
              <w:t xml:space="preserve">F2T2EA</w:t>
            </w:r>
          </w:p>
        </w:tc>
        <w:tc>
          <w:tcPr>
            <w:tcW w:type="dxa" w:w="6526"/>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left"/>
            </w:pPr>
            <w:r>
              <w:rPr>
                <w:rFonts w:ascii="宋体" w:cs="宋体" w:eastAsia="宋体" w:hAnsi="宋体"/>
                <w:b w:val="false"/>
                <w:bCs w:val="false"/>
                <w:sz w:val="18"/>
                <w:szCs w:val="18"/>
              </w:rPr>
              <w:t xml:space="preserve">发现（Find）、定位（Fix）、跟踪（Track）、目标选择（Target）、行动（Engage）、评估（Assess）流程。</w:t>
            </w:r>
          </w:p>
        </w:tc>
      </w:tr>
      <w:tr>
        <w:tc>
          <w:tcPr>
            <w:tcW w:type="dxa" w:w="25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left"/>
            </w:pPr>
            <w:r>
              <w:rPr>
                <w:rFonts w:ascii="宋体" w:cs="宋体" w:eastAsia="宋体" w:hAnsi="宋体"/>
                <w:b w:val="false"/>
                <w:bCs w:val="false"/>
                <w:sz w:val="18"/>
                <w:szCs w:val="18"/>
              </w:rPr>
              <w:t xml:space="preserve">RAG</w:t>
            </w:r>
          </w:p>
        </w:tc>
        <w:tc>
          <w:tcPr>
            <w:tcW w:type="dxa" w:w="6526"/>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left"/>
            </w:pPr>
            <w:r>
              <w:rPr>
                <w:rFonts w:ascii="宋体" w:cs="宋体" w:eastAsia="宋体" w:hAnsi="宋体"/>
                <w:b w:val="false"/>
                <w:bCs w:val="false"/>
                <w:sz w:val="18"/>
                <w:szCs w:val="18"/>
              </w:rPr>
              <w:t xml:space="preserve">检索增强生成，通过检索知识库或文档为生成/推理过程提供证据与上下文。</w:t>
            </w:r>
          </w:p>
        </w:tc>
      </w:tr>
      <w:tr>
        <w:tc>
          <w:tcPr>
            <w:tcW w:type="dxa" w:w="25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left"/>
            </w:pPr>
            <w:r>
              <w:rPr>
                <w:rFonts w:ascii="宋体" w:cs="宋体" w:eastAsia="宋体" w:hAnsi="宋体"/>
                <w:b w:val="false"/>
                <w:bCs w:val="false"/>
                <w:sz w:val="18"/>
                <w:szCs w:val="18"/>
              </w:rPr>
              <w:t xml:space="preserve">EDL</w:t>
            </w:r>
          </w:p>
        </w:tc>
        <w:tc>
          <w:tcPr>
            <w:tcW w:type="dxa" w:w="6526"/>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left"/>
            </w:pPr>
            <w:r>
              <w:rPr>
                <w:rFonts w:ascii="宋体" w:cs="宋体" w:eastAsia="宋体" w:hAnsi="宋体"/>
                <w:b w:val="false"/>
                <w:bCs w:val="false"/>
                <w:sz w:val="18"/>
                <w:szCs w:val="18"/>
              </w:rPr>
              <w:t xml:space="preserve">证据深度学习，用于表达预测证据、不确定性和可信度，辅助人工复核。</w:t>
            </w:r>
          </w:p>
        </w:tc>
      </w:tr>
      <w:tr>
        <w:tc>
          <w:tcPr>
            <w:tcW w:type="dxa" w:w="25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left"/>
            </w:pPr>
            <w:r>
              <w:rPr>
                <w:rFonts w:ascii="宋体" w:cs="宋体" w:eastAsia="宋体" w:hAnsi="宋体"/>
                <w:b w:val="false"/>
                <w:bCs w:val="false"/>
                <w:sz w:val="18"/>
                <w:szCs w:val="18"/>
              </w:rPr>
              <w:t xml:space="preserve">MARL</w:t>
            </w:r>
          </w:p>
        </w:tc>
        <w:tc>
          <w:tcPr>
            <w:tcW w:type="dxa" w:w="6526"/>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left"/>
            </w:pPr>
            <w:r>
              <w:rPr>
                <w:rFonts w:ascii="宋体" w:cs="宋体" w:eastAsia="宋体" w:hAnsi="宋体"/>
                <w:b w:val="false"/>
                <w:bCs w:val="false"/>
                <w:sz w:val="18"/>
                <w:szCs w:val="18"/>
              </w:rPr>
              <w:t xml:space="preserve">多智能体强化学习，用于多主体任务分配、协同调度和动态策略优化。</w:t>
            </w:r>
          </w:p>
        </w:tc>
      </w:tr>
      <w:tr>
        <w:tc>
          <w:tcPr>
            <w:tcW w:type="dxa" w:w="25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left"/>
            </w:pPr>
            <w:r>
              <w:rPr>
                <w:rFonts w:ascii="宋体" w:cs="宋体" w:eastAsia="宋体" w:hAnsi="宋体"/>
                <w:b w:val="false"/>
                <w:bCs w:val="false"/>
                <w:sz w:val="18"/>
                <w:szCs w:val="18"/>
              </w:rPr>
              <w:t xml:space="preserve">A2A</w:t>
            </w:r>
          </w:p>
        </w:tc>
        <w:tc>
          <w:tcPr>
            <w:tcW w:type="dxa" w:w="6526"/>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left"/>
            </w:pPr>
            <w:r>
              <w:rPr>
                <w:rFonts w:ascii="宋体" w:cs="宋体" w:eastAsia="宋体" w:hAnsi="宋体"/>
                <w:b w:val="false"/>
                <w:bCs w:val="false"/>
                <w:sz w:val="18"/>
                <w:szCs w:val="18"/>
              </w:rPr>
              <w:t xml:space="preserve">智能体间通信与协作接口模式，用于 Agent 能力发布、任务请求和结果返回。</w:t>
            </w:r>
          </w:p>
        </w:tc>
      </w:tr>
    </w:tbl>
    <w:p>
      <w:pPr>
        <w:pStyle w:val="Heading3"/>
        <w:spacing w:after="160" w:before="200" w:line="360"/>
      </w:pPr>
      <w:r>
        <w:rPr>
          <w:rFonts w:ascii="黑体" w:cs="黑体" w:eastAsia="黑体" w:hAnsi="黑体"/>
          <w:b/>
          <w:bCs/>
          <w:color w:val="000000"/>
          <w:sz w:val="24"/>
          <w:szCs w:val="24"/>
        </w:rPr>
        <w:t xml:space="preserve">1.4.2 引用依据</w:t>
      </w:r>
    </w:p>
    <w:p>
      <w:pPr>
        <w:spacing w:after="180" w:before="0" w:line="360"/>
        <w:ind w:firstLine="480"/>
        <w:jc w:val="both"/>
      </w:pPr>
      <w:r>
        <w:rPr>
          <w:rFonts w:ascii="宋体" w:cs="宋体" w:eastAsia="宋体" w:hAnsi="宋体"/>
          <w:sz w:val="22"/>
          <w:szCs w:val="22"/>
        </w:rPr>
        <w:t xml:space="preserve">本报告主要依据《应用功能智能化总体方案（V1.1）》、本期二十类算法清单、Algorithmrepo 算法库代码、算法卡定义、功能点目录及算法服务实现编制。算法功能映射采用仓库配置中的 KC-01 至 KC-28 标准功能点标识，并结合 OODA 和 F2T2EA 阶段进行表达。</w:t>
      </w:r>
    </w:p>
    <w:p>
      <w:pPr>
        <w:spacing w:after="0" w:before="400"/>
        <w:jc w:val="center"/>
      </w:pPr>
      <w:r>
        <w:rPr>
          <w:rFonts w:ascii="宋体" w:cs="宋体" w:eastAsia="宋体" w:hAnsi="宋体"/>
          <w:color w:val="666666"/>
          <w:sz w:val="18"/>
          <w:szCs w:val="18"/>
        </w:rPr>
        <w:t xml:space="preserve">—— 第一章结束 ——</w:t>
      </w:r>
    </w:p>
    <w:p>
      <w:pPr>
        <w:pStyle w:val="Heading1"/>
        <w:pageBreakBefore/>
        <w:spacing w:after="160" w:before="280" w:line="360"/>
        <w:outlineLvl w:val="0"/>
      </w:pPr>
      <w:r>
        <w:rPr>
          <w:rFonts w:ascii="黑体" w:cs="黑体" w:eastAsia="黑体" w:hAnsi="黑体"/>
          <w:b/>
          <w:bCs/>
          <w:color w:val="1F4E79"/>
          <w:sz w:val="32"/>
          <w:szCs w:val="32"/>
        </w:rPr>
        <w:t xml:space="preserve">第2章 算法库总体架构</w:t>
      </w:r>
    </w:p>
    <w:p>
      <w:pPr>
        <w:spacing w:after="180" w:before="0" w:line="360"/>
        <w:ind w:firstLine="480"/>
        <w:jc w:val="both"/>
      </w:pPr>
      <w:r>
        <w:rPr>
          <w:rFonts w:ascii="宋体" w:cs="宋体" w:eastAsia="宋体" w:hAnsi="宋体"/>
          <w:sz w:val="22"/>
          <w:szCs w:val="22"/>
        </w:rPr>
        <w:t xml:space="preserve">智能算法模型库是应用功能智能化系统的算法能力底座，面向二十类算法模型提供从资产接入、标准化描述、注册校验、版本与部署管理，到模型加载、统一执行、结果校验、运行审计和对外服务的全生命周期支撑。总体架构遵循“算法资产标准化、管理能力集中化、推理执行节点化、调用接口统一化”的设计思路，在保持不同模型技术路线独立演进的同时，向上层 Agent、任务工作流和仿真验证环境提供一致的能力发现与调用方式。</w:t>
      </w:r>
    </w:p>
    <w:p>
      <w:pPr>
        <w:spacing w:after="180" w:before="0" w:line="360"/>
        <w:ind w:firstLine="480"/>
        <w:jc w:val="both"/>
      </w:pPr>
      <w:r>
        <w:rPr>
          <w:rFonts w:ascii="宋体" w:cs="宋体" w:eastAsia="宋体" w:hAnsi="宋体"/>
          <w:sz w:val="22"/>
          <w:szCs w:val="22"/>
        </w:rPr>
        <w:t xml:space="preserve">结合本期 Algorithmrepo 的实现，算法库采用 C++ 核心运行时与 Python 算法服务协同的混合架构。C++ 核心负责算法卡解析、注册表管理、Schema 校验、运行协调、ONNX 本地推理、Python 服务连接池、模型缓存、文件分发与 HTTP API；Python 服务侧承载依赖深度学习框架、知识库、大语言模型或复杂业务逻辑的算法。两类后端通过统一的请求、结果和错误处理模型进行衔接。</w:t>
      </w:r>
    </w:p>
    <w:p>
      <w:pPr>
        <w:pStyle w:val="Heading2"/>
        <w:spacing w:after="160" w:before="200" w:line="360"/>
        <w:outlineLvl w:val="1"/>
      </w:pPr>
      <w:r>
        <w:rPr>
          <w:rFonts w:ascii="黑体" w:cs="黑体" w:eastAsia="黑体" w:hAnsi="黑体"/>
          <w:b/>
          <w:bCs/>
          <w:sz w:val="28"/>
          <w:szCs w:val="28"/>
        </w:rPr>
        <w:t xml:space="preserve">2.1 设计原则</w:t>
      </w:r>
    </w:p>
    <w:tbl>
      <w:tblPr>
        <w:tblW w:type="dxa" w:w="9026"/>
        <w:tblBorders>
          <w:top w:val="single" w:color="A6A6A6" w:sz="4"/>
          <w:left w:val="single" w:color="A6A6A6" w:sz="4"/>
          <w:bottom w:val="single" w:color="A6A6A6" w:sz="4"/>
          <w:right w:val="single" w:color="A6A6A6" w:sz="4"/>
          <w:insideH w:val="single" w:color="A6A6A6" w:sz="4"/>
          <w:insideV w:val="single" w:color="A6A6A6" w:sz="4"/>
        </w:tblBorders>
      </w:tblPr>
      <w:tblGrid>
        <w:gridCol w:w="2100"/>
        <w:gridCol w:w="6926"/>
      </w:tblGrid>
      <w:tr>
        <w:tc>
          <w:tcPr>
            <w:tcW w:type="dxa" w:w="2100"/>
            <w:tcBorders>
              <w:top w:val="single" w:color="A6A6A6" w:sz="4"/>
              <w:left w:val="single" w:color="A6A6A6" w:sz="4"/>
              <w:bottom w:val="single" w:color="A6A6A6" w:sz="4"/>
              <w:right w:val="single" w:color="A6A6A6" w:sz="4"/>
            </w:tcBorders>
            <w:shd w:fill="D9EAF7" w:val="clear"/>
            <w:tcMar>
              <w:top w:type="dxa" w:w="90"/>
              <w:left w:type="dxa" w:w="120"/>
              <w:bottom w:type="dxa" w:w="90"/>
              <w:right w:type="dxa" w:w="120"/>
            </w:tcMar>
            <w:vAlign w:val="center"/>
          </w:tcPr>
          <w:p>
            <w:pPr>
              <w:jc w:val="center"/>
              <w:spacing w:after="0" w:line="280"/>
            </w:pPr>
            <w:r>
              <w:rPr>
                <w:rFonts w:ascii="宋体" w:cs="宋体" w:eastAsia="宋体" w:hAnsi="宋体"/>
                <w:b/>
                <w:bCs/>
                <w:sz w:val="18"/>
                <w:szCs w:val="18"/>
              </w:rPr>
              <w:t xml:space="preserve">设计原则</w:t>
            </w:r>
          </w:p>
        </w:tc>
        <w:tc>
          <w:tcPr>
            <w:tcW w:type="dxa" w:w="6926"/>
            <w:tcBorders>
              <w:top w:val="single" w:color="A6A6A6" w:sz="4"/>
              <w:left w:val="single" w:color="A6A6A6" w:sz="4"/>
              <w:bottom w:val="single" w:color="A6A6A6" w:sz="4"/>
              <w:right w:val="single" w:color="A6A6A6" w:sz="4"/>
            </w:tcBorders>
            <w:shd w:fill="D9EAF7" w:val="clear"/>
            <w:tcMar>
              <w:top w:type="dxa" w:w="90"/>
              <w:left w:type="dxa" w:w="120"/>
              <w:bottom w:type="dxa" w:w="90"/>
              <w:right w:type="dxa" w:w="120"/>
            </w:tcMar>
            <w:vAlign w:val="center"/>
          </w:tcPr>
          <w:p>
            <w:pPr>
              <w:jc w:val="center"/>
              <w:spacing w:after="0" w:line="280"/>
            </w:pPr>
            <w:r>
              <w:rPr>
                <w:rFonts w:ascii="宋体" w:cs="宋体" w:eastAsia="宋体" w:hAnsi="宋体"/>
                <w:b/>
                <w:bCs/>
                <w:sz w:val="18"/>
                <w:szCs w:val="18"/>
              </w:rPr>
              <w:t xml:space="preserve">说明</w:t>
            </w:r>
          </w:p>
        </w:tc>
      </w:tr>
      <w:tr>
        <w:tc>
          <w:tcPr>
            <w:tcW w:type="dxa" w:w="21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标准化描述</w:t>
            </w:r>
          </w:p>
        </w:tc>
        <w:tc>
          <w:tcPr>
            <w:tcW w:type="dxa" w:w="6926"/>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以算法卡为统一元数据载体，固化算法身份、版本、能力、功能映射、输入输出、运行方式、性能、资源和安全约束。</w:t>
            </w:r>
          </w:p>
        </w:tc>
      </w:tr>
      <w:tr>
        <w:tc>
          <w:tcPr>
            <w:tcW w:type="dxa" w:w="21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插件化接入</w:t>
            </w:r>
          </w:p>
        </w:tc>
        <w:tc>
          <w:tcPr>
            <w:tcW w:type="dxa" w:w="6926"/>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具体业务算法以独立算法包接入，核心运行时不耦合检测、跟踪、规划等具体实现，支持新增模型和版本独立演进。</w:t>
            </w:r>
          </w:p>
        </w:tc>
      </w:tr>
      <w:tr>
        <w:tc>
          <w:tcPr>
            <w:tcW w:type="dxa" w:w="21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多后端统一</w:t>
            </w:r>
          </w:p>
        </w:tc>
        <w:tc>
          <w:tcPr>
            <w:tcW w:type="dxa" w:w="6926"/>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对 ONNX 本地模型与 Python HTTP 服务建立统一 Runner 抽象，调用方无需感知具体模型框架和部署差异。</w:t>
            </w:r>
          </w:p>
        </w:tc>
      </w:tr>
      <w:tr>
        <w:tc>
          <w:tcPr>
            <w:tcW w:type="dxa" w:w="21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节点侧优先</w:t>
            </w:r>
          </w:p>
        </w:tc>
        <w:tc>
          <w:tcPr>
            <w:tcW w:type="dxa" w:w="6926"/>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模型推理与算法计算优先在 Agent 或目标节点完成，中心侧主要承担算法资产管理、模型分发和受控服务支撑。</w:t>
            </w:r>
          </w:p>
        </w:tc>
      </w:tr>
      <w:tr>
        <w:tc>
          <w:tcPr>
            <w:tcW w:type="dxa" w:w="21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资源感知</w:t>
            </w:r>
          </w:p>
        </w:tc>
        <w:tc>
          <w:tcPr>
            <w:tcW w:type="dxa" w:w="6926"/>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将 CPU、GPU、显存、内存、磁盘、模型大小、Params、FLOPs 和时延等纳入资源画像，为后续模型选择和节点部署提供依据。</w:t>
            </w:r>
          </w:p>
        </w:tc>
      </w:tr>
      <w:tr>
        <w:tc>
          <w:tcPr>
            <w:tcW w:type="dxa" w:w="21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可验证可追溯</w:t>
            </w:r>
          </w:p>
        </w:tc>
        <w:tc>
          <w:tcPr>
            <w:tcW w:type="dxa" w:w="6926"/>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算法接入、输入输出、服务健康、金样例和每次执行均可校验、记录和追溯。</w:t>
            </w:r>
          </w:p>
        </w:tc>
      </w:tr>
      <w:tr>
        <w:tc>
          <w:tcPr>
            <w:tcW w:type="dxa" w:w="21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安全可控</w:t>
            </w:r>
          </w:p>
        </w:tc>
        <w:tc>
          <w:tcPr>
            <w:tcW w:type="dxa" w:w="6926"/>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通过算法状态门控、输入边界限制、文件路径校验、风险等级和人工复核标记约束算法使用边界。</w:t>
            </w:r>
          </w:p>
        </w:tc>
      </w:tr>
    </w:tbl>
    <w:p>
      <w:pPr>
        <w:pStyle w:val="Heading2"/>
        <w:spacing w:after="160" w:before="200" w:line="360"/>
        <w:outlineLvl w:val="1"/>
      </w:pPr>
      <w:r>
        <w:rPr>
          <w:rFonts w:ascii="黑体" w:cs="黑体" w:eastAsia="黑体" w:hAnsi="黑体"/>
          <w:b/>
          <w:bCs/>
          <w:sz w:val="28"/>
          <w:szCs w:val="28"/>
        </w:rPr>
        <w:t xml:space="preserve">2.2 总体逻辑架构</w:t>
      </w:r>
    </w:p>
    <w:p>
      <w:pPr>
        <w:spacing w:after="120" w:line="280" w:lineRule="auto"/>
        <w:jc w:val="center"/>
      </w:pPr>
      <w:r>
        <w:drawing>
          <wp:inline distT="0" distB="0" distL="0" distR="0">
            <wp:extent cx="5500000" cy="4876667"/>
            <wp:effectExtent l="0" t="0" r="0" b="0"/>
            <wp:docPr id="100" name="Figure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image.png"/>
                    <pic:cNvPicPr/>
                  </pic:nvPicPr>
                  <pic:blipFill>
                    <a:blip r:embed="rId10"/>
                    <a:stretch>
                      <a:fillRect/>
                    </a:stretch>
                  </pic:blipFill>
                  <pic:spPr>
                    <a:xfrm>
                      <a:off x="0" y="0"/>
                      <a:ext cx="5500000" cy="4876667"/>
                    </a:xfrm>
                    <a:prstGeom prst="rect">
                      <a:avLst/>
                    </a:prstGeom>
                  </pic:spPr>
                </pic:pic>
              </a:graphicData>
            </a:graphic>
          </wp:inline>
        </w:drawing>
      </w:r>
    </w:p>
    <w:p>
      <w:pPr>
        <w:spacing w:after="120" w:line="280" w:lineRule="auto"/>
        <w:jc w:val="center"/>
      </w:pPr>
      <w:r>
        <w:rPr>
          <w:rFonts w:eastAsia="Arial"/>
          <w:sz w:val="20"/>
          <w:szCs w:val="20"/>
        </w:rPr>
        <w:t>图 2-1  算法库五层总体架构</w:t>
      </w:r>
    </w:p>
    <w:p>
      <w:pPr>
        <w:spacing w:after="180" w:before="0" w:line="360"/>
        <w:ind w:firstLine="480"/>
        <w:jc w:val="both"/>
      </w:pPr>
      <w:r>
        <w:rPr>
          <w:rFonts w:ascii="宋体" w:cs="宋体" w:eastAsia="宋体" w:hAnsi="宋体"/>
          <w:sz w:val="22"/>
          <w:szCs w:val="22"/>
        </w:rPr>
        <w:t xml:space="preserve">算法库总体逻辑架构由算法资产层、算法管理层、统一运行层、服务接入层和节点执行层组成。各层之间通过算法卡、标准请求/结果模型、部署记录和资源画像进行关联，形成“算法包—注册表—运行协调器—Runner—节点模型实例”的完整链路。</w:t>
      </w:r>
    </w:p>
    <w:p>
      <w:pPr>
        <w:spacing w:after="100" w:before="120"/>
        <w:jc w:val="center"/>
      </w:pPr>
      <w:r>
        <w:rPr>
          <w:rFonts w:ascii="宋体" w:cs="宋体" w:eastAsia="宋体" w:hAnsi="宋体"/>
          <w:b/>
          <w:bCs/>
          <w:sz w:val="20"/>
          <w:szCs w:val="20"/>
        </w:rPr>
        <w:t xml:space="preserve">图2-1  智能算法模型库总体逻辑架构（文本表示）</w:t>
      </w:r>
    </w:p>
    <w:p>
      <w:pPr>
        <w:spacing w:after="180" w:before="80"/>
        <w:jc w:val="left"/>
      </w:pPr>
      <w:r>
        <w:rPr>
          <w:rFonts w:ascii="Courier New" w:cs="Courier New" w:eastAsia="Courier New" w:hAnsi="Courier New"/>
          <w:sz w:val="16"/>
          <w:szCs w:val="16"/>
        </w:rPr>
        <w:t xml:space="preserve">┌─────────────────────────────────────────────────────────────────────┐
│ 上层调用方：Agent、任务工作流、仿真工具、运维终端、外部受控系统接口 │
└───────────────────────────────┬─────────────────────────────────────┘
                                │ 统一 HTTP / CLI / A2A 调用
┌───────────────────────────────▼─────────────────────────────────────┐
│ 服务接入层：HTTP Server、算法查询、注册管理、加载卸载、运行、健康检查 │
├───────────────────────────────┬─────────────────────────────────────┤
│ 算法管理层：AlgorithmRegistry │ 生命周期、版本、部署记录、多维检索   │
├───────────────────────────────┼─────────────────────────────────────┤
│ 统一运行层：ExecutionCoordinator、ModelLoader、RunnerCache、Factory │
├───────────────────────────────┴─────────────────────────────────────┤
│ Runner 层：OnnxRunner（本地 Session）│ PythonHttpRunnerPool（服务池） │
├─────────────────────────────────────────────────────────────────────┤
│ 算法资产层：算法卡、Schema、模型、配置、金样例、训练/参考数据         │
├─────────────────────────────────────────────────────────────────────┤
│ 节点执行层：CPU/GPU/内存/显存/存储/网络 + 本地模型缓存 + 算法服务      │
└─────────────────────────────────────────────────────────────────────┘</w:t>
      </w:r>
    </w:p>
    <w:p>
      <w:pPr>
        <w:spacing w:after="180" w:before="0" w:line="360"/>
        <w:ind w:firstLine="480"/>
        <w:jc w:val="both"/>
      </w:pPr>
      <w:r>
        <w:rPr>
          <w:rFonts w:ascii="宋体" w:cs="宋体" w:eastAsia="宋体" w:hAnsi="宋体"/>
          <w:sz w:val="22"/>
          <w:szCs w:val="22"/>
        </w:rPr>
        <w:t xml:space="preserve">算法资产层负责保存可交付的算法包。每个算法包至少包含算法卡、输入输出 Schema，并可按后端类型包含 ONNX 模型、预处理/后处理配置、张量契约，或 Python 服务入口、运行依赖和服务契约；同时通过 Golden Case 保存可复现的输入输出样例。</w:t>
      </w:r>
    </w:p>
    <w:p>
      <w:pPr>
        <w:spacing w:after="180" w:before="0" w:line="360"/>
        <w:ind w:firstLine="480"/>
        <w:jc w:val="both"/>
      </w:pPr>
      <w:r>
        <w:rPr>
          <w:rFonts w:ascii="宋体" w:cs="宋体" w:eastAsia="宋体" w:hAnsi="宋体"/>
          <w:sz w:val="22"/>
          <w:szCs w:val="22"/>
        </w:rPr>
        <w:t xml:space="preserve">算法管理层以注册表为核心。注册表以“算法编号、版本、后端类型”三元组唯一定位算法，维护算法卡、包路径、Schema 摘要、状态和部署实例。查询接口支持按任务族、能力标签、功能点、节点、后端、CPU、内存和显存约束筛选候选算法，能够为 Agent 的能力发现和模型选择提供基础数据。</w:t>
      </w:r>
    </w:p>
    <w:p>
      <w:pPr>
        <w:spacing w:after="180" w:before="0" w:line="360"/>
        <w:ind w:firstLine="480"/>
        <w:jc w:val="both"/>
      </w:pPr>
      <w:r>
        <w:rPr>
          <w:rFonts w:ascii="宋体" w:cs="宋体" w:eastAsia="宋体" w:hAnsi="宋体"/>
          <w:sz w:val="22"/>
          <w:szCs w:val="22"/>
        </w:rPr>
        <w:t xml:space="preserve">统一运行层承担算法调用编排职责。执行协调器在运行时补齐请求标识，查询并检查算法状态，解析功能点映射，校验输入数据，获取或加载相应 Runner，完成推理调用，校验输出并写入审计日志。模型加载器和运行缓存负责预热、缓存复用、部署状态回写及卸载释放。</w:t>
      </w:r>
    </w:p>
    <w:p>
      <w:pPr>
        <w:pStyle w:val="Heading2"/>
        <w:spacing w:after="160" w:before="200" w:line="360"/>
        <w:outlineLvl w:val="1"/>
      </w:pPr>
      <w:r>
        <w:rPr>
          <w:rFonts w:ascii="黑体" w:cs="黑体" w:eastAsia="黑体" w:hAnsi="黑体"/>
          <w:b/>
          <w:bCs/>
          <w:sz w:val="28"/>
          <w:szCs w:val="28"/>
        </w:rPr>
        <w:t xml:space="preserve">2.3 核心组件与职责边界</w:t>
      </w:r>
    </w:p>
    <w:tbl>
      <w:tblPr>
        <w:tblW w:type="dxa" w:w="9026"/>
        <w:tblBorders>
          <w:top w:val="single" w:color="A6A6A6" w:sz="4"/>
          <w:left w:val="single" w:color="A6A6A6" w:sz="4"/>
          <w:bottom w:val="single" w:color="A6A6A6" w:sz="4"/>
          <w:right w:val="single" w:color="A6A6A6" w:sz="4"/>
          <w:insideH w:val="single" w:color="A6A6A6" w:sz="4"/>
          <w:insideV w:val="single" w:color="A6A6A6" w:sz="4"/>
        </w:tblBorders>
      </w:tblPr>
      <w:tblGrid>
        <w:gridCol w:w="2700"/>
        <w:gridCol w:w="6326"/>
      </w:tblGrid>
      <w:tr>
        <w:tc>
          <w:tcPr>
            <w:tcW w:type="dxa" w:w="2700"/>
            <w:tcBorders>
              <w:top w:val="single" w:color="A6A6A6" w:sz="4"/>
              <w:left w:val="single" w:color="A6A6A6" w:sz="4"/>
              <w:bottom w:val="single" w:color="A6A6A6" w:sz="4"/>
              <w:right w:val="single" w:color="A6A6A6" w:sz="4"/>
            </w:tcBorders>
            <w:shd w:fill="D9EAF7" w:val="clear"/>
            <w:tcMar>
              <w:top w:type="dxa" w:w="90"/>
              <w:left w:type="dxa" w:w="120"/>
              <w:bottom w:type="dxa" w:w="90"/>
              <w:right w:type="dxa" w:w="120"/>
            </w:tcMar>
            <w:vAlign w:val="center"/>
          </w:tcPr>
          <w:p>
            <w:pPr>
              <w:jc w:val="center"/>
              <w:spacing w:after="0" w:line="280"/>
            </w:pPr>
            <w:r>
              <w:rPr>
                <w:rFonts w:ascii="宋体" w:cs="宋体" w:eastAsia="宋体" w:hAnsi="宋体"/>
                <w:b/>
                <w:bCs/>
                <w:sz w:val="18"/>
                <w:szCs w:val="18"/>
              </w:rPr>
              <w:t xml:space="preserve">核心组件</w:t>
            </w:r>
          </w:p>
        </w:tc>
        <w:tc>
          <w:tcPr>
            <w:tcW w:type="dxa" w:w="6326"/>
            <w:tcBorders>
              <w:top w:val="single" w:color="A6A6A6" w:sz="4"/>
              <w:left w:val="single" w:color="A6A6A6" w:sz="4"/>
              <w:bottom w:val="single" w:color="A6A6A6" w:sz="4"/>
              <w:right w:val="single" w:color="A6A6A6" w:sz="4"/>
            </w:tcBorders>
            <w:shd w:fill="D9EAF7" w:val="clear"/>
            <w:tcMar>
              <w:top w:type="dxa" w:w="90"/>
              <w:left w:type="dxa" w:w="120"/>
              <w:bottom w:type="dxa" w:w="90"/>
              <w:right w:type="dxa" w:w="120"/>
            </w:tcMar>
            <w:vAlign w:val="center"/>
          </w:tcPr>
          <w:p>
            <w:pPr>
              <w:jc w:val="center"/>
              <w:spacing w:after="0" w:line="280"/>
            </w:pPr>
            <w:r>
              <w:rPr>
                <w:rFonts w:ascii="宋体" w:cs="宋体" w:eastAsia="宋体" w:hAnsi="宋体"/>
                <w:b/>
                <w:bCs/>
                <w:sz w:val="18"/>
                <w:szCs w:val="18"/>
              </w:rPr>
              <w:t xml:space="preserve">职责边界</w:t>
            </w:r>
          </w:p>
        </w:tc>
      </w:tr>
      <w:tr>
        <w:tc>
          <w:tcPr>
            <w:tcW w:type="dxa" w:w="27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算法包（Algorithm Package）</w:t>
            </w:r>
          </w:p>
        </w:tc>
        <w:tc>
          <w:tcPr>
            <w:tcW w:type="dxa" w:w="6326"/>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提供模型、算法卡、Schema、运行配置、服务入口及测试资产；是算法接入和分发的最小交付单元。</w:t>
            </w:r>
          </w:p>
        </w:tc>
      </w:tr>
      <w:tr>
        <w:tc>
          <w:tcPr>
            <w:tcW w:type="dxa" w:w="27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算法卡（Algorithm Card）</w:t>
            </w:r>
          </w:p>
        </w:tc>
        <w:tc>
          <w:tcPr>
            <w:tcW w:type="dxa" w:w="6326"/>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定义算法唯一标识、能力标签、功能点映射、运行后端、资源约束、性能指标、模型画像和安全属性。</w:t>
            </w:r>
          </w:p>
        </w:tc>
      </w:tr>
      <w:tr>
        <w:tc>
          <w:tcPr>
            <w:tcW w:type="dxa" w:w="27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算法注册中心（AlgorithmRegistry）</w:t>
            </w:r>
          </w:p>
        </w:tc>
        <w:tc>
          <w:tcPr>
            <w:tcW w:type="dxa" w:w="6326"/>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提供注册、校验、激活、禁用、删除、查询、输入输出校验和部署记录管理。</w:t>
            </w:r>
          </w:p>
        </w:tc>
      </w:tr>
      <w:tr>
        <w:tc>
          <w:tcPr>
            <w:tcW w:type="dxa" w:w="27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算法包校验器（AlgorithmCardValidator）</w:t>
            </w:r>
          </w:p>
        </w:tc>
        <w:tc>
          <w:tcPr>
            <w:tcW w:type="dxa" w:w="6326"/>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校验算法包目录、算法卡字段及引用文件，提取输入输出 Schema 摘要，形成可注册的算法包对象。</w:t>
            </w:r>
          </w:p>
        </w:tc>
      </w:tr>
      <w:tr>
        <w:tc>
          <w:tcPr>
            <w:tcW w:type="dxa" w:w="27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运行协调器（ExecutionCoordinator）</w:t>
            </w:r>
          </w:p>
        </w:tc>
        <w:tc>
          <w:tcPr>
            <w:tcW w:type="dxa" w:w="6326"/>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串联请求封装、状态检查、功能点解析、Schema 校验、Runner 调用、输出校验和执行审计。</w:t>
            </w:r>
          </w:p>
        </w:tc>
      </w:tr>
      <w:tr>
        <w:tc>
          <w:tcPr>
            <w:tcW w:type="dxa" w:w="27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运行工厂（RuntimeFactory）</w:t>
            </w:r>
          </w:p>
        </w:tc>
        <w:tc>
          <w:tcPr>
            <w:tcW w:type="dxa" w:w="6326"/>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按后端类型创建运行执行器；ONNX 对应本地 Runner，Python 服务对应带并发控制的连接池 Runner。</w:t>
            </w:r>
          </w:p>
        </w:tc>
      </w:tr>
      <w:tr>
        <w:tc>
          <w:tcPr>
            <w:tcW w:type="dxa" w:w="27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模型加载器（ModelLoader）</w:t>
            </w:r>
          </w:p>
        </w:tc>
        <w:tc>
          <w:tcPr>
            <w:tcW w:type="dxa" w:w="6326"/>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执行显式预加载、卸载和健康检查；支持本地加载及 http_pull 模型文件拉取，并回写部署状态。</w:t>
            </w:r>
          </w:p>
        </w:tc>
      </w:tr>
      <w:tr>
        <w:tc>
          <w:tcPr>
            <w:tcW w:type="dxa" w:w="27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运行缓存（RuntimeRunnerCache）</w:t>
            </w:r>
          </w:p>
        </w:tc>
        <w:tc>
          <w:tcPr>
            <w:tcW w:type="dxa" w:w="6326"/>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以算法版本和部署实例为粒度缓存 ONNX Session 或 Python 服务连接池，降低重复初始化开销。</w:t>
            </w:r>
          </w:p>
        </w:tc>
      </w:tr>
      <w:tr>
        <w:tc>
          <w:tcPr>
            <w:tcW w:type="dxa" w:w="27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HTTP Server</w:t>
            </w:r>
          </w:p>
        </w:tc>
        <w:tc>
          <w:tcPr>
            <w:tcW w:type="dxa" w:w="6326"/>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提供算法管理、查询、文件服务、模型加载、运行和健康检查等常驻 HTTP 入口。</w:t>
            </w:r>
          </w:p>
        </w:tc>
      </w:tr>
      <w:tr>
        <w:tc>
          <w:tcPr>
            <w:tcW w:type="dxa" w:w="27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节点侧运行环境</w:t>
            </w:r>
          </w:p>
        </w:tc>
        <w:tc>
          <w:tcPr>
            <w:tcW w:type="dxa" w:w="6326"/>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承载本地 ONNX Session、Python 算法服务、模型文件缓存和 CPU/GPU 等算力资源。</w:t>
            </w:r>
          </w:p>
        </w:tc>
      </w:tr>
    </w:tbl>
    <w:p>
      <w:pPr>
        <w:spacing w:after="180" w:before="0" w:line="360"/>
        <w:ind w:firstLine="480"/>
        <w:jc w:val="both"/>
      </w:pPr>
      <w:r>
        <w:rPr>
          <w:rFonts w:ascii="宋体" w:cs="宋体" w:eastAsia="宋体" w:hAnsi="宋体"/>
          <w:sz w:val="22"/>
          <w:szCs w:val="22"/>
        </w:rPr>
        <w:t xml:space="preserve">上述组件遵循职责分离原则：算法注册中心不直接参与模型计算，Runner 不负责算法生命周期管理，模型加载器不负责业务算法选择，执行协调器不持有具体模型实现。该设计使算法资产管理、模型运行和服务接入可独立演进，并为后续接入 Agent 注册发现、工作流调度和共享结果空间预留边界。</w:t>
      </w:r>
    </w:p>
    <w:p>
      <w:pPr>
        <w:pStyle w:val="Heading2"/>
        <w:spacing w:after="160" w:before="200" w:line="360"/>
        <w:outlineLvl w:val="1"/>
      </w:pPr>
      <w:r>
        <w:rPr>
          <w:rFonts w:ascii="黑体" w:cs="黑体" w:eastAsia="黑体" w:hAnsi="黑体"/>
          <w:b/>
          <w:bCs/>
          <w:sz w:val="28"/>
          <w:szCs w:val="28"/>
        </w:rPr>
        <w:t xml:space="preserve">2.4 算法包标准结构与元数据关系</w:t>
      </w:r>
    </w:p>
    <w:p>
      <w:pPr>
        <w:spacing w:after="180" w:before="0" w:line="360"/>
        <w:ind w:firstLine="480"/>
        <w:jc w:val="both"/>
      </w:pPr>
      <w:r>
        <w:rPr>
          <w:rFonts w:ascii="宋体" w:cs="宋体" w:eastAsia="宋体" w:hAnsi="宋体"/>
          <w:sz w:val="22"/>
          <w:szCs w:val="22"/>
        </w:rPr>
        <w:t xml:space="preserve">算法包是算法库的标准交付单元。为兼容不同技术路线，算法包采用“必备描述文件 + 可选运行资产”的组织方式。算法卡及 Schema 是所有算法包的共同约束；ONNX 后端通常增加模型文件、预处理/后处理和张量契约；Python 服务后端通常增加服务地址、健康检查地址、服务元数据和依赖说明。</w:t>
      </w:r>
    </w:p>
    <w:tbl>
      <w:tblPr>
        <w:tblW w:type="dxa" w:w="9026"/>
        <w:tblBorders>
          <w:top w:val="single" w:color="A6A6A6" w:sz="4"/>
          <w:left w:val="single" w:color="A6A6A6" w:sz="4"/>
          <w:bottom w:val="single" w:color="A6A6A6" w:sz="4"/>
          <w:right w:val="single" w:color="A6A6A6" w:sz="4"/>
          <w:insideH w:val="single" w:color="A6A6A6" w:sz="4"/>
          <w:insideV w:val="single" w:color="A6A6A6" w:sz="4"/>
        </w:tblBorders>
      </w:tblPr>
      <w:tblGrid>
        <w:gridCol w:w="2600"/>
        <w:gridCol w:w="1600"/>
        <w:gridCol w:w="4826"/>
      </w:tblGrid>
      <w:tr>
        <w:tc>
          <w:tcPr>
            <w:tcW w:type="dxa" w:w="2600"/>
            <w:tcBorders>
              <w:top w:val="single" w:color="A6A6A6" w:sz="4"/>
              <w:left w:val="single" w:color="A6A6A6" w:sz="4"/>
              <w:bottom w:val="single" w:color="A6A6A6" w:sz="4"/>
              <w:right w:val="single" w:color="A6A6A6" w:sz="4"/>
            </w:tcBorders>
            <w:shd w:fill="D9EAF7" w:val="clear"/>
            <w:tcMar>
              <w:top w:type="dxa" w:w="90"/>
              <w:left w:type="dxa" w:w="120"/>
              <w:bottom w:type="dxa" w:w="90"/>
              <w:right w:type="dxa" w:w="120"/>
            </w:tcMar>
            <w:vAlign w:val="center"/>
          </w:tcPr>
          <w:p>
            <w:pPr>
              <w:jc w:val="center"/>
              <w:spacing w:after="0" w:line="280"/>
            </w:pPr>
            <w:r>
              <w:rPr>
                <w:rFonts w:ascii="宋体" w:cs="宋体" w:eastAsia="宋体" w:hAnsi="宋体"/>
                <w:b/>
                <w:bCs/>
                <w:sz w:val="18"/>
                <w:szCs w:val="18"/>
              </w:rPr>
              <w:t xml:space="preserve">组成项</w:t>
            </w:r>
          </w:p>
        </w:tc>
        <w:tc>
          <w:tcPr>
            <w:tcW w:type="dxa" w:w="1600"/>
            <w:tcBorders>
              <w:top w:val="single" w:color="A6A6A6" w:sz="4"/>
              <w:left w:val="single" w:color="A6A6A6" w:sz="4"/>
              <w:bottom w:val="single" w:color="A6A6A6" w:sz="4"/>
              <w:right w:val="single" w:color="A6A6A6" w:sz="4"/>
            </w:tcBorders>
            <w:shd w:fill="D9EAF7" w:val="clear"/>
            <w:tcMar>
              <w:top w:type="dxa" w:w="90"/>
              <w:left w:type="dxa" w:w="120"/>
              <w:bottom w:type="dxa" w:w="90"/>
              <w:right w:type="dxa" w:w="120"/>
            </w:tcMar>
            <w:vAlign w:val="center"/>
          </w:tcPr>
          <w:p>
            <w:pPr>
              <w:jc w:val="center"/>
              <w:spacing w:after="0" w:line="280"/>
            </w:pPr>
            <w:r>
              <w:rPr>
                <w:rFonts w:ascii="宋体" w:cs="宋体" w:eastAsia="宋体" w:hAnsi="宋体"/>
                <w:b/>
                <w:bCs/>
                <w:sz w:val="18"/>
                <w:szCs w:val="18"/>
              </w:rPr>
              <w:t xml:space="preserve">适用性</w:t>
            </w:r>
          </w:p>
        </w:tc>
        <w:tc>
          <w:tcPr>
            <w:tcW w:type="dxa" w:w="4826"/>
            <w:tcBorders>
              <w:top w:val="single" w:color="A6A6A6" w:sz="4"/>
              <w:left w:val="single" w:color="A6A6A6" w:sz="4"/>
              <w:bottom w:val="single" w:color="A6A6A6" w:sz="4"/>
              <w:right w:val="single" w:color="A6A6A6" w:sz="4"/>
            </w:tcBorders>
            <w:shd w:fill="D9EAF7" w:val="clear"/>
            <w:tcMar>
              <w:top w:type="dxa" w:w="90"/>
              <w:left w:type="dxa" w:w="120"/>
              <w:bottom w:type="dxa" w:w="90"/>
              <w:right w:type="dxa" w:w="120"/>
            </w:tcMar>
            <w:vAlign w:val="center"/>
          </w:tcPr>
          <w:p>
            <w:pPr>
              <w:jc w:val="center"/>
              <w:spacing w:after="0" w:line="280"/>
            </w:pPr>
            <w:r>
              <w:rPr>
                <w:rFonts w:ascii="宋体" w:cs="宋体" w:eastAsia="宋体" w:hAnsi="宋体"/>
                <w:b/>
                <w:bCs/>
                <w:sz w:val="18"/>
                <w:szCs w:val="18"/>
              </w:rPr>
              <w:t xml:space="preserve">作用</w:t>
            </w:r>
          </w:p>
        </w:tc>
      </w:tr>
      <w:tr>
        <w:tc>
          <w:tcPr>
            <w:tcW w:type="dxa" w:w="26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algorithm_card.yaml</w:t>
            </w:r>
          </w:p>
        </w:tc>
        <w:tc>
          <w:tcPr>
            <w:tcW w:type="dxa" w:w="16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必备</w:t>
            </w:r>
          </w:p>
        </w:tc>
        <w:tc>
          <w:tcPr>
            <w:tcW w:type="dxa" w:w="4826"/>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算法身份、版本、能力、功能点映射、后端、性能、资源、安全等元数据。</w:t>
            </w:r>
          </w:p>
        </w:tc>
      </w:tr>
      <w:tr>
        <w:tc>
          <w:tcPr>
            <w:tcW w:type="dxa" w:w="26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input.schema.json</w:t>
            </w:r>
          </w:p>
        </w:tc>
        <w:tc>
          <w:tcPr>
            <w:tcW w:type="dxa" w:w="16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必备</w:t>
            </w:r>
          </w:p>
        </w:tc>
        <w:tc>
          <w:tcPr>
            <w:tcW w:type="dxa" w:w="4826"/>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定义调用请求 inputs 的数据结构与字段边界。</w:t>
            </w:r>
          </w:p>
        </w:tc>
      </w:tr>
      <w:tr>
        <w:tc>
          <w:tcPr>
            <w:tcW w:type="dxa" w:w="26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output.schema.json</w:t>
            </w:r>
          </w:p>
        </w:tc>
        <w:tc>
          <w:tcPr>
            <w:tcW w:type="dxa" w:w="16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必备</w:t>
            </w:r>
          </w:p>
        </w:tc>
        <w:tc>
          <w:tcPr>
            <w:tcW w:type="dxa" w:w="4826"/>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定义算法 outputs 的数据结构与字段边界。</w:t>
            </w:r>
          </w:p>
        </w:tc>
      </w:tr>
      <w:tr>
        <w:tc>
          <w:tcPr>
            <w:tcW w:type="dxa" w:w="26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model.onnx / 模型权重</w:t>
            </w:r>
          </w:p>
        </w:tc>
        <w:tc>
          <w:tcPr>
            <w:tcW w:type="dxa" w:w="16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按需</w:t>
            </w:r>
          </w:p>
        </w:tc>
        <w:tc>
          <w:tcPr>
            <w:tcW w:type="dxa" w:w="4826"/>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ONNX 本地推理模型或 Python 服务依赖的模型资产。</w:t>
            </w:r>
          </w:p>
        </w:tc>
      </w:tr>
      <w:tr>
        <w:tc>
          <w:tcPr>
            <w:tcW w:type="dxa" w:w="26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preprocess / postprocess 配置</w:t>
            </w:r>
          </w:p>
        </w:tc>
        <w:tc>
          <w:tcPr>
            <w:tcW w:type="dxa" w:w="16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按需</w:t>
            </w:r>
          </w:p>
        </w:tc>
        <w:tc>
          <w:tcPr>
            <w:tcW w:type="dxa" w:w="4826"/>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定义结构化输入与模型张量、原始输出与结构化结果之间的转换。</w:t>
            </w:r>
          </w:p>
        </w:tc>
      </w:tr>
      <w:tr>
        <w:tc>
          <w:tcPr>
            <w:tcW w:type="dxa" w:w="26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tensor_contract</w:t>
            </w:r>
          </w:p>
        </w:tc>
        <w:tc>
          <w:tcPr>
            <w:tcW w:type="dxa" w:w="16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ONNX 推荐</w:t>
            </w:r>
          </w:p>
        </w:tc>
        <w:tc>
          <w:tcPr>
            <w:tcW w:type="dxa" w:w="4826"/>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声明真实输入输出张量名称、数据类型、形状等契约。</w:t>
            </w:r>
          </w:p>
        </w:tc>
      </w:tr>
      <w:tr>
        <w:tc>
          <w:tcPr>
            <w:tcW w:type="dxa" w:w="26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服务入口与服务契约</w:t>
            </w:r>
          </w:p>
        </w:tc>
        <w:tc>
          <w:tcPr>
            <w:tcW w:type="dxa" w:w="16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Python 服务</w:t>
            </w:r>
          </w:p>
        </w:tc>
        <w:tc>
          <w:tcPr>
            <w:tcW w:type="dxa" w:w="4826"/>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提供 /health、/metadata、/predict 等服务能力与部署说明。</w:t>
            </w:r>
          </w:p>
        </w:tc>
      </w:tr>
      <w:tr>
        <w:tc>
          <w:tcPr>
            <w:tcW w:type="dxa" w:w="26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golden_cases</w:t>
            </w:r>
          </w:p>
        </w:tc>
        <w:tc>
          <w:tcPr>
            <w:tcW w:type="dxa" w:w="16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推荐</w:t>
            </w:r>
          </w:p>
        </w:tc>
        <w:tc>
          <w:tcPr>
            <w:tcW w:type="dxa" w:w="4826"/>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保存典型输入和预期输出，用于接入验证和回归测试。</w:t>
            </w:r>
          </w:p>
        </w:tc>
      </w:tr>
    </w:tbl>
    <w:p>
      <w:pPr>
        <w:spacing w:after="180" w:before="0" w:line="360"/>
        <w:ind w:firstLine="480"/>
        <w:jc w:val="both"/>
      </w:pPr>
      <w:r>
        <w:rPr>
          <w:rFonts w:ascii="宋体" w:cs="宋体" w:eastAsia="宋体" w:hAnsi="宋体"/>
          <w:sz w:val="22"/>
          <w:szCs w:val="22"/>
        </w:rPr>
        <w:t xml:space="preserve">算法卡中的 machine_spec 用于描述输入输出 Schema、运行后端、模型 URI 或服务端点、超时、预处理、后处理和张量契约；performance 用于记录时延和效果指标；resource_requirements 用于表达 CPU、内存、GPU、显存和磁盘需求；model_profile 用于记录 Params、FLOPs、模型大小、精度及对应输入形状。通过上述字段，算法管理、节点部署和模型选择可使用同一份元数据。</w:t>
      </w:r>
    </w:p>
    <w:p>
      <w:pPr>
        <w:pStyle w:val="Heading2"/>
        <w:spacing w:after="160" w:before="200" w:line="360"/>
        <w:outlineLvl w:val="1"/>
      </w:pPr>
      <w:r>
        <w:rPr>
          <w:rFonts w:ascii="黑体" w:cs="黑体" w:eastAsia="黑体" w:hAnsi="黑体"/>
          <w:b/>
          <w:bCs/>
          <w:sz w:val="28"/>
          <w:szCs w:val="28"/>
        </w:rPr>
        <w:t xml:space="preserve">2.5 算法生命周期与管理机制</w:t>
      </w:r>
    </w:p>
    <w:p>
      <w:pPr>
        <w:spacing w:after="120" w:line="280" w:lineRule="auto"/>
        <w:jc w:val="center"/>
      </w:pPr>
      <w:r>
        <w:drawing>
          <wp:inline distT="0" distB="0" distL="0" distR="0">
            <wp:extent cx="5500000" cy="2406250"/>
            <wp:effectExtent l="0" t="0" r="0" b="0"/>
            <wp:docPr id="101" name="Figure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image.png"/>
                    <pic:cNvPicPr/>
                  </pic:nvPicPr>
                  <pic:blipFill>
                    <a:blip r:embed="rId13"/>
                    <a:stretch>
                      <a:fillRect/>
                    </a:stretch>
                  </pic:blipFill>
                  <pic:spPr>
                    <a:xfrm>
                      <a:off x="0" y="0"/>
                      <a:ext cx="5500000" cy="2406250"/>
                    </a:xfrm>
                    <a:prstGeom prst="rect">
                      <a:avLst/>
                    </a:prstGeom>
                  </pic:spPr>
                </pic:pic>
              </a:graphicData>
            </a:graphic>
          </wp:inline>
        </w:drawing>
      </w:r>
    </w:p>
    <w:p>
      <w:pPr>
        <w:spacing w:after="120" w:line="280" w:lineRule="auto"/>
        <w:jc w:val="center"/>
      </w:pPr>
      <w:r>
        <w:rPr>
          <w:rFonts w:eastAsia="Arial"/>
          <w:sz w:val="20"/>
          <w:szCs w:val="20"/>
        </w:rPr>
        <w:t>图 2-2  算法生命周期状态流转</w:t>
      </w:r>
    </w:p>
    <w:p>
      <w:pPr>
        <w:spacing w:after="180" w:before="0" w:line="360"/>
        <w:ind w:firstLine="480"/>
        <w:jc w:val="both"/>
      </w:pPr>
      <w:r>
        <w:rPr>
          <w:rFonts w:ascii="宋体" w:cs="宋体" w:eastAsia="宋体" w:hAnsi="宋体"/>
          <w:sz w:val="22"/>
          <w:szCs w:val="22"/>
        </w:rPr>
        <w:t xml:space="preserve">算法库对算法采用“注册—校验—激活—部署/加载—调用—更新—禁用/删除”的生命周期管理机制。算法首次注册后处于可校验状态，完成结构、依赖、Schema、模型包或服务健康检查后方可激活；仅处于 active 状态的算法允许被统一运行接口调用。禁用和删除操作可阻止后续调用，并触发对应缓存失效。</w:t>
      </w:r>
    </w:p>
    <w:tbl>
      <w:tblPr>
        <w:tblW w:type="dxa" w:w="9026"/>
        <w:tblBorders>
          <w:top w:val="single" w:color="A6A6A6" w:sz="4"/>
          <w:left w:val="single" w:color="A6A6A6" w:sz="4"/>
          <w:bottom w:val="single" w:color="A6A6A6" w:sz="4"/>
          <w:right w:val="single" w:color="A6A6A6" w:sz="4"/>
          <w:insideH w:val="single" w:color="A6A6A6" w:sz="4"/>
          <w:insideV w:val="single" w:color="A6A6A6" w:sz="4"/>
        </w:tblBorders>
      </w:tblPr>
      <w:tblGrid>
        <w:gridCol w:w="1700"/>
        <w:gridCol w:w="4426"/>
        <w:gridCol w:w="2900"/>
      </w:tblGrid>
      <w:tr>
        <w:tc>
          <w:tcPr>
            <w:tcW w:type="dxa" w:w="1700"/>
            <w:tcBorders>
              <w:top w:val="single" w:color="A6A6A6" w:sz="4"/>
              <w:left w:val="single" w:color="A6A6A6" w:sz="4"/>
              <w:bottom w:val="single" w:color="A6A6A6" w:sz="4"/>
              <w:right w:val="single" w:color="A6A6A6" w:sz="4"/>
            </w:tcBorders>
            <w:shd w:fill="D9EAF7" w:val="clear"/>
            <w:tcMar>
              <w:top w:type="dxa" w:w="90"/>
              <w:left w:type="dxa" w:w="120"/>
              <w:bottom w:type="dxa" w:w="90"/>
              <w:right w:type="dxa" w:w="120"/>
            </w:tcMar>
            <w:vAlign w:val="center"/>
          </w:tcPr>
          <w:p>
            <w:pPr>
              <w:jc w:val="center"/>
              <w:spacing w:after="0" w:line="280"/>
            </w:pPr>
            <w:r>
              <w:rPr>
                <w:rFonts w:ascii="宋体" w:cs="宋体" w:eastAsia="宋体" w:hAnsi="宋体"/>
                <w:b/>
                <w:bCs/>
                <w:sz w:val="18"/>
                <w:szCs w:val="18"/>
              </w:rPr>
              <w:t xml:space="preserve">阶段</w:t>
            </w:r>
          </w:p>
        </w:tc>
        <w:tc>
          <w:tcPr>
            <w:tcW w:type="dxa" w:w="4426"/>
            <w:tcBorders>
              <w:top w:val="single" w:color="A6A6A6" w:sz="4"/>
              <w:left w:val="single" w:color="A6A6A6" w:sz="4"/>
              <w:bottom w:val="single" w:color="A6A6A6" w:sz="4"/>
              <w:right w:val="single" w:color="A6A6A6" w:sz="4"/>
            </w:tcBorders>
            <w:shd w:fill="D9EAF7" w:val="clear"/>
            <w:tcMar>
              <w:top w:type="dxa" w:w="90"/>
              <w:left w:type="dxa" w:w="120"/>
              <w:bottom w:type="dxa" w:w="90"/>
              <w:right w:type="dxa" w:w="120"/>
            </w:tcMar>
            <w:vAlign w:val="center"/>
          </w:tcPr>
          <w:p>
            <w:pPr>
              <w:jc w:val="center"/>
              <w:spacing w:after="0" w:line="280"/>
            </w:pPr>
            <w:r>
              <w:rPr>
                <w:rFonts w:ascii="宋体" w:cs="宋体" w:eastAsia="宋体" w:hAnsi="宋体"/>
                <w:b/>
                <w:bCs/>
                <w:sz w:val="18"/>
                <w:szCs w:val="18"/>
              </w:rPr>
              <w:t xml:space="preserve">主要处理</w:t>
            </w:r>
          </w:p>
        </w:tc>
        <w:tc>
          <w:tcPr>
            <w:tcW w:type="dxa" w:w="2900"/>
            <w:tcBorders>
              <w:top w:val="single" w:color="A6A6A6" w:sz="4"/>
              <w:left w:val="single" w:color="A6A6A6" w:sz="4"/>
              <w:bottom w:val="single" w:color="A6A6A6" w:sz="4"/>
              <w:right w:val="single" w:color="A6A6A6" w:sz="4"/>
            </w:tcBorders>
            <w:shd w:fill="D9EAF7" w:val="clear"/>
            <w:tcMar>
              <w:top w:type="dxa" w:w="90"/>
              <w:left w:type="dxa" w:w="120"/>
              <w:bottom w:type="dxa" w:w="90"/>
              <w:right w:type="dxa" w:w="120"/>
            </w:tcMar>
            <w:vAlign w:val="center"/>
          </w:tcPr>
          <w:p>
            <w:pPr>
              <w:jc w:val="center"/>
              <w:spacing w:after="0" w:line="280"/>
            </w:pPr>
            <w:r>
              <w:rPr>
                <w:rFonts w:ascii="宋体" w:cs="宋体" w:eastAsia="宋体" w:hAnsi="宋体"/>
                <w:b/>
                <w:bCs/>
                <w:sz w:val="18"/>
                <w:szCs w:val="18"/>
              </w:rPr>
              <w:t xml:space="preserve">输出或状态</w:t>
            </w:r>
          </w:p>
        </w:tc>
      </w:tr>
      <w:tr>
        <w:tc>
          <w:tcPr>
            <w:tcW w:type="dxa" w:w="17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注册</w:t>
            </w:r>
          </w:p>
        </w:tc>
        <w:tc>
          <w:tcPr>
            <w:tcW w:type="dxa" w:w="4426"/>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接收算法包或算法卡路径，解析元数据并创建注册表条目。</w:t>
            </w:r>
          </w:p>
        </w:tc>
        <w:tc>
          <w:tcPr>
            <w:tcW w:type="dxa" w:w="29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算法状态进入 validated 或待校验状态。</w:t>
            </w:r>
          </w:p>
        </w:tc>
      </w:tr>
      <w:tr>
        <w:tc>
          <w:tcPr>
            <w:tcW w:type="dxa" w:w="17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校验</w:t>
            </w:r>
          </w:p>
        </w:tc>
        <w:tc>
          <w:tcPr>
            <w:tcW w:type="dxa" w:w="4426"/>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检查算法卡字段、引用文件、输入输出 Schema、ONNX 包或 Python 服务。</w:t>
            </w:r>
          </w:p>
        </w:tc>
        <w:tc>
          <w:tcPr>
            <w:tcW w:type="dxa" w:w="29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形成可验证的算法包与 Schema 摘要。</w:t>
            </w:r>
          </w:p>
        </w:tc>
      </w:tr>
      <w:tr>
        <w:tc>
          <w:tcPr>
            <w:tcW w:type="dxa" w:w="17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激活</w:t>
            </w:r>
          </w:p>
        </w:tc>
        <w:tc>
          <w:tcPr>
            <w:tcW w:type="dxa" w:w="4426"/>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通过状态机将通过校验的算法置为 active。</w:t>
            </w:r>
          </w:p>
        </w:tc>
        <w:tc>
          <w:tcPr>
            <w:tcW w:type="dxa" w:w="29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算法可被查询、加载和调用。</w:t>
            </w:r>
          </w:p>
        </w:tc>
      </w:tr>
      <w:tr>
        <w:tc>
          <w:tcPr>
            <w:tcW w:type="dxa" w:w="17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部署</w:t>
            </w:r>
          </w:p>
        </w:tc>
        <w:tc>
          <w:tcPr>
            <w:tcW w:type="dxa" w:w="4426"/>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为算法增加节点、端点、本地路径和部署状态等实例记录。</w:t>
            </w:r>
          </w:p>
        </w:tc>
        <w:tc>
          <w:tcPr>
            <w:tcW w:type="dxa" w:w="29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形成节点侧可用性视图。</w:t>
            </w:r>
          </w:p>
        </w:tc>
      </w:tr>
      <w:tr>
        <w:tc>
          <w:tcPr>
            <w:tcW w:type="dxa" w:w="17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加载</w:t>
            </w:r>
          </w:p>
        </w:tc>
        <w:tc>
          <w:tcPr>
            <w:tcW w:type="dxa" w:w="4426"/>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在指定节点创建 ONNX Session 或 Python 服务连接池，并执行健康检查。</w:t>
            </w:r>
          </w:p>
        </w:tc>
        <w:tc>
          <w:tcPr>
            <w:tcW w:type="dxa" w:w="29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部署状态更新为 ready；重复加载可返回 already_loaded。</w:t>
            </w:r>
          </w:p>
        </w:tc>
      </w:tr>
      <w:tr>
        <w:tc>
          <w:tcPr>
            <w:tcW w:type="dxa" w:w="17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调用</w:t>
            </w:r>
          </w:p>
        </w:tc>
        <w:tc>
          <w:tcPr>
            <w:tcW w:type="dxa" w:w="4426"/>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执行协调器完成输入校验、Runner 调用、输出校验和审计。</w:t>
            </w:r>
          </w:p>
        </w:tc>
        <w:tc>
          <w:tcPr>
            <w:tcW w:type="dxa" w:w="29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返回统一 AlgorithmResult。</w:t>
            </w:r>
          </w:p>
        </w:tc>
      </w:tr>
      <w:tr>
        <w:tc>
          <w:tcPr>
            <w:tcW w:type="dxa" w:w="17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更新/禁用/删除</w:t>
            </w:r>
          </w:p>
        </w:tc>
        <w:tc>
          <w:tcPr>
            <w:tcW w:type="dxa" w:w="4426"/>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通过版本并存、状态切换和缓存失效处理版本迭代或退出。</w:t>
            </w:r>
          </w:p>
        </w:tc>
        <w:tc>
          <w:tcPr>
            <w:tcW w:type="dxa" w:w="29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避免不可用模型继续被调用。</w:t>
            </w:r>
          </w:p>
        </w:tc>
      </w:tr>
    </w:tbl>
    <w:p>
      <w:pPr>
        <w:spacing w:after="180" w:before="0" w:line="360"/>
        <w:ind w:firstLine="480"/>
        <w:jc w:val="both"/>
      </w:pPr>
      <w:r>
        <w:rPr>
          <w:rFonts w:ascii="宋体" w:cs="宋体" w:eastAsia="宋体" w:hAnsi="宋体"/>
          <w:sz w:val="22"/>
          <w:szCs w:val="22"/>
        </w:rPr>
        <w:t xml:space="preserve">部署实例用于记录同一算法在不同节点上的实际部署情况，包括 deploy_id、node_id、endpoint、部署状态、模型本地路径和时间戳。模型加载完成后，系统可将部署状态回写为 ready；卸载后回写为 unloaded。该机制为后续按照节点、资源和部署可用性选择算法提供了基础。</w:t>
      </w:r>
    </w:p>
    <w:p>
      <w:pPr>
        <w:pStyle w:val="Heading2"/>
        <w:spacing w:after="160" w:before="200" w:line="360"/>
        <w:outlineLvl w:val="1"/>
      </w:pPr>
      <w:r>
        <w:rPr>
          <w:rFonts w:ascii="黑体" w:cs="黑体" w:eastAsia="黑体" w:hAnsi="黑体"/>
          <w:b/>
          <w:bCs/>
          <w:sz w:val="28"/>
          <w:szCs w:val="28"/>
        </w:rPr>
        <w:t xml:space="preserve">2.6 统一运行架构</w:t>
      </w:r>
    </w:p>
    <w:p>
      <w:pPr>
        <w:pStyle w:val="Heading3"/>
        <w:spacing w:after="160" w:before="160" w:line="360"/>
        <w:outlineLvl w:val="2"/>
      </w:pPr>
      <w:r>
        <w:rPr>
          <w:rFonts w:ascii="黑体" w:cs="黑体" w:eastAsia="黑体" w:hAnsi="黑体"/>
          <w:b/>
          <w:bCs/>
          <w:sz w:val="24"/>
          <w:szCs w:val="24"/>
        </w:rPr>
        <w:t xml:space="preserve">2.6.1 统一请求、执行与结果链路</w:t>
      </w:r>
    </w:p>
    <w:p>
      <w:pPr>
        <w:spacing w:after="180" w:before="0" w:line="360"/>
        <w:ind w:firstLine="480"/>
        <w:jc w:val="both"/>
      </w:pPr>
      <w:r>
        <w:rPr>
          <w:rFonts w:ascii="宋体" w:cs="宋体" w:eastAsia="宋体" w:hAnsi="宋体"/>
          <w:sz w:val="22"/>
          <w:szCs w:val="22"/>
        </w:rPr>
        <w:t xml:space="preserve">算法调用采用统一运行链路，以降低上层调用方对模型框架、推理方式和服务地址的感知。标准请求至少包含 request_id、trace_id、algorithm_id、version、backend_type、inputs 和 params；可选携带 function_context 和 deploy_id，用于关联杀伤链功能点、工作流实例及指定节点部署实例。标准结果包含执行成功标记、输出、错误信息、耗时、资源使用和功能执行信息。</w:t>
      </w:r>
    </w:p>
    <w:p>
      <w:pPr>
        <w:spacing w:after="100" w:before="120"/>
        <w:jc w:val="center"/>
      </w:pPr>
      <w:r>
        <w:rPr>
          <w:rFonts w:ascii="宋体" w:cs="宋体" w:eastAsia="宋体" w:hAnsi="宋体"/>
          <w:b/>
          <w:bCs/>
          <w:sz w:val="20"/>
          <w:szCs w:val="20"/>
        </w:rPr>
        <w:t xml:space="preserve">图2-2  统一算法调用流程（文本表示）</w:t>
      </w:r>
    </w:p>
    <w:p>
      <w:pPr>
        <w:spacing w:after="180" w:before="80"/>
        <w:jc w:val="left"/>
      </w:pPr>
      <w:r>
        <w:rPr>
          <w:rFonts w:ascii="Courier New" w:cs="Courier New" w:eastAsia="Courier New" w:hAnsi="Courier New"/>
          <w:sz w:val="17"/>
          <w:szCs w:val="17"/>
        </w:rPr>
        <w:t xml:space="preserve">调用请求
  → 补齐 request_id / trace_id
  → 按 algorithm_id + version + backend_type 查询注册表
  → 检查算法 active 状态并解析功能点映射
  → 输入 Schema 校验
  → 从 RunnerCache 获取或通过 RuntimeFactory 创建 Runner
  → ONNX 本地推理 或 Python HTTP 服务调用
  → 输出 Schema 校验与结果信封归一化
  → 写入执行审计日志并返回统一结果</w:t>
      </w:r>
    </w:p>
    <w:p>
      <w:pPr>
        <w:spacing w:after="180" w:before="0" w:line="360"/>
        <w:ind w:firstLine="480"/>
        <w:jc w:val="both"/>
      </w:pPr>
      <w:r>
        <w:rPr>
          <w:rFonts w:ascii="宋体" w:cs="宋体" w:eastAsia="宋体" w:hAnsi="宋体"/>
          <w:sz w:val="22"/>
          <w:szCs w:val="22"/>
        </w:rPr>
        <w:t xml:space="preserve">执行协调器会根据请求中的 function_context 或算法卡默认的 operational_functions 解析功能点映射，并将功能点、角色、覆盖级别和执行状态填入结果。对于标记为外部移交的功能，可将结果标识为 handoff_ready，表明算法库已完成信息准备与受控交接，而不直接实施外部执行。</w:t>
      </w:r>
    </w:p>
    <w:p>
      <w:pPr>
        <w:pStyle w:val="Heading3"/>
        <w:spacing w:after="160" w:before="160" w:line="360"/>
        <w:outlineLvl w:val="2"/>
      </w:pPr>
      <w:r>
        <w:rPr>
          <w:rFonts w:ascii="黑体" w:cs="黑体" w:eastAsia="黑体" w:hAnsi="黑体"/>
          <w:b/>
          <w:bCs/>
          <w:sz w:val="24"/>
          <w:szCs w:val="24"/>
        </w:rPr>
        <w:t xml:space="preserve">2.6.2 双后端运行机制</w:t>
      </w:r>
    </w:p>
    <w:p>
      <w:pPr>
        <w:spacing w:after="120" w:line="280" w:lineRule="auto"/>
        <w:jc w:val="center"/>
      </w:pPr>
      <w:r>
        <w:drawing>
          <wp:inline distT="0" distB="0" distL="0" distR="0">
            <wp:extent cx="5500000" cy="2578125"/>
            <wp:effectExtent l="0" t="0" r="0" b="0"/>
            <wp:docPr id="102" name="Figure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image.png"/>
                    <pic:cNvPicPr/>
                  </pic:nvPicPr>
                  <pic:blipFill>
                    <a:blip r:embed="rId14"/>
                    <a:stretch>
                      <a:fillRect/>
                    </a:stretch>
                  </pic:blipFill>
                  <pic:spPr>
                    <a:xfrm>
                      <a:off x="0" y="0"/>
                      <a:ext cx="5500000" cy="2578125"/>
                    </a:xfrm>
                    <a:prstGeom prst="rect">
                      <a:avLst/>
                    </a:prstGeom>
                  </pic:spPr>
                </pic:pic>
              </a:graphicData>
            </a:graphic>
          </wp:inline>
        </w:drawing>
      </w:r>
    </w:p>
    <w:p>
      <w:pPr>
        <w:spacing w:after="120" w:line="280" w:lineRule="auto"/>
        <w:jc w:val="center"/>
      </w:pPr>
      <w:r>
        <w:rPr>
          <w:rFonts w:eastAsia="Arial"/>
          <w:sz w:val="20"/>
          <w:szCs w:val="20"/>
        </w:rPr>
        <w:t>图 2-3  双后端运行机制对比</w:t>
      </w:r>
    </w:p>
    <w:tbl>
      <w:tblPr>
        <w:tblW w:type="dxa" w:w="9026"/>
        <w:tblBorders>
          <w:top w:val="single" w:color="A6A6A6" w:sz="4"/>
          <w:left w:val="single" w:color="A6A6A6" w:sz="4"/>
          <w:bottom w:val="single" w:color="A6A6A6" w:sz="4"/>
          <w:right w:val="single" w:color="A6A6A6" w:sz="4"/>
          <w:insideH w:val="single" w:color="A6A6A6" w:sz="4"/>
          <w:insideV w:val="single" w:color="A6A6A6" w:sz="4"/>
        </w:tblBorders>
      </w:tblPr>
      <w:tblGrid>
        <w:gridCol w:w="1650"/>
        <w:gridCol w:w="2100"/>
        <w:gridCol w:w="2800"/>
        <w:gridCol w:w="2476"/>
      </w:tblGrid>
      <w:tr>
        <w:tc>
          <w:tcPr>
            <w:tcW w:type="dxa" w:w="1650"/>
            <w:tcBorders>
              <w:top w:val="single" w:color="A6A6A6" w:sz="4"/>
              <w:left w:val="single" w:color="A6A6A6" w:sz="4"/>
              <w:bottom w:val="single" w:color="A6A6A6" w:sz="4"/>
              <w:right w:val="single" w:color="A6A6A6" w:sz="4"/>
            </w:tcBorders>
            <w:shd w:fill="D9EAF7" w:val="clear"/>
            <w:tcMar>
              <w:top w:type="dxa" w:w="90"/>
              <w:left w:type="dxa" w:w="120"/>
              <w:bottom w:type="dxa" w:w="90"/>
              <w:right w:type="dxa" w:w="120"/>
            </w:tcMar>
            <w:vAlign w:val="center"/>
          </w:tcPr>
          <w:p>
            <w:pPr>
              <w:jc w:val="center"/>
              <w:spacing w:after="0" w:line="280"/>
            </w:pPr>
            <w:r>
              <w:rPr>
                <w:rFonts w:ascii="宋体" w:cs="宋体" w:eastAsia="宋体" w:hAnsi="宋体"/>
                <w:b/>
                <w:bCs/>
                <w:sz w:val="18"/>
                <w:szCs w:val="18"/>
              </w:rPr>
              <w:t xml:space="preserve">后端类型</w:t>
            </w:r>
          </w:p>
        </w:tc>
        <w:tc>
          <w:tcPr>
            <w:tcW w:type="dxa" w:w="2100"/>
            <w:tcBorders>
              <w:top w:val="single" w:color="A6A6A6" w:sz="4"/>
              <w:left w:val="single" w:color="A6A6A6" w:sz="4"/>
              <w:bottom w:val="single" w:color="A6A6A6" w:sz="4"/>
              <w:right w:val="single" w:color="A6A6A6" w:sz="4"/>
            </w:tcBorders>
            <w:shd w:fill="D9EAF7" w:val="clear"/>
            <w:tcMar>
              <w:top w:type="dxa" w:w="90"/>
              <w:left w:type="dxa" w:w="120"/>
              <w:bottom w:type="dxa" w:w="90"/>
              <w:right w:type="dxa" w:w="120"/>
            </w:tcMar>
            <w:vAlign w:val="center"/>
          </w:tcPr>
          <w:p>
            <w:pPr>
              <w:jc w:val="center"/>
              <w:spacing w:after="0" w:line="280"/>
            </w:pPr>
            <w:r>
              <w:rPr>
                <w:rFonts w:ascii="宋体" w:cs="宋体" w:eastAsia="宋体" w:hAnsi="宋体"/>
                <w:b/>
                <w:bCs/>
                <w:sz w:val="18"/>
                <w:szCs w:val="18"/>
              </w:rPr>
              <w:t xml:space="preserve">运行组件</w:t>
            </w:r>
          </w:p>
        </w:tc>
        <w:tc>
          <w:tcPr>
            <w:tcW w:type="dxa" w:w="2800"/>
            <w:tcBorders>
              <w:top w:val="single" w:color="A6A6A6" w:sz="4"/>
              <w:left w:val="single" w:color="A6A6A6" w:sz="4"/>
              <w:bottom w:val="single" w:color="A6A6A6" w:sz="4"/>
              <w:right w:val="single" w:color="A6A6A6" w:sz="4"/>
            </w:tcBorders>
            <w:shd w:fill="D9EAF7" w:val="clear"/>
            <w:tcMar>
              <w:top w:type="dxa" w:w="90"/>
              <w:left w:type="dxa" w:w="120"/>
              <w:bottom w:type="dxa" w:w="90"/>
              <w:right w:type="dxa" w:w="120"/>
            </w:tcMar>
            <w:vAlign w:val="center"/>
          </w:tcPr>
          <w:p>
            <w:pPr>
              <w:jc w:val="center"/>
              <w:spacing w:after="0" w:line="280"/>
            </w:pPr>
            <w:r>
              <w:rPr>
                <w:rFonts w:ascii="宋体" w:cs="宋体" w:eastAsia="宋体" w:hAnsi="宋体"/>
                <w:b/>
                <w:bCs/>
                <w:sz w:val="18"/>
                <w:szCs w:val="18"/>
              </w:rPr>
              <w:t xml:space="preserve">执行方式</w:t>
            </w:r>
          </w:p>
        </w:tc>
        <w:tc>
          <w:tcPr>
            <w:tcW w:type="dxa" w:w="2476"/>
            <w:tcBorders>
              <w:top w:val="single" w:color="A6A6A6" w:sz="4"/>
              <w:left w:val="single" w:color="A6A6A6" w:sz="4"/>
              <w:bottom w:val="single" w:color="A6A6A6" w:sz="4"/>
              <w:right w:val="single" w:color="A6A6A6" w:sz="4"/>
            </w:tcBorders>
            <w:shd w:fill="D9EAF7" w:val="clear"/>
            <w:tcMar>
              <w:top w:type="dxa" w:w="90"/>
              <w:left w:type="dxa" w:w="120"/>
              <w:bottom w:type="dxa" w:w="90"/>
              <w:right w:type="dxa" w:w="120"/>
            </w:tcMar>
            <w:vAlign w:val="center"/>
          </w:tcPr>
          <w:p>
            <w:pPr>
              <w:jc w:val="center"/>
              <w:spacing w:after="0" w:line="280"/>
            </w:pPr>
            <w:r>
              <w:rPr>
                <w:rFonts w:ascii="宋体" w:cs="宋体" w:eastAsia="宋体" w:hAnsi="宋体"/>
                <w:b/>
                <w:bCs/>
                <w:sz w:val="18"/>
                <w:szCs w:val="18"/>
              </w:rPr>
              <w:t xml:space="preserve">适用特点</w:t>
            </w:r>
          </w:p>
        </w:tc>
      </w:tr>
      <w:tr>
        <w:tc>
          <w:tcPr>
            <w:tcW w:type="dxa" w:w="165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ONNX 本地推理</w:t>
            </w:r>
          </w:p>
        </w:tc>
        <w:tc>
          <w:tcPr>
            <w:tcW w:type="dxa" w:w="21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OnnxRunner</w:t>
            </w:r>
          </w:p>
        </w:tc>
        <w:tc>
          <w:tcPr>
            <w:tcW w:type="dxa" w:w="28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加载模型、预处理配置、后处理配置和张量契约，在节点本地创建推理 Session。</w:t>
            </w:r>
          </w:p>
        </w:tc>
        <w:tc>
          <w:tcPr>
            <w:tcW w:type="dxa" w:w="2476"/>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低时延、弱网络依赖、适合边缘节点；模型需完成 ONNX 适配。</w:t>
            </w:r>
          </w:p>
        </w:tc>
      </w:tr>
      <w:tr>
        <w:tc>
          <w:tcPr>
            <w:tcW w:type="dxa" w:w="165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Python HTTP 服务</w:t>
            </w:r>
          </w:p>
        </w:tc>
        <w:tc>
          <w:tcPr>
            <w:tcW w:type="dxa" w:w="21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PythonHttpRunnerPool</w:t>
            </w:r>
          </w:p>
        </w:tc>
        <w:tc>
          <w:tcPr>
            <w:tcW w:type="dxa" w:w="28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通过 HTTP 调用 Python 算法服务；连接池负责 Runner 借用、归还和超时控制。</w:t>
            </w:r>
          </w:p>
        </w:tc>
        <w:tc>
          <w:tcPr>
            <w:tcW w:type="dxa" w:w="2476"/>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便于承载复杂依赖、深度学习框架、RAG、LLM 和既有 Python 算法；依赖服务健康与网络可达性。</w:t>
            </w:r>
          </w:p>
        </w:tc>
      </w:tr>
    </w:tbl>
    <w:p>
      <w:pPr>
        <w:spacing w:after="180" w:before="0" w:line="360"/>
        <w:ind w:firstLine="480"/>
        <w:jc w:val="both"/>
      </w:pPr>
      <w:r>
        <w:rPr>
          <w:rFonts w:ascii="宋体" w:cs="宋体" w:eastAsia="宋体" w:hAnsi="宋体"/>
          <w:sz w:val="22"/>
          <w:szCs w:val="22"/>
        </w:rPr>
        <w:t xml:space="preserve">运行工厂根据 backend_type 创建相应 Runner。ONNX 后端通常以“一个算法版本加一个部署实例对应一个本地 Runner”的方式缓存；Python HTTP 服务后端以“一个算法版本加一个部署实例对应一个连接池”的方式缓存，默认连接池容量为 4，可在模型加载时按服务并发能力调整。</w:t>
      </w:r>
    </w:p>
    <w:p>
      <w:pPr>
        <w:pStyle w:val="Heading2"/>
        <w:spacing w:after="160" w:before="200" w:line="360"/>
        <w:outlineLvl w:val="1"/>
      </w:pPr>
      <w:r>
        <w:rPr>
          <w:rFonts w:ascii="黑体" w:cs="黑体" w:eastAsia="黑体" w:hAnsi="黑体"/>
          <w:b/>
          <w:bCs/>
          <w:sz w:val="28"/>
          <w:szCs w:val="28"/>
        </w:rPr>
        <w:t xml:space="preserve">2.7 节点侧加载、缓存与模型分发</w:t>
      </w:r>
    </w:p>
    <w:p>
      <w:pPr>
        <w:spacing w:after="180" w:before="0" w:line="360"/>
        <w:ind w:firstLine="480"/>
        <w:jc w:val="both"/>
      </w:pPr>
      <w:r>
        <w:rPr>
          <w:rFonts w:ascii="宋体" w:cs="宋体" w:eastAsia="宋体" w:hAnsi="宋体"/>
          <w:sz w:val="22"/>
          <w:szCs w:val="22"/>
        </w:rPr>
        <w:t xml:space="preserve">节点侧模型加载用于将可用算法预热至 CPU 内存或 GPU 显存，减少任务到达后的冷启动开销。ModelLoader 根据算法标识、版本、后端和可选部署实例定位注册表条目，检查算法是否已激活，并通过 RuntimeRunnerCache 判断是否已加载。若缓存命中，则直接返回 already_loaded；若未命中，则创建 Runner、完成模型或服务加载并执行健康检查。</w:t>
      </w:r>
    </w:p>
    <w:p>
      <w:pPr>
        <w:spacing w:after="180" w:before="0" w:line="360"/>
        <w:ind w:firstLine="480"/>
        <w:jc w:val="both"/>
      </w:pPr>
      <w:r>
        <w:rPr>
          <w:rFonts w:ascii="宋体" w:cs="宋体" w:eastAsia="宋体" w:hAnsi="宋体"/>
          <w:sz w:val="22"/>
          <w:szCs w:val="22"/>
        </w:rPr>
        <w:t xml:space="preserve">对于 ONNX 模型和相关配置文件，模型加载支持本地已有文件和 http_pull 两种模式。在 http_pull 模式下，目标节点可从中心算法库的文件服务接口拉取模型包所需文件，并将实际本地模型路径回写至部署记录。文件服务对相对路径进行目录穿越防护和规范化路径校验，确保仅能访问算法包根目录下的合法文件。</w:t>
      </w:r>
    </w:p>
    <w:tbl>
      <w:tblPr>
        <w:tblW w:type="dxa" w:w="9026"/>
        <w:tblBorders>
          <w:top w:val="single" w:color="A6A6A6" w:sz="4"/>
          <w:left w:val="single" w:color="A6A6A6" w:sz="4"/>
          <w:bottom w:val="single" w:color="A6A6A6" w:sz="4"/>
          <w:right w:val="single" w:color="A6A6A6" w:sz="4"/>
          <w:insideH w:val="single" w:color="A6A6A6" w:sz="4"/>
          <w:insideV w:val="single" w:color="A6A6A6" w:sz="4"/>
        </w:tblBorders>
      </w:tblPr>
      <w:tblGrid>
        <w:gridCol w:w="2200"/>
        <w:gridCol w:w="6826"/>
      </w:tblGrid>
      <w:tr>
        <w:tc>
          <w:tcPr>
            <w:tcW w:type="dxa" w:w="2200"/>
            <w:tcBorders>
              <w:top w:val="single" w:color="A6A6A6" w:sz="4"/>
              <w:left w:val="single" w:color="A6A6A6" w:sz="4"/>
              <w:bottom w:val="single" w:color="A6A6A6" w:sz="4"/>
              <w:right w:val="single" w:color="A6A6A6" w:sz="4"/>
            </w:tcBorders>
            <w:shd w:fill="D9EAF7" w:val="clear"/>
            <w:tcMar>
              <w:top w:type="dxa" w:w="90"/>
              <w:left w:type="dxa" w:w="120"/>
              <w:bottom w:type="dxa" w:w="90"/>
              <w:right w:type="dxa" w:w="120"/>
            </w:tcMar>
            <w:vAlign w:val="center"/>
          </w:tcPr>
          <w:p>
            <w:pPr>
              <w:jc w:val="center"/>
              <w:spacing w:after="0" w:line="280"/>
            </w:pPr>
            <w:r>
              <w:rPr>
                <w:rFonts w:ascii="宋体" w:cs="宋体" w:eastAsia="宋体" w:hAnsi="宋体"/>
                <w:b/>
                <w:bCs/>
                <w:sz w:val="18"/>
                <w:szCs w:val="18"/>
              </w:rPr>
              <w:t xml:space="preserve">机制</w:t>
            </w:r>
          </w:p>
        </w:tc>
        <w:tc>
          <w:tcPr>
            <w:tcW w:type="dxa" w:w="6826"/>
            <w:tcBorders>
              <w:top w:val="single" w:color="A6A6A6" w:sz="4"/>
              <w:left w:val="single" w:color="A6A6A6" w:sz="4"/>
              <w:bottom w:val="single" w:color="A6A6A6" w:sz="4"/>
              <w:right w:val="single" w:color="A6A6A6" w:sz="4"/>
            </w:tcBorders>
            <w:shd w:fill="D9EAF7" w:val="clear"/>
            <w:tcMar>
              <w:top w:type="dxa" w:w="90"/>
              <w:left w:type="dxa" w:w="120"/>
              <w:bottom w:type="dxa" w:w="90"/>
              <w:right w:type="dxa" w:w="120"/>
            </w:tcMar>
            <w:vAlign w:val="center"/>
          </w:tcPr>
          <w:p>
            <w:pPr>
              <w:jc w:val="center"/>
              <w:spacing w:after="0" w:line="280"/>
            </w:pPr>
            <w:r>
              <w:rPr>
                <w:rFonts w:ascii="宋体" w:cs="宋体" w:eastAsia="宋体" w:hAnsi="宋体"/>
                <w:b/>
                <w:bCs/>
                <w:sz w:val="18"/>
                <w:szCs w:val="18"/>
              </w:rPr>
              <w:t xml:space="preserve">说明</w:t>
            </w:r>
          </w:p>
        </w:tc>
      </w:tr>
      <w:tr>
        <w:tc>
          <w:tcPr>
            <w:tcW w:type="dxa" w:w="22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缓存粒度</w:t>
            </w:r>
          </w:p>
        </w:tc>
        <w:tc>
          <w:tcPr>
            <w:tcW w:type="dxa" w:w="6826"/>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以 AlgorithmKey 与 deploy_id 组成的缓存键区分算法版本、后端和部署实例。</w:t>
            </w:r>
          </w:p>
        </w:tc>
      </w:tr>
      <w:tr>
        <w:tc>
          <w:tcPr>
            <w:tcW w:type="dxa" w:w="22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ONNX 缓存</w:t>
            </w:r>
          </w:p>
        </w:tc>
        <w:tc>
          <w:tcPr>
            <w:tcW w:type="dxa" w:w="6826"/>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缓存 OnnxRunner；模型指纹发生变化时自动失效并重新创建。</w:t>
            </w:r>
          </w:p>
        </w:tc>
      </w:tr>
      <w:tr>
        <w:tc>
          <w:tcPr>
            <w:tcW w:type="dxa" w:w="22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Python 服务缓存</w:t>
            </w:r>
          </w:p>
        </w:tc>
        <w:tc>
          <w:tcPr>
            <w:tcW w:type="dxa" w:w="6826"/>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缓存 PythonHttpRunnerPool；池内控制并发访问，避免单个 Python 进程被过量请求压垮。</w:t>
            </w:r>
          </w:p>
        </w:tc>
      </w:tr>
      <w:tr>
        <w:tc>
          <w:tcPr>
            <w:tcW w:type="dxa" w:w="22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显式卸载</w:t>
            </w:r>
          </w:p>
        </w:tc>
        <w:tc>
          <w:tcPr>
            <w:tcW w:type="dxa" w:w="6826"/>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调用卸载接口释放模型 Session、连接池及相关资源，并更新部署状态。</w:t>
            </w:r>
          </w:p>
        </w:tc>
      </w:tr>
      <w:tr>
        <w:tc>
          <w:tcPr>
            <w:tcW w:type="dxa" w:w="22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全局失效</w:t>
            </w:r>
          </w:p>
        </w:tc>
        <w:tc>
          <w:tcPr>
            <w:tcW w:type="dxa" w:w="6826"/>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算法更新、禁用、删除或注册表重载时清理相应缓存，避免旧版本持续服务。</w:t>
            </w:r>
          </w:p>
        </w:tc>
      </w:tr>
    </w:tbl>
    <w:p>
      <w:pPr>
        <w:pStyle w:val="Heading2"/>
        <w:spacing w:after="160" w:before="200" w:line="360"/>
        <w:outlineLvl w:val="1"/>
      </w:pPr>
      <w:r>
        <w:rPr>
          <w:rFonts w:ascii="黑体" w:cs="黑体" w:eastAsia="黑体" w:hAnsi="黑体"/>
          <w:b/>
          <w:bCs/>
          <w:sz w:val="28"/>
          <w:szCs w:val="28"/>
        </w:rPr>
        <w:t xml:space="preserve">2.8 服务接入与接口层架构</w:t>
      </w:r>
    </w:p>
    <w:p>
      <w:pPr>
        <w:spacing w:after="180" w:before="0" w:line="360"/>
        <w:ind w:firstLine="480"/>
        <w:jc w:val="both"/>
      </w:pPr>
      <w:r>
        <w:rPr>
          <w:rFonts w:ascii="宋体" w:cs="宋体" w:eastAsia="宋体" w:hAnsi="宋体"/>
          <w:sz w:val="22"/>
          <w:szCs w:val="22"/>
        </w:rPr>
        <w:t xml:space="preserve">算法库 HTTP Server 作为常驻服务入口，默认监听本地地址，可通过配置指定注册表路径、审计日志路径和功能点目录。服务层复用注册表、运行缓存和执行协调器，对外提供算法注册、生命周期管理、查询、部署记录维护、模型加载卸载、统一运行、模型文件下载和健康检查等能力。</w:t>
      </w:r>
    </w:p>
    <w:tbl>
      <w:tblPr>
        <w:tblW w:type="dxa" w:w="9026"/>
        <w:tblBorders>
          <w:top w:val="single" w:color="A6A6A6" w:sz="4"/>
          <w:left w:val="single" w:color="A6A6A6" w:sz="4"/>
          <w:bottom w:val="single" w:color="A6A6A6" w:sz="4"/>
          <w:right w:val="single" w:color="A6A6A6" w:sz="4"/>
          <w:insideH w:val="single" w:color="A6A6A6" w:sz="4"/>
          <w:insideV w:val="single" w:color="A6A6A6" w:sz="4"/>
        </w:tblBorders>
      </w:tblPr>
      <w:tblGrid>
        <w:gridCol w:w="2500"/>
        <w:gridCol w:w="1650"/>
        <w:gridCol w:w="4876"/>
      </w:tblGrid>
      <w:tr>
        <w:tc>
          <w:tcPr>
            <w:tcW w:type="dxa" w:w="2500"/>
            <w:tcBorders>
              <w:top w:val="single" w:color="A6A6A6" w:sz="4"/>
              <w:left w:val="single" w:color="A6A6A6" w:sz="4"/>
              <w:bottom w:val="single" w:color="A6A6A6" w:sz="4"/>
              <w:right w:val="single" w:color="A6A6A6" w:sz="4"/>
            </w:tcBorders>
            <w:shd w:fill="D9EAF7" w:val="clear"/>
            <w:tcMar>
              <w:top w:type="dxa" w:w="90"/>
              <w:left w:type="dxa" w:w="120"/>
              <w:bottom w:type="dxa" w:w="90"/>
              <w:right w:type="dxa" w:w="120"/>
            </w:tcMar>
            <w:vAlign w:val="center"/>
          </w:tcPr>
          <w:p>
            <w:pPr>
              <w:jc w:val="center"/>
              <w:spacing w:after="0" w:line="280"/>
            </w:pPr>
            <w:r>
              <w:rPr>
                <w:rFonts w:ascii="宋体" w:cs="宋体" w:eastAsia="宋体" w:hAnsi="宋体"/>
                <w:b/>
                <w:bCs/>
                <w:sz w:val="18"/>
                <w:szCs w:val="18"/>
              </w:rPr>
              <w:t xml:space="preserve">接口类别</w:t>
            </w:r>
          </w:p>
        </w:tc>
        <w:tc>
          <w:tcPr>
            <w:tcW w:type="dxa" w:w="1650"/>
            <w:tcBorders>
              <w:top w:val="single" w:color="A6A6A6" w:sz="4"/>
              <w:left w:val="single" w:color="A6A6A6" w:sz="4"/>
              <w:bottom w:val="single" w:color="A6A6A6" w:sz="4"/>
              <w:right w:val="single" w:color="A6A6A6" w:sz="4"/>
            </w:tcBorders>
            <w:shd w:fill="D9EAF7" w:val="clear"/>
            <w:tcMar>
              <w:top w:type="dxa" w:w="90"/>
              <w:left w:type="dxa" w:w="120"/>
              <w:bottom w:type="dxa" w:w="90"/>
              <w:right w:type="dxa" w:w="120"/>
            </w:tcMar>
            <w:vAlign w:val="center"/>
          </w:tcPr>
          <w:p>
            <w:pPr>
              <w:jc w:val="center"/>
              <w:spacing w:after="0" w:line="280"/>
            </w:pPr>
            <w:r>
              <w:rPr>
                <w:rFonts w:ascii="宋体" w:cs="宋体" w:eastAsia="宋体" w:hAnsi="宋体"/>
                <w:b/>
                <w:bCs/>
                <w:sz w:val="18"/>
                <w:szCs w:val="18"/>
              </w:rPr>
              <w:t xml:space="preserve">方法</w:t>
            </w:r>
          </w:p>
        </w:tc>
        <w:tc>
          <w:tcPr>
            <w:tcW w:type="dxa" w:w="4876"/>
            <w:tcBorders>
              <w:top w:val="single" w:color="A6A6A6" w:sz="4"/>
              <w:left w:val="single" w:color="A6A6A6" w:sz="4"/>
              <w:bottom w:val="single" w:color="A6A6A6" w:sz="4"/>
              <w:right w:val="single" w:color="A6A6A6" w:sz="4"/>
            </w:tcBorders>
            <w:shd w:fill="D9EAF7" w:val="clear"/>
            <w:tcMar>
              <w:top w:type="dxa" w:w="90"/>
              <w:left w:type="dxa" w:w="120"/>
              <w:bottom w:type="dxa" w:w="90"/>
              <w:right w:type="dxa" w:w="120"/>
            </w:tcMar>
            <w:vAlign w:val="center"/>
          </w:tcPr>
          <w:p>
            <w:pPr>
              <w:jc w:val="center"/>
              <w:spacing w:after="0" w:line="280"/>
            </w:pPr>
            <w:r>
              <w:rPr>
                <w:rFonts w:ascii="宋体" w:cs="宋体" w:eastAsia="宋体" w:hAnsi="宋体"/>
                <w:b/>
                <w:bCs/>
                <w:sz w:val="18"/>
                <w:szCs w:val="18"/>
              </w:rPr>
              <w:t xml:space="preserve">主要作用</w:t>
            </w:r>
          </w:p>
        </w:tc>
      </w:tr>
      <w:tr>
        <w:tc>
          <w:tcPr>
            <w:tcW w:type="dxa" w:w="25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/health</w:t>
            </w:r>
          </w:p>
        </w:tc>
        <w:tc>
          <w:tcPr>
            <w:tcW w:type="dxa" w:w="165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GET</w:t>
            </w:r>
          </w:p>
        </w:tc>
        <w:tc>
          <w:tcPr>
            <w:tcW w:type="dxa" w:w="4876"/>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返回服务就绪状态、注册表路径、审计日志路径、功能点目录和 Runner 缓存规模。</w:t>
            </w:r>
          </w:p>
        </w:tc>
      </w:tr>
      <w:tr>
        <w:tc>
          <w:tcPr>
            <w:tcW w:type="dxa" w:w="25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/algorithms</w:t>
            </w:r>
          </w:p>
        </w:tc>
        <w:tc>
          <w:tcPr>
            <w:tcW w:type="dxa" w:w="165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GET</w:t>
            </w:r>
          </w:p>
        </w:tc>
        <w:tc>
          <w:tcPr>
            <w:tcW w:type="dxa" w:w="4876"/>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按任务族、后端、能力、功能点、节点、CPU、内存和显存约束查询算法。</w:t>
            </w:r>
          </w:p>
        </w:tc>
      </w:tr>
      <w:tr>
        <w:tc>
          <w:tcPr>
            <w:tcW w:type="dxa" w:w="25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/algorithms/register</w:t>
            </w:r>
          </w:p>
        </w:tc>
        <w:tc>
          <w:tcPr>
            <w:tcW w:type="dxa" w:w="165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POST</w:t>
            </w:r>
          </w:p>
        </w:tc>
        <w:tc>
          <w:tcPr>
            <w:tcW w:type="dxa" w:w="4876"/>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注册算法包或算法卡路径。</w:t>
            </w:r>
          </w:p>
        </w:tc>
      </w:tr>
      <w:tr>
        <w:tc>
          <w:tcPr>
            <w:tcW w:type="dxa" w:w="25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/algorithms/{id}/{version}/{backend}</w:t>
            </w:r>
          </w:p>
        </w:tc>
        <w:tc>
          <w:tcPr>
            <w:tcW w:type="dxa" w:w="165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GET / DELETE</w:t>
            </w:r>
          </w:p>
        </w:tc>
        <w:tc>
          <w:tcPr>
            <w:tcW w:type="dxa" w:w="4876"/>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查询算法详情或删除算法条目。</w:t>
            </w:r>
          </w:p>
        </w:tc>
      </w:tr>
      <w:tr>
        <w:tc>
          <w:tcPr>
            <w:tcW w:type="dxa" w:w="25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/activate、/validate、/disable</w:t>
            </w:r>
          </w:p>
        </w:tc>
        <w:tc>
          <w:tcPr>
            <w:tcW w:type="dxa" w:w="165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POST</w:t>
            </w:r>
          </w:p>
        </w:tc>
        <w:tc>
          <w:tcPr>
            <w:tcW w:type="dxa" w:w="4876"/>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执行算法校验、激活或禁用等生命周期操作。</w:t>
            </w:r>
          </w:p>
        </w:tc>
      </w:tr>
      <w:tr>
        <w:tc>
          <w:tcPr>
            <w:tcW w:type="dxa" w:w="25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/deployments</w:t>
            </w:r>
          </w:p>
        </w:tc>
        <w:tc>
          <w:tcPr>
            <w:tcW w:type="dxa" w:w="165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POST / PATCH</w:t>
            </w:r>
          </w:p>
        </w:tc>
        <w:tc>
          <w:tcPr>
            <w:tcW w:type="dxa" w:w="4876"/>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维护算法在节点侧的部署实例与部署状态。</w:t>
            </w:r>
          </w:p>
        </w:tc>
      </w:tr>
      <w:tr>
        <w:tc>
          <w:tcPr>
            <w:tcW w:type="dxa" w:w="25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/load、/unload</w:t>
            </w:r>
          </w:p>
        </w:tc>
        <w:tc>
          <w:tcPr>
            <w:tcW w:type="dxa" w:w="165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POST</w:t>
            </w:r>
          </w:p>
        </w:tc>
        <w:tc>
          <w:tcPr>
            <w:tcW w:type="dxa" w:w="4876"/>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执行模型预加载、卸载、健康检查和部署状态回写。</w:t>
            </w:r>
          </w:p>
        </w:tc>
      </w:tr>
      <w:tr>
        <w:tc>
          <w:tcPr>
            <w:tcW w:type="dxa" w:w="25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/run</w:t>
            </w:r>
          </w:p>
        </w:tc>
        <w:tc>
          <w:tcPr>
            <w:tcW w:type="dxa" w:w="165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POST</w:t>
            </w:r>
          </w:p>
        </w:tc>
        <w:tc>
          <w:tcPr>
            <w:tcW w:type="dxa" w:w="4876"/>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通过统一执行协调器调用指定算法。</w:t>
            </w:r>
          </w:p>
        </w:tc>
      </w:tr>
      <w:tr>
        <w:tc>
          <w:tcPr>
            <w:tcW w:type="dxa" w:w="25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/files/{relative_path}</w:t>
            </w:r>
          </w:p>
        </w:tc>
        <w:tc>
          <w:tcPr>
            <w:tcW w:type="dxa" w:w="165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GET</w:t>
            </w:r>
          </w:p>
        </w:tc>
        <w:tc>
          <w:tcPr>
            <w:tcW w:type="dxa" w:w="4876"/>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在 http_pull 场景下向受控远端节点提供算法包文件下载。</w:t>
            </w:r>
          </w:p>
        </w:tc>
      </w:tr>
    </w:tbl>
    <w:p>
      <w:pPr>
        <w:spacing w:after="180" w:before="0" w:line="360"/>
        <w:ind w:firstLine="480"/>
        <w:jc w:val="both"/>
      </w:pPr>
      <w:r>
        <w:rPr>
          <w:rFonts w:ascii="宋体" w:cs="宋体" w:eastAsia="宋体" w:hAnsi="宋体"/>
          <w:sz w:val="22"/>
          <w:szCs w:val="22"/>
        </w:rPr>
        <w:t xml:space="preserve">接口层采用 JSON 数据格式和统一错误响应语义。对于算法查询，服务返回面向 Agent 的精简视图，其中包含算法摘要、适用条件、性能、Schema 摘要和可用端点；对于运行调用，服务返回标准结果信封；对于模型文件服务，采用二进制传输并限制访问范围。详细接口字段和请求响应样例将在第9章中展开。</w:t>
      </w:r>
    </w:p>
    <w:p>
      <w:pPr>
        <w:pStyle w:val="Heading2"/>
        <w:spacing w:after="160" w:before="200" w:line="360"/>
        <w:outlineLvl w:val="1"/>
      </w:pPr>
      <w:r>
        <w:rPr>
          <w:rFonts w:ascii="黑体" w:cs="黑体" w:eastAsia="黑体" w:hAnsi="黑体"/>
          <w:b/>
          <w:bCs/>
          <w:sz w:val="28"/>
          <w:szCs w:val="28"/>
        </w:rPr>
        <w:t xml:space="preserve">2.9 部署形态与外部协同关系</w:t>
      </w:r>
    </w:p>
    <w:p>
      <w:pPr>
        <w:spacing w:after="180" w:before="0" w:line="360"/>
        <w:ind w:firstLine="480"/>
        <w:jc w:val="both"/>
      </w:pPr>
      <w:r>
        <w:rPr>
          <w:rFonts w:ascii="宋体" w:cs="宋体" w:eastAsia="宋体" w:hAnsi="宋体"/>
          <w:sz w:val="22"/>
          <w:szCs w:val="22"/>
        </w:rPr>
        <w:t xml:space="preserve">算法库采用“中心算法管理 + 节点侧执行”的部署形态。中心节点可部署算法注册表、HTTP 服务、算法包存储、审计日志和资源较高的大模型/知识服务；边缘节点根据设备传感器、CPU/GPU、内存、显存、存储和网络条件预加载或按需拉取可执行模型。模型推理优先在数据产生或任务执行节点完成，降低原始图像、视频和高维数据跨网络传输造成的时延与带宽压力。</w:t>
      </w:r>
    </w:p>
    <w:tbl>
      <w:tblPr>
        <w:tblW w:type="dxa" w:w="9026"/>
        <w:tblBorders>
          <w:top w:val="single" w:color="A6A6A6" w:sz="4"/>
          <w:left w:val="single" w:color="A6A6A6" w:sz="4"/>
          <w:bottom w:val="single" w:color="A6A6A6" w:sz="4"/>
          <w:right w:val="single" w:color="A6A6A6" w:sz="4"/>
          <w:insideH w:val="single" w:color="A6A6A6" w:sz="4"/>
          <w:insideV w:val="single" w:color="A6A6A6" w:sz="4"/>
        </w:tblBorders>
      </w:tblPr>
      <w:tblGrid>
        <w:gridCol w:w="2400"/>
        <w:gridCol w:w="6626"/>
      </w:tblGrid>
      <w:tr>
        <w:tc>
          <w:tcPr>
            <w:tcW w:type="dxa" w:w="2400"/>
            <w:tcBorders>
              <w:top w:val="single" w:color="A6A6A6" w:sz="4"/>
              <w:left w:val="single" w:color="A6A6A6" w:sz="4"/>
              <w:bottom w:val="single" w:color="A6A6A6" w:sz="4"/>
              <w:right w:val="single" w:color="A6A6A6" w:sz="4"/>
            </w:tcBorders>
            <w:shd w:fill="D9EAF7" w:val="clear"/>
            <w:tcMar>
              <w:top w:type="dxa" w:w="90"/>
              <w:left w:type="dxa" w:w="120"/>
              <w:bottom w:type="dxa" w:w="90"/>
              <w:right w:type="dxa" w:w="120"/>
            </w:tcMar>
            <w:vAlign w:val="center"/>
          </w:tcPr>
          <w:p>
            <w:pPr>
              <w:jc w:val="center"/>
              <w:spacing w:after="0" w:line="280"/>
            </w:pPr>
            <w:r>
              <w:rPr>
                <w:rFonts w:ascii="宋体" w:cs="宋体" w:eastAsia="宋体" w:hAnsi="宋体"/>
                <w:b/>
                <w:bCs/>
                <w:sz w:val="18"/>
                <w:szCs w:val="18"/>
              </w:rPr>
              <w:t xml:space="preserve">部署或协同对象</w:t>
            </w:r>
          </w:p>
        </w:tc>
        <w:tc>
          <w:tcPr>
            <w:tcW w:type="dxa" w:w="6626"/>
            <w:tcBorders>
              <w:top w:val="single" w:color="A6A6A6" w:sz="4"/>
              <w:left w:val="single" w:color="A6A6A6" w:sz="4"/>
              <w:bottom w:val="single" w:color="A6A6A6" w:sz="4"/>
              <w:right w:val="single" w:color="A6A6A6" w:sz="4"/>
            </w:tcBorders>
            <w:shd w:fill="D9EAF7" w:val="clear"/>
            <w:tcMar>
              <w:top w:type="dxa" w:w="90"/>
              <w:left w:type="dxa" w:w="120"/>
              <w:bottom w:type="dxa" w:w="90"/>
              <w:right w:type="dxa" w:w="120"/>
            </w:tcMar>
            <w:vAlign w:val="center"/>
          </w:tcPr>
          <w:p>
            <w:pPr>
              <w:jc w:val="center"/>
              <w:spacing w:after="0" w:line="280"/>
            </w:pPr>
            <w:r>
              <w:rPr>
                <w:rFonts w:ascii="宋体" w:cs="宋体" w:eastAsia="宋体" w:hAnsi="宋体"/>
                <w:b/>
                <w:bCs/>
                <w:sz w:val="18"/>
                <w:szCs w:val="18"/>
              </w:rPr>
              <w:t xml:space="preserve">主要职责</w:t>
            </w:r>
          </w:p>
        </w:tc>
      </w:tr>
      <w:tr>
        <w:tc>
          <w:tcPr>
            <w:tcW w:type="dxa" w:w="24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中心管理节点</w:t>
            </w:r>
          </w:p>
        </w:tc>
        <w:tc>
          <w:tcPr>
            <w:tcW w:type="dxa" w:w="6626"/>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算法注册与查询、算法包存储与分发、审计、版本管理、复杂模型服务和受控知识服务。</w:t>
            </w:r>
          </w:p>
        </w:tc>
      </w:tr>
      <w:tr>
        <w:tc>
          <w:tcPr>
            <w:tcW w:type="dxa" w:w="24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标准算力节点</w:t>
            </w:r>
          </w:p>
        </w:tc>
        <w:tc>
          <w:tcPr>
            <w:tcW w:type="dxa" w:w="6626"/>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检测、跟踪、融合、图推理、强化学习等需要 GPU 或较高内存的模型服务。</w:t>
            </w:r>
          </w:p>
        </w:tc>
      </w:tr>
      <w:tr>
        <w:tc>
          <w:tcPr>
            <w:tcW w:type="dxa" w:w="24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边缘受限节点</w:t>
            </w:r>
          </w:p>
        </w:tc>
        <w:tc>
          <w:tcPr>
            <w:tcW w:type="dxa" w:w="6626"/>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ONNX 轻量模型、规则、回归、朴素贝叶斯、随机森林和结构化结果处理。</w:t>
            </w:r>
          </w:p>
        </w:tc>
      </w:tr>
      <w:tr>
        <w:tc>
          <w:tcPr>
            <w:tcW w:type="dxa" w:w="24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外部 Agent/工作流</w:t>
            </w:r>
          </w:p>
        </w:tc>
        <w:tc>
          <w:tcPr>
            <w:tcW w:type="dxa" w:w="6626"/>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通过能力查询和统一运行接口调用算法库；将算法结果编排为任务上下文或结果引用。</w:t>
            </w:r>
          </w:p>
        </w:tc>
      </w:tr>
      <w:tr>
        <w:tc>
          <w:tcPr>
            <w:tcW w:type="dxa" w:w="24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外部受控系统</w:t>
            </w:r>
          </w:p>
        </w:tc>
        <w:tc>
          <w:tcPr>
            <w:tcW w:type="dxa" w:w="6626"/>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接收经规则校验、人工复核或任务授权后的信息移交，不由算法库直接实施实际装备控制。</w:t>
            </w:r>
          </w:p>
        </w:tc>
      </w:tr>
    </w:tbl>
    <w:p>
      <w:pPr>
        <w:spacing w:after="180" w:before="0" w:line="360"/>
        <w:ind w:firstLine="480"/>
        <w:jc w:val="both"/>
      </w:pPr>
      <w:r>
        <w:rPr>
          <w:rFonts w:ascii="宋体" w:cs="宋体" w:eastAsia="宋体" w:hAnsi="宋体"/>
          <w:sz w:val="22"/>
          <w:szCs w:val="22"/>
        </w:rPr>
        <w:t xml:space="preserve">算法库与上层 Commander、通用 Agent、仿真工具之间保持明确边界：算法库负责提供可查询、可加载、可调用、可验证的算法能力；Agent 负责结合设备配置形成技能并组织本地执行；Commander 负责跨 Agent 的工作流解析、任务分配和状态推进；仿真工具负责场景输入、运行展示和验证记录。本期已实现算法库与单体战术情报 Agent 的基础衔接，后续可在统一能力查询和运行接口之上完善分布式协同闭环。</w:t>
      </w:r>
    </w:p>
    <w:p>
      <w:pPr>
        <w:spacing w:after="0" w:before="400"/>
        <w:jc w:val="center"/>
      </w:pPr>
      <w:r>
        <w:rPr>
          <w:rFonts w:ascii="宋体" w:cs="宋体" w:eastAsia="宋体" w:hAnsi="宋体"/>
          <w:color w:val="666666"/>
          <w:sz w:val="18"/>
          <w:szCs w:val="18"/>
        </w:rPr>
        <w:t xml:space="preserve">—— 第二章结束 ——</w:t>
      </w:r>
    </w:p>
    <w:p>
      <w:pPr>
        <w:pStyle w:val="Heading1"/>
        <w:pageBreakBefore/>
        <w:spacing w:after="160" w:before="280" w:line="360"/>
        <w:outlineLvl w:val="0"/>
      </w:pPr>
      <w:r>
        <w:rPr>
          <w:rFonts w:ascii="黑体" w:cs="黑体" w:eastAsia="黑体" w:hAnsi="黑体"/>
          <w:b/>
          <w:bCs/>
          <w:color w:val="1F4E79"/>
          <w:sz w:val="32"/>
          <w:szCs w:val="32"/>
        </w:rPr>
        <w:t xml:space="preserve">第3章 模型清单与标准化描述</w:t>
      </w:r>
    </w:p>
    <w:p>
      <w:pPr>
        <w:spacing w:after="180" w:before="0" w:line="360"/>
        <w:ind w:firstLine="480"/>
        <w:jc w:val="both"/>
      </w:pPr>
      <w:r>
        <w:rPr>
          <w:rFonts w:ascii="宋体" w:cs="宋体" w:eastAsia="宋体" w:hAnsi="宋体"/>
          <w:sz w:val="22"/>
          <w:szCs w:val="22"/>
        </w:rPr>
        <w:t xml:space="preserve">本章对本期纳入算法库的二十类算法模型进行统一梳理，明确每类算法的主要实现、算法范式、运行后端、输入输出形态、模型资产和工程化状态。算法库以“算法类别—算法实现—版本—后端”建立模型资产索引，其中同一能力可保留 Python HTTP 服务版和 ONNX 本地推理版，以适应复杂服务环境与边缘轻量部署等不同场景。</w:t>
      </w:r>
    </w:p>
    <w:p>
      <w:pPr>
        <w:spacing w:after="180" w:before="0" w:line="360"/>
        <w:ind w:firstLine="480"/>
        <w:jc w:val="both"/>
      </w:pPr>
      <w:r>
        <w:rPr>
          <w:rFonts w:ascii="宋体" w:cs="宋体" w:eastAsia="宋体" w:hAnsi="宋体"/>
          <w:sz w:val="22"/>
          <w:szCs w:val="22"/>
        </w:rPr>
        <w:t xml:space="preserve">模型清单不将算法名称简单等同于单一模型文件：聚类、关联规则、线性回归和联邦聚合等算法以确定性逻辑、规则资产或客户端模型参数为主要计算对象；RAG、智能体和大语言模型等算法通常由检索器、知识库、生成模型或规则组件构成；检测、跟踪、融合、时序预测和图推理等算法则具有可量化的训练模型参数和推理计算量。后续章节将据此分别说明模型资源画像和选择策略。</w:t>
      </w:r>
    </w:p>
    <w:p>
      <w:pPr>
        <w:pStyle w:val="Heading2"/>
        <w:spacing w:after="160" w:before="200" w:line="360"/>
        <w:outlineLvl w:val="1"/>
      </w:pPr>
      <w:r>
        <w:rPr>
          <w:rFonts w:ascii="黑体" w:cs="黑体" w:eastAsia="黑体" w:hAnsi="黑体"/>
          <w:b/>
          <w:bCs/>
          <w:sz w:val="28"/>
          <w:szCs w:val="28"/>
        </w:rPr>
        <w:t xml:space="preserve">3.1 模型体系总览</w:t>
      </w:r>
    </w:p>
    <w:p>
      <w:pPr>
        <w:spacing w:after="180" w:before="0" w:line="360"/>
        <w:ind w:firstLine="480"/>
        <w:jc w:val="both"/>
      </w:pPr>
      <w:r>
        <w:rPr>
          <w:rFonts w:ascii="宋体" w:cs="宋体" w:eastAsia="宋体" w:hAnsi="宋体"/>
          <w:sz w:val="22"/>
          <w:szCs w:val="22"/>
        </w:rPr>
        <w:t xml:space="preserve">本期模型体系由二十类算法构成，共对应 20 个算法类别、多个 Python 服务实现和多个 ONNX 变体。总体上，传统机器学习、规则和轻量 ONNX 模型承担低时延、低资源的结构化推理任务；深度学习模型承担视觉感知、跟踪、多模态融合和关系推理任务；大语言模型、RAG、智能体、联邦学习和强化学习承担知识增强、计划生成、协同调度或模型更新任务。</w:t>
      </w:r>
    </w:p>
    <w:p>
      <w:pPr>
        <w:spacing w:after="100" w:before="120"/>
        <w:jc w:val="center"/>
      </w:pPr>
      <w:r>
        <w:rPr>
          <w:rFonts w:ascii="宋体" w:cs="宋体" w:eastAsia="宋体" w:hAnsi="宋体"/>
          <w:b/>
          <w:bCs/>
          <w:sz w:val="20"/>
          <w:szCs w:val="20"/>
        </w:rPr>
        <w:t xml:space="preserve">表3-1  二十类算法模型总清单</w:t>
      </w:r>
    </w:p>
    <w:tbl>
      <w:tblPr>
        <w:tblW w:type="dxa" w:w="9026"/>
        <w:tblBorders>
          <w:top w:val="single" w:color="A6A6A6" w:sz="4"/>
          <w:left w:val="single" w:color="A6A6A6" w:sz="4"/>
          <w:bottom w:val="single" w:color="A6A6A6" w:sz="4"/>
          <w:right w:val="single" w:color="A6A6A6" w:sz="4"/>
          <w:insideH w:val="single" w:color="A6A6A6" w:sz="4"/>
          <w:insideV w:val="single" w:color="A6A6A6" w:sz="4"/>
        </w:tblBorders>
      </w:tblPr>
      <w:tblGrid>
        <w:gridCol w:w="650"/>
        <w:gridCol w:w="1200"/>
        <w:gridCol w:w="3100"/>
        <w:gridCol w:w="1300"/>
        <w:gridCol w:w="1000"/>
        <w:gridCol w:w="1776"/>
      </w:tblGrid>
      <w:tr>
        <w:tc>
          <w:tcPr>
            <w:tcW w:type="dxa" w:w="650"/>
            <w:tcBorders>
              <w:top w:val="single" w:color="A6A6A6" w:sz="4"/>
              <w:left w:val="single" w:color="A6A6A6" w:sz="4"/>
              <w:bottom w:val="single" w:color="A6A6A6" w:sz="4"/>
              <w:right w:val="single" w:color="A6A6A6" w:sz="4"/>
            </w:tcBorders>
            <w:shd w:fill="D9EAF7" w:val="clear"/>
            <w:tcMar>
              <w:top w:type="dxa" w:w="75"/>
              <w:left w:type="dxa" w:w="90"/>
              <w:bottom w:type="dxa" w:w="75"/>
              <w:right w:type="dxa" w:w="90"/>
            </w:tcMar>
            <w:vAlign w:val="center"/>
          </w:tcPr>
          <w:p>
            <w:pPr>
              <w:jc w:val="center"/>
              <w:spacing w:after="0" w:line="250"/>
            </w:pPr>
            <w:r>
              <w:rPr>
                <w:rFonts w:ascii="宋体" w:cs="宋体" w:eastAsia="宋体" w:hAnsi="宋体"/>
                <w:b/>
                <w:bCs/>
                <w:sz w:val="16"/>
                <w:szCs w:val="16"/>
              </w:rPr>
              <w:t xml:space="preserve">编号</w:t>
            </w:r>
          </w:p>
        </w:tc>
        <w:tc>
          <w:tcPr>
            <w:tcW w:type="dxa" w:w="1200"/>
            <w:tcBorders>
              <w:top w:val="single" w:color="A6A6A6" w:sz="4"/>
              <w:left w:val="single" w:color="A6A6A6" w:sz="4"/>
              <w:bottom w:val="single" w:color="A6A6A6" w:sz="4"/>
              <w:right w:val="single" w:color="A6A6A6" w:sz="4"/>
            </w:tcBorders>
            <w:shd w:fill="D9EAF7" w:val="clear"/>
            <w:tcMar>
              <w:top w:type="dxa" w:w="75"/>
              <w:left w:type="dxa" w:w="90"/>
              <w:bottom w:type="dxa" w:w="75"/>
              <w:right w:type="dxa" w:w="90"/>
            </w:tcMar>
            <w:vAlign w:val="center"/>
          </w:tcPr>
          <w:p>
            <w:pPr>
              <w:jc w:val="center"/>
              <w:spacing w:after="0" w:line="250"/>
            </w:pPr>
            <w:r>
              <w:rPr>
                <w:rFonts w:ascii="宋体" w:cs="宋体" w:eastAsia="宋体" w:hAnsi="宋体"/>
                <w:b/>
                <w:bCs/>
                <w:sz w:val="16"/>
                <w:szCs w:val="16"/>
              </w:rPr>
              <w:t xml:space="preserve">算法类别</w:t>
            </w:r>
          </w:p>
        </w:tc>
        <w:tc>
          <w:tcPr>
            <w:tcW w:type="dxa" w:w="3100"/>
            <w:tcBorders>
              <w:top w:val="single" w:color="A6A6A6" w:sz="4"/>
              <w:left w:val="single" w:color="A6A6A6" w:sz="4"/>
              <w:bottom w:val="single" w:color="A6A6A6" w:sz="4"/>
              <w:right w:val="single" w:color="A6A6A6" w:sz="4"/>
            </w:tcBorders>
            <w:shd w:fill="D9EAF7" w:val="clear"/>
            <w:tcMar>
              <w:top w:type="dxa" w:w="75"/>
              <w:left w:type="dxa" w:w="90"/>
              <w:bottom w:type="dxa" w:w="75"/>
              <w:right w:type="dxa" w:w="90"/>
            </w:tcMar>
            <w:vAlign w:val="center"/>
          </w:tcPr>
          <w:p>
            <w:pPr>
              <w:jc w:val="center"/>
              <w:spacing w:after="0" w:line="250"/>
            </w:pPr>
            <w:r>
              <w:rPr>
                <w:rFonts w:ascii="宋体" w:cs="宋体" w:eastAsia="宋体" w:hAnsi="宋体"/>
                <w:b/>
                <w:bCs/>
                <w:sz w:val="16"/>
                <w:szCs w:val="16"/>
              </w:rPr>
              <w:t xml:space="preserve">主要实现</w:t>
            </w:r>
          </w:p>
        </w:tc>
        <w:tc>
          <w:tcPr>
            <w:tcW w:type="dxa" w:w="1300"/>
            <w:tcBorders>
              <w:top w:val="single" w:color="A6A6A6" w:sz="4"/>
              <w:left w:val="single" w:color="A6A6A6" w:sz="4"/>
              <w:bottom w:val="single" w:color="A6A6A6" w:sz="4"/>
              <w:right w:val="single" w:color="A6A6A6" w:sz="4"/>
            </w:tcBorders>
            <w:shd w:fill="D9EAF7" w:val="clear"/>
            <w:tcMar>
              <w:top w:type="dxa" w:w="75"/>
              <w:left w:type="dxa" w:w="90"/>
              <w:bottom w:type="dxa" w:w="75"/>
              <w:right w:type="dxa" w:w="90"/>
            </w:tcMar>
            <w:vAlign w:val="center"/>
          </w:tcPr>
          <w:p>
            <w:pPr>
              <w:jc w:val="center"/>
              <w:spacing w:after="0" w:line="250"/>
            </w:pPr>
            <w:r>
              <w:rPr>
                <w:rFonts w:ascii="宋体" w:cs="宋体" w:eastAsia="宋体" w:hAnsi="宋体"/>
                <w:b/>
                <w:bCs/>
                <w:sz w:val="16"/>
                <w:szCs w:val="16"/>
              </w:rPr>
              <w:t xml:space="preserve">后端</w:t>
            </w:r>
          </w:p>
        </w:tc>
        <w:tc>
          <w:tcPr>
            <w:tcW w:type="dxa" w:w="1000"/>
            <w:tcBorders>
              <w:top w:val="single" w:color="A6A6A6" w:sz="4"/>
              <w:left w:val="single" w:color="A6A6A6" w:sz="4"/>
              <w:bottom w:val="single" w:color="A6A6A6" w:sz="4"/>
              <w:right w:val="single" w:color="A6A6A6" w:sz="4"/>
            </w:tcBorders>
            <w:shd w:fill="D9EAF7" w:val="clear"/>
            <w:tcMar>
              <w:top w:type="dxa" w:w="75"/>
              <w:left w:type="dxa" w:w="90"/>
              <w:bottom w:type="dxa" w:w="75"/>
              <w:right w:type="dxa" w:w="90"/>
            </w:tcMar>
            <w:vAlign w:val="center"/>
          </w:tcPr>
          <w:p>
            <w:pPr>
              <w:jc w:val="center"/>
              <w:spacing w:after="0" w:line="250"/>
            </w:pPr>
            <w:r>
              <w:rPr>
                <w:rFonts w:ascii="宋体" w:cs="宋体" w:eastAsia="宋体" w:hAnsi="宋体"/>
                <w:b/>
                <w:bCs/>
                <w:sz w:val="16"/>
                <w:szCs w:val="16"/>
              </w:rPr>
              <w:t xml:space="preserve">状态</w:t>
            </w:r>
          </w:p>
        </w:tc>
        <w:tc>
          <w:tcPr>
            <w:tcW w:type="dxa" w:w="1776"/>
            <w:tcBorders>
              <w:top w:val="single" w:color="A6A6A6" w:sz="4"/>
              <w:left w:val="single" w:color="A6A6A6" w:sz="4"/>
              <w:bottom w:val="single" w:color="A6A6A6" w:sz="4"/>
              <w:right w:val="single" w:color="A6A6A6" w:sz="4"/>
            </w:tcBorders>
            <w:shd w:fill="D9EAF7" w:val="clear"/>
            <w:tcMar>
              <w:top w:type="dxa" w:w="75"/>
              <w:left w:type="dxa" w:w="90"/>
              <w:bottom w:type="dxa" w:w="75"/>
              <w:right w:type="dxa" w:w="90"/>
            </w:tcMar>
            <w:vAlign w:val="center"/>
          </w:tcPr>
          <w:p>
            <w:pPr>
              <w:jc w:val="center"/>
              <w:spacing w:after="0" w:line="250"/>
            </w:pPr>
            <w:r>
              <w:rPr>
                <w:rFonts w:ascii="宋体" w:cs="宋体" w:eastAsia="宋体" w:hAnsi="宋体"/>
                <w:b/>
                <w:bCs/>
                <w:sz w:val="16"/>
                <w:szCs w:val="16"/>
              </w:rPr>
              <w:t xml:space="preserve">主要能力</w:t>
            </w:r>
          </w:p>
        </w:tc>
      </w:tr>
      <w:tr>
        <w:tc>
          <w:tcPr>
            <w:tcW w:type="dxa" w:w="65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M01</w:t>
            </w:r>
          </w:p>
        </w:tc>
        <w:tc>
          <w:tcPr>
            <w:tcW w:type="dxa" w:w="12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聚类算法</w:t>
            </w:r>
          </w:p>
        </w:tc>
        <w:tc>
          <w:tcPr>
            <w:tcW w:type="dxa" w:w="31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clustering_engine</w:t>
            </w:r>
          </w:p>
        </w:tc>
        <w:tc>
          <w:tcPr>
            <w:tcW w:type="dxa" w:w="13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Python HTTP</w:t>
            </w:r>
          </w:p>
        </w:tc>
        <w:tc>
          <w:tcPr>
            <w:tcW w:type="dxa" w:w="10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validated</w:t>
            </w:r>
          </w:p>
        </w:tc>
        <w:tc>
          <w:tcPr>
            <w:tcW w:type="dxa" w:w="1776"/>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K-Means、DBSCAN 聚类与噪声识别</w:t>
            </w:r>
          </w:p>
        </w:tc>
      </w:tr>
      <w:tr>
        <w:tc>
          <w:tcPr>
            <w:tcW w:type="dxa" w:w="65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M02</w:t>
            </w:r>
          </w:p>
        </w:tc>
        <w:tc>
          <w:tcPr>
            <w:tcW w:type="dxa" w:w="12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关联算法</w:t>
            </w:r>
          </w:p>
        </w:tc>
        <w:tc>
          <w:tcPr>
            <w:tcW w:type="dxa" w:w="31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execution_rule_matcher</w:t>
            </w:r>
          </w:p>
        </w:tc>
        <w:tc>
          <w:tcPr>
            <w:tcW w:type="dxa" w:w="13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Python HTTP</w:t>
            </w:r>
          </w:p>
        </w:tc>
        <w:tc>
          <w:tcPr>
            <w:tcW w:type="dxa" w:w="10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validated</w:t>
            </w:r>
          </w:p>
        </w:tc>
        <w:tc>
          <w:tcPr>
            <w:tcW w:type="dxa" w:w="1776"/>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Apriori 关联规则匹配与动作建议</w:t>
            </w:r>
          </w:p>
        </w:tc>
      </w:tr>
      <w:tr>
        <w:tc>
          <w:tcPr>
            <w:tcW w:type="dxa" w:w="65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M03</w:t>
            </w:r>
          </w:p>
        </w:tc>
        <w:tc>
          <w:tcPr>
            <w:tcW w:type="dxa" w:w="12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线性回归</w:t>
            </w:r>
          </w:p>
        </w:tc>
        <w:tc>
          <w:tcPr>
            <w:tcW w:type="dxa" w:w="31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trajectory_linear_predictor</w:t>
            </w:r>
          </w:p>
        </w:tc>
        <w:tc>
          <w:tcPr>
            <w:tcW w:type="dxa" w:w="13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Python HTTP</w:t>
            </w:r>
          </w:p>
        </w:tc>
        <w:tc>
          <w:tcPr>
            <w:tcW w:type="dxa" w:w="10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validated</w:t>
            </w:r>
          </w:p>
        </w:tc>
        <w:tc>
          <w:tcPr>
            <w:tcW w:type="dxa" w:w="1776"/>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二维速度估计与航迹外推</w:t>
            </w:r>
          </w:p>
        </w:tc>
      </w:tr>
      <w:tr>
        <w:tc>
          <w:tcPr>
            <w:tcW w:type="dxa" w:w="65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M04</w:t>
            </w:r>
          </w:p>
        </w:tc>
        <w:tc>
          <w:tcPr>
            <w:tcW w:type="dxa" w:w="12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逻辑回归</w:t>
            </w:r>
          </w:p>
        </w:tc>
        <w:tc>
          <w:tcPr>
            <w:tcW w:type="dxa" w:w="31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decision_plan_recommender_onnx；compliance_risk_scorer_onnx</w:t>
            </w:r>
          </w:p>
        </w:tc>
        <w:tc>
          <w:tcPr>
            <w:tcW w:type="dxa" w:w="13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ONNX</w:t>
            </w:r>
          </w:p>
        </w:tc>
        <w:tc>
          <w:tcPr>
            <w:tcW w:type="dxa" w:w="10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validated</w:t>
            </w:r>
          </w:p>
        </w:tc>
        <w:tc>
          <w:tcPr>
            <w:tcW w:type="dxa" w:w="1776"/>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方案推荐概率与合规风险评分</w:t>
            </w:r>
          </w:p>
        </w:tc>
      </w:tr>
      <w:tr>
        <w:tc>
          <w:tcPr>
            <w:tcW w:type="dxa" w:w="65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M05</w:t>
            </w:r>
          </w:p>
        </w:tc>
        <w:tc>
          <w:tcPr>
            <w:tcW w:type="dxa" w:w="12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随机森林</w:t>
            </w:r>
          </w:p>
        </w:tc>
        <w:tc>
          <w:tcPr>
            <w:tcW w:type="dxa" w:w="31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threat_priority_random_forest；ONNX 版</w:t>
            </w:r>
          </w:p>
        </w:tc>
        <w:tc>
          <w:tcPr>
            <w:tcW w:type="dxa" w:w="13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Python HTTP / ONNX</w:t>
            </w:r>
          </w:p>
        </w:tc>
        <w:tc>
          <w:tcPr>
            <w:tcW w:type="dxa" w:w="10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validated</w:t>
            </w:r>
          </w:p>
        </w:tc>
        <w:tc>
          <w:tcPr>
            <w:tcW w:type="dxa" w:w="1776"/>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目标/威胁优先级分类</w:t>
            </w:r>
          </w:p>
        </w:tc>
      </w:tr>
      <w:tr>
        <w:tc>
          <w:tcPr>
            <w:tcW w:type="dxa" w:w="65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M06</w:t>
            </w:r>
          </w:p>
        </w:tc>
        <w:tc>
          <w:tcPr>
            <w:tcW w:type="dxa" w:w="12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传统神经网络</w:t>
            </w:r>
          </w:p>
        </w:tc>
        <w:tc>
          <w:tcPr>
            <w:tcW w:type="dxa" w:w="31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supcon_meta_classifier；ONNX 版</w:t>
            </w:r>
          </w:p>
        </w:tc>
        <w:tc>
          <w:tcPr>
            <w:tcW w:type="dxa" w:w="13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Python HTTP / ONNX</w:t>
            </w:r>
          </w:p>
        </w:tc>
        <w:tc>
          <w:tcPr>
            <w:tcW w:type="dxa" w:w="10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validated</w:t>
            </w:r>
          </w:p>
        </w:tc>
        <w:tc>
          <w:tcPr>
            <w:tcW w:type="dxa" w:w="1776"/>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少样本嵌入分类与身份识别</w:t>
            </w:r>
          </w:p>
        </w:tc>
      </w:tr>
      <w:tr>
        <w:tc>
          <w:tcPr>
            <w:tcW w:type="dxa" w:w="65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M07</w:t>
            </w:r>
          </w:p>
        </w:tc>
        <w:tc>
          <w:tcPr>
            <w:tcW w:type="dxa" w:w="12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朴素贝叶斯</w:t>
            </w:r>
          </w:p>
        </w:tc>
        <w:tc>
          <w:tcPr>
            <w:tcW w:type="dxa" w:w="31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intent_gaussian_naive_bayes；ONNX 版</w:t>
            </w:r>
          </w:p>
        </w:tc>
        <w:tc>
          <w:tcPr>
            <w:tcW w:type="dxa" w:w="13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Python HTTP / ONNX</w:t>
            </w:r>
          </w:p>
        </w:tc>
        <w:tc>
          <w:tcPr>
            <w:tcW w:type="dxa" w:w="10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validated</w:t>
            </w:r>
          </w:p>
        </w:tc>
        <w:tc>
          <w:tcPr>
            <w:tcW w:type="dxa" w:w="1776"/>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意图后验概率分类</w:t>
            </w:r>
          </w:p>
        </w:tc>
      </w:tr>
      <w:tr>
        <w:tc>
          <w:tcPr>
            <w:tcW w:type="dxa" w:w="65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M08</w:t>
            </w:r>
          </w:p>
        </w:tc>
        <w:tc>
          <w:tcPr>
            <w:tcW w:type="dxa" w:w="12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生成对抗网络</w:t>
            </w:r>
          </w:p>
        </w:tc>
        <w:tc>
          <w:tcPr>
            <w:tcW w:type="dxa" w:w="31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conditional_tabular_gan；ONNX 版</w:t>
            </w:r>
          </w:p>
        </w:tc>
        <w:tc>
          <w:tcPr>
            <w:tcW w:type="dxa" w:w="13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Python HTTP / ONNX</w:t>
            </w:r>
          </w:p>
        </w:tc>
        <w:tc>
          <w:tcPr>
            <w:tcW w:type="dxa" w:w="10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validated</w:t>
            </w:r>
          </w:p>
        </w:tc>
        <w:tc>
          <w:tcPr>
            <w:tcW w:type="dxa" w:w="1776"/>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条件化表格特征生成</w:t>
            </w:r>
          </w:p>
        </w:tc>
      </w:tr>
      <w:tr>
        <w:tc>
          <w:tcPr>
            <w:tcW w:type="dxa" w:w="65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M09</w:t>
            </w:r>
          </w:p>
        </w:tc>
        <w:tc>
          <w:tcPr>
            <w:tcW w:type="dxa" w:w="12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大语言模型</w:t>
            </w:r>
          </w:p>
        </w:tc>
        <w:tc>
          <w:tcPr>
            <w:tcW w:type="dxa" w:w="31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llm_rule_explainer</w:t>
            </w:r>
          </w:p>
        </w:tc>
        <w:tc>
          <w:tcPr>
            <w:tcW w:type="dxa" w:w="13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Python HTTP</w:t>
            </w:r>
          </w:p>
        </w:tc>
        <w:tc>
          <w:tcPr>
            <w:tcW w:type="dxa" w:w="10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draft</w:t>
            </w:r>
          </w:p>
        </w:tc>
        <w:tc>
          <w:tcPr>
            <w:tcW w:type="dxa" w:w="1776"/>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规则解释与结构化结论生成</w:t>
            </w:r>
          </w:p>
        </w:tc>
      </w:tr>
      <w:tr>
        <w:tc>
          <w:tcPr>
            <w:tcW w:type="dxa" w:w="65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M10</w:t>
            </w:r>
          </w:p>
        </w:tc>
        <w:tc>
          <w:tcPr>
            <w:tcW w:type="dxa" w:w="12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RAG 模型</w:t>
            </w:r>
          </w:p>
        </w:tc>
        <w:tc>
          <w:tcPr>
            <w:tcW w:type="dxa" w:w="31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synapse_rag_retriever</w:t>
            </w:r>
          </w:p>
        </w:tc>
        <w:tc>
          <w:tcPr>
            <w:tcW w:type="dxa" w:w="13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Python HTTP</w:t>
            </w:r>
          </w:p>
        </w:tc>
        <w:tc>
          <w:tcPr>
            <w:tcW w:type="dxa" w:w="10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draft</w:t>
            </w:r>
          </w:p>
        </w:tc>
        <w:tc>
          <w:tcPr>
            <w:tcW w:type="dxa" w:w="1776"/>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知识检索、实体关联与证据增强</w:t>
            </w:r>
          </w:p>
        </w:tc>
      </w:tr>
      <w:tr>
        <w:tc>
          <w:tcPr>
            <w:tcW w:type="dxa" w:w="65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M11</w:t>
            </w:r>
          </w:p>
        </w:tc>
        <w:tc>
          <w:tcPr>
            <w:tcW w:type="dxa" w:w="12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智能体模型</w:t>
            </w:r>
          </w:p>
        </w:tc>
        <w:tc>
          <w:tcPr>
            <w:tcW w:type="dxa" w:w="31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decision_planning_core</w:t>
            </w:r>
          </w:p>
        </w:tc>
        <w:tc>
          <w:tcPr>
            <w:tcW w:type="dxa" w:w="13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Python HTTP</w:t>
            </w:r>
          </w:p>
        </w:tc>
        <w:tc>
          <w:tcPr>
            <w:tcW w:type="dxa" w:w="10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draft</w:t>
            </w:r>
          </w:p>
        </w:tc>
        <w:tc>
          <w:tcPr>
            <w:tcW w:type="dxa" w:w="1776"/>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候选方案生成、评分与规则编排</w:t>
            </w:r>
          </w:p>
        </w:tc>
      </w:tr>
      <w:tr>
        <w:tc>
          <w:tcPr>
            <w:tcW w:type="dxa" w:w="65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M12</w:t>
            </w:r>
          </w:p>
        </w:tc>
        <w:tc>
          <w:tcPr>
            <w:tcW w:type="dxa" w:w="12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联邦学习</w:t>
            </w:r>
          </w:p>
        </w:tc>
        <w:tc>
          <w:tcPr>
            <w:tcW w:type="dxa" w:w="31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federated_fedavg_aggregator</w:t>
            </w:r>
          </w:p>
        </w:tc>
        <w:tc>
          <w:tcPr>
            <w:tcW w:type="dxa" w:w="13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Python HTTP</w:t>
            </w:r>
          </w:p>
        </w:tc>
        <w:tc>
          <w:tcPr>
            <w:tcW w:type="dxa" w:w="10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validated</w:t>
            </w:r>
          </w:p>
        </w:tc>
        <w:tc>
          <w:tcPr>
            <w:tcW w:type="dxa" w:w="1776"/>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多客户端模型参数加权聚合</w:t>
            </w:r>
          </w:p>
        </w:tc>
      </w:tr>
      <w:tr>
        <w:tc>
          <w:tcPr>
            <w:tcW w:type="dxa" w:w="65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M13</w:t>
            </w:r>
          </w:p>
        </w:tc>
        <w:tc>
          <w:tcPr>
            <w:tcW w:type="dxa" w:w="12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强化学习</w:t>
            </w:r>
          </w:p>
        </w:tc>
        <w:tc>
          <w:tcPr>
            <w:tcW w:type="dxa" w:w="31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marl_ppo_task_scheduler；ONNX 版</w:t>
            </w:r>
          </w:p>
        </w:tc>
        <w:tc>
          <w:tcPr>
            <w:tcW w:type="dxa" w:w="13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Python HTTP / ONNX</w:t>
            </w:r>
          </w:p>
        </w:tc>
        <w:tc>
          <w:tcPr>
            <w:tcW w:type="dxa" w:w="10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validated</w:t>
            </w:r>
          </w:p>
        </w:tc>
        <w:tc>
          <w:tcPr>
            <w:tcW w:type="dxa" w:w="1776"/>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传感器任务分配与再攻击规划</w:t>
            </w:r>
          </w:p>
        </w:tc>
      </w:tr>
      <w:tr>
        <w:tc>
          <w:tcPr>
            <w:tcW w:type="dxa" w:w="65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M14</w:t>
            </w:r>
          </w:p>
        </w:tc>
        <w:tc>
          <w:tcPr>
            <w:tcW w:type="dxa" w:w="12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可解释 AI</w:t>
            </w:r>
          </w:p>
        </w:tc>
        <w:tc>
          <w:tcPr>
            <w:tcW w:type="dxa" w:w="31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edl_evidential_verifier；ONNX 版</w:t>
            </w:r>
          </w:p>
        </w:tc>
        <w:tc>
          <w:tcPr>
            <w:tcW w:type="dxa" w:w="13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Python HTTP / ONNX</w:t>
            </w:r>
          </w:p>
        </w:tc>
        <w:tc>
          <w:tcPr>
            <w:tcW w:type="dxa" w:w="10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validated</w:t>
            </w:r>
          </w:p>
        </w:tc>
        <w:tc>
          <w:tcPr>
            <w:tcW w:type="dxa" w:w="1776"/>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证据推理、不确定性估计与人工复核分流</w:t>
            </w:r>
          </w:p>
        </w:tc>
      </w:tr>
      <w:tr>
        <w:tc>
          <w:tcPr>
            <w:tcW w:type="dxa" w:w="65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M15</w:t>
            </w:r>
          </w:p>
        </w:tc>
        <w:tc>
          <w:tcPr>
            <w:tcW w:type="dxa" w:w="12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多模态融合</w:t>
            </w:r>
          </w:p>
        </w:tc>
        <w:tc>
          <w:tcPr>
            <w:tcW w:type="dxa" w:w="31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multimodal_mamba_fusion；ONNX 版</w:t>
            </w:r>
          </w:p>
        </w:tc>
        <w:tc>
          <w:tcPr>
            <w:tcW w:type="dxa" w:w="13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Python HTTP / ONNX</w:t>
            </w:r>
          </w:p>
        </w:tc>
        <w:tc>
          <w:tcPr>
            <w:tcW w:type="dxa" w:w="10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validated</w:t>
            </w:r>
          </w:p>
        </w:tc>
        <w:tc>
          <w:tcPr>
            <w:tcW w:type="dxa" w:w="1776"/>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时序嵌入去噪和多模态融合</w:t>
            </w:r>
          </w:p>
        </w:tc>
      </w:tr>
      <w:tr>
        <w:tc>
          <w:tcPr>
            <w:tcW w:type="dxa" w:w="65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M16</w:t>
            </w:r>
          </w:p>
        </w:tc>
        <w:tc>
          <w:tcPr>
            <w:tcW w:type="dxa" w:w="12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时序序列预测</w:t>
            </w:r>
          </w:p>
        </w:tc>
        <w:tc>
          <w:tcPr>
            <w:tcW w:type="dxa" w:w="31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target_trend_predictor_onnx</w:t>
            </w:r>
          </w:p>
        </w:tc>
        <w:tc>
          <w:tcPr>
            <w:tcW w:type="dxa" w:w="13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ONNX</w:t>
            </w:r>
          </w:p>
        </w:tc>
        <w:tc>
          <w:tcPr>
            <w:tcW w:type="dxa" w:w="10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validated</w:t>
            </w:r>
          </w:p>
        </w:tc>
        <w:tc>
          <w:tcPr>
            <w:tcW w:type="dxa" w:w="1776"/>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固定窗口目标趋势评分</w:t>
            </w:r>
          </w:p>
        </w:tc>
      </w:tr>
      <w:tr>
        <w:tc>
          <w:tcPr>
            <w:tcW w:type="dxa" w:w="65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M17</w:t>
            </w:r>
          </w:p>
        </w:tc>
        <w:tc>
          <w:tcPr>
            <w:tcW w:type="dxa" w:w="12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实时目标检测</w:t>
            </w:r>
          </w:p>
        </w:tc>
        <w:tc>
          <w:tcPr>
            <w:tcW w:type="dxa" w:w="31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battlefield_rtdetr_detector</w:t>
            </w:r>
          </w:p>
        </w:tc>
        <w:tc>
          <w:tcPr>
            <w:tcW w:type="dxa" w:w="13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Python HTTP</w:t>
            </w:r>
          </w:p>
        </w:tc>
        <w:tc>
          <w:tcPr>
            <w:tcW w:type="dxa" w:w="10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draft</w:t>
            </w:r>
          </w:p>
        </w:tc>
        <w:tc>
          <w:tcPr>
            <w:tcW w:type="dxa" w:w="1776"/>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EO/IR、SAR 图像目标检测</w:t>
            </w:r>
          </w:p>
        </w:tc>
      </w:tr>
      <w:tr>
        <w:tc>
          <w:tcPr>
            <w:tcW w:type="dxa" w:w="65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M18</w:t>
            </w:r>
          </w:p>
        </w:tc>
        <w:tc>
          <w:tcPr>
            <w:tcW w:type="dxa" w:w="12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差分/变化检测</w:t>
            </w:r>
          </w:p>
        </w:tc>
        <w:tc>
          <w:tcPr>
            <w:tcW w:type="dxa" w:w="31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siamese_mask2former_damage；xbd_damage_assessor</w:t>
            </w:r>
          </w:p>
        </w:tc>
        <w:tc>
          <w:tcPr>
            <w:tcW w:type="dxa" w:w="13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Python HTTP</w:t>
            </w:r>
          </w:p>
        </w:tc>
        <w:tc>
          <w:tcPr>
            <w:tcW w:type="dxa" w:w="10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draft</w:t>
            </w:r>
          </w:p>
        </w:tc>
        <w:tc>
          <w:tcPr>
            <w:tcW w:type="dxa" w:w="1776"/>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前后时相毁伤评估与变化检测</w:t>
            </w:r>
          </w:p>
        </w:tc>
      </w:tr>
      <w:tr>
        <w:tc>
          <w:tcPr>
            <w:tcW w:type="dxa" w:w="65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M19</w:t>
            </w:r>
          </w:p>
        </w:tc>
        <w:tc>
          <w:tcPr>
            <w:tcW w:type="dxa" w:w="12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多目标跟踪定位</w:t>
            </w:r>
          </w:p>
        </w:tc>
        <w:tc>
          <w:tcPr>
            <w:tcW w:type="dxa" w:w="31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motr_neural_kalman_tracker</w:t>
            </w:r>
          </w:p>
        </w:tc>
        <w:tc>
          <w:tcPr>
            <w:tcW w:type="dxa" w:w="13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Python HTTP</w:t>
            </w:r>
          </w:p>
        </w:tc>
        <w:tc>
          <w:tcPr>
            <w:tcW w:type="dxa" w:w="10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draft</w:t>
            </w:r>
          </w:p>
        </w:tc>
        <w:tc>
          <w:tcPr>
            <w:tcW w:type="dxa" w:w="1776"/>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持续航迹、地理定位与状态跟踪</w:t>
            </w:r>
          </w:p>
        </w:tc>
      </w:tr>
      <w:tr>
        <w:tc>
          <w:tcPr>
            <w:tcW w:type="dxa" w:w="65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M20</w:t>
            </w:r>
          </w:p>
        </w:tc>
        <w:tc>
          <w:tcPr>
            <w:tcW w:type="dxa" w:w="12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图神经网络</w:t>
            </w:r>
          </w:p>
        </w:tc>
        <w:tc>
          <w:tcPr>
            <w:tcW w:type="dxa" w:w="31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graph_relation_reasoner；ONNX 版</w:t>
            </w:r>
          </w:p>
        </w:tc>
        <w:tc>
          <w:tcPr>
            <w:tcW w:type="dxa" w:w="13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Python HTTP / ONNX</w:t>
            </w:r>
          </w:p>
        </w:tc>
        <w:tc>
          <w:tcPr>
            <w:tcW w:type="dxa" w:w="10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validated</w:t>
            </w:r>
          </w:p>
        </w:tc>
        <w:tc>
          <w:tcPr>
            <w:tcW w:type="dxa" w:w="1776"/>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目标关系、编组关系与群组推理</w:t>
            </w:r>
          </w:p>
        </w:tc>
      </w:tr>
    </w:tbl>
    <w:p>
      <w:pPr>
        <w:spacing w:after="180" w:before="0" w:line="360"/>
        <w:ind w:firstLine="480"/>
        <w:jc w:val="both"/>
      </w:pPr>
      <w:r>
        <w:rPr>
          <w:rFonts w:ascii="宋体" w:cs="宋体" w:eastAsia="宋体" w:hAnsi="宋体"/>
          <w:sz w:val="22"/>
          <w:szCs w:val="22"/>
        </w:rPr>
        <w:t xml:space="preserve">表中状态反映当前算法卡的生命周期登记状态。validated 表示已通过当前算法包校验并可进入激活/部署流程；draft 表示已形成算法卡和服务实现，但仍需结合模型资产、测试样例、运行环境或业务数据完成后续校验。状态不等同于算法理论能力或业务适用性评价。</w:t>
      </w:r>
    </w:p>
    <w:p>
      <w:pPr>
        <w:pStyle w:val="Heading2"/>
        <w:spacing w:after="160" w:before="200" w:line="360"/>
        <w:outlineLvl w:val="1"/>
      </w:pPr>
      <w:r>
        <w:rPr>
          <w:rFonts w:ascii="黑体" w:cs="黑体" w:eastAsia="黑体" w:hAnsi="黑体"/>
          <w:b/>
          <w:bCs/>
          <w:sz w:val="28"/>
          <w:szCs w:val="28"/>
        </w:rPr>
        <w:t xml:space="preserve">3.2 算法卡标准化描述</w:t>
      </w:r>
    </w:p>
    <w:p>
      <w:pPr>
        <w:spacing w:after="180" w:before="0" w:line="360"/>
        <w:ind w:firstLine="480"/>
        <w:jc w:val="both"/>
      </w:pPr>
      <w:r>
        <w:rPr>
          <w:rFonts w:ascii="宋体" w:cs="宋体" w:eastAsia="宋体" w:hAnsi="宋体"/>
          <w:sz w:val="22"/>
          <w:szCs w:val="22"/>
        </w:rPr>
        <w:t xml:space="preserve">算法卡是算法库管理、部署和调用的共同数据契约。每个算法包以 algorithm_card.yaml 描述算法基础信息、能力信息、功能映射、机器运行规格、性能资源画像和安全约束，并通过输入输出 Schema 定义机器可校验的数据边界。算法库解析算法卡后生成完整管理视图和面向 Agent 的精简视图，前者用于注册、校验、部署和审计，后者用于能力发现和运行时选择。</w:t>
      </w:r>
    </w:p>
    <w:p>
      <w:pPr>
        <w:spacing w:after="100" w:before="120"/>
        <w:jc w:val="center"/>
      </w:pPr>
      <w:r>
        <w:rPr>
          <w:rFonts w:ascii="宋体" w:cs="宋体" w:eastAsia="宋体" w:hAnsi="宋体"/>
          <w:b/>
          <w:bCs/>
          <w:sz w:val="20"/>
          <w:szCs w:val="20"/>
        </w:rPr>
        <w:t xml:space="preserve">表3-2  算法卡核心字段体系</w:t>
      </w:r>
    </w:p>
    <w:tbl>
      <w:tblPr>
        <w:tblW w:type="dxa" w:w="9026"/>
        <w:tblBorders>
          <w:top w:val="single" w:color="A6A6A6" w:sz="4"/>
          <w:left w:val="single" w:color="A6A6A6" w:sz="4"/>
          <w:bottom w:val="single" w:color="A6A6A6" w:sz="4"/>
          <w:right w:val="single" w:color="A6A6A6" w:sz="4"/>
          <w:insideH w:val="single" w:color="A6A6A6" w:sz="4"/>
          <w:insideV w:val="single" w:color="A6A6A6" w:sz="4"/>
        </w:tblBorders>
      </w:tblPr>
      <w:tblGrid>
        <w:gridCol w:w="1700"/>
        <w:gridCol w:w="3800"/>
        <w:gridCol w:w="3526"/>
      </w:tblGrid>
      <w:tr>
        <w:tc>
          <w:tcPr>
            <w:tcW w:type="dxa" w:w="1700"/>
            <w:tcBorders>
              <w:top w:val="single" w:color="A6A6A6" w:sz="4"/>
              <w:left w:val="single" w:color="A6A6A6" w:sz="4"/>
              <w:bottom w:val="single" w:color="A6A6A6" w:sz="4"/>
              <w:right w:val="single" w:color="A6A6A6" w:sz="4"/>
            </w:tcBorders>
            <w:shd w:fill="D9EAF7" w:val="clear"/>
            <w:tcMar>
              <w:top w:type="dxa" w:w="75"/>
              <w:left w:type="dxa" w:w="90"/>
              <w:bottom w:type="dxa" w:w="75"/>
              <w:right w:type="dxa" w:w="90"/>
            </w:tcMar>
            <w:vAlign w:val="center"/>
          </w:tcPr>
          <w:p>
            <w:pPr>
              <w:jc w:val="center"/>
              <w:spacing w:after="0" w:line="250"/>
            </w:pPr>
            <w:r>
              <w:rPr>
                <w:rFonts w:ascii="宋体" w:cs="宋体" w:eastAsia="宋体" w:hAnsi="宋体"/>
                <w:b/>
                <w:bCs/>
                <w:sz w:val="16"/>
                <w:szCs w:val="16"/>
              </w:rPr>
              <w:t xml:space="preserve">字段组</w:t>
            </w:r>
          </w:p>
        </w:tc>
        <w:tc>
          <w:tcPr>
            <w:tcW w:type="dxa" w:w="3800"/>
            <w:tcBorders>
              <w:top w:val="single" w:color="A6A6A6" w:sz="4"/>
              <w:left w:val="single" w:color="A6A6A6" w:sz="4"/>
              <w:bottom w:val="single" w:color="A6A6A6" w:sz="4"/>
              <w:right w:val="single" w:color="A6A6A6" w:sz="4"/>
            </w:tcBorders>
            <w:shd w:fill="D9EAF7" w:val="clear"/>
            <w:tcMar>
              <w:top w:type="dxa" w:w="75"/>
              <w:left w:type="dxa" w:w="90"/>
              <w:bottom w:type="dxa" w:w="75"/>
              <w:right w:type="dxa" w:w="90"/>
            </w:tcMar>
            <w:vAlign w:val="center"/>
          </w:tcPr>
          <w:p>
            <w:pPr>
              <w:jc w:val="center"/>
              <w:spacing w:after="0" w:line="250"/>
            </w:pPr>
            <w:r>
              <w:rPr>
                <w:rFonts w:ascii="宋体" w:cs="宋体" w:eastAsia="宋体" w:hAnsi="宋体"/>
                <w:b/>
                <w:bCs/>
                <w:sz w:val="16"/>
                <w:szCs w:val="16"/>
              </w:rPr>
              <w:t xml:space="preserve">代表字段</w:t>
            </w:r>
          </w:p>
        </w:tc>
        <w:tc>
          <w:tcPr>
            <w:tcW w:type="dxa" w:w="3526"/>
            <w:tcBorders>
              <w:top w:val="single" w:color="A6A6A6" w:sz="4"/>
              <w:left w:val="single" w:color="A6A6A6" w:sz="4"/>
              <w:bottom w:val="single" w:color="A6A6A6" w:sz="4"/>
              <w:right w:val="single" w:color="A6A6A6" w:sz="4"/>
            </w:tcBorders>
            <w:shd w:fill="D9EAF7" w:val="clear"/>
            <w:tcMar>
              <w:top w:type="dxa" w:w="75"/>
              <w:left w:type="dxa" w:w="90"/>
              <w:bottom w:type="dxa" w:w="75"/>
              <w:right w:type="dxa" w:w="90"/>
            </w:tcMar>
            <w:vAlign w:val="center"/>
          </w:tcPr>
          <w:p>
            <w:pPr>
              <w:jc w:val="center"/>
              <w:spacing w:after="0" w:line="250"/>
            </w:pPr>
            <w:r>
              <w:rPr>
                <w:rFonts w:ascii="宋体" w:cs="宋体" w:eastAsia="宋体" w:hAnsi="宋体"/>
                <w:b/>
                <w:bCs/>
                <w:sz w:val="16"/>
                <w:szCs w:val="16"/>
              </w:rPr>
              <w:t xml:space="preserve">作用</w:t>
            </w:r>
          </w:p>
        </w:tc>
      </w:tr>
      <w:tr>
        <w:tc>
          <w:tcPr>
            <w:tcW w:type="dxa" w:w="17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基本身份</w:t>
            </w:r>
          </w:p>
        </w:tc>
        <w:tc>
          <w:tcPr>
            <w:tcW w:type="dxa" w:w="38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algorithm_id、version、display_name、backend_type、status</w:t>
            </w:r>
          </w:p>
        </w:tc>
        <w:tc>
          <w:tcPr>
            <w:tcW w:type="dxa" w:w="3526"/>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唯一识别算法版本与运行后端，并参与生命周期控制。</w:t>
            </w:r>
          </w:p>
        </w:tc>
      </w:tr>
      <w:tr>
        <w:tc>
          <w:tcPr>
            <w:tcW w:type="dxa" w:w="17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能力描述</w:t>
            </w:r>
          </w:p>
        </w:tc>
        <w:tc>
          <w:tcPr>
            <w:tcW w:type="dxa" w:w="38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task_family、modalities、capabilities、agent_view</w:t>
            </w:r>
          </w:p>
        </w:tc>
        <w:tc>
          <w:tcPr>
            <w:tcW w:type="dxa" w:w="3526"/>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表达任务族、输入输出模态、能力标签、适用条件与不适用条件。</w:t>
            </w:r>
          </w:p>
        </w:tc>
      </w:tr>
      <w:tr>
        <w:tc>
          <w:tcPr>
            <w:tcW w:type="dxa" w:w="17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功能映射</w:t>
            </w:r>
          </w:p>
        </w:tc>
        <w:tc>
          <w:tcPr>
            <w:tcW w:type="dxa" w:w="38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operational_functions</w:t>
            </w:r>
          </w:p>
        </w:tc>
        <w:tc>
          <w:tcPr>
            <w:tcW w:type="dxa" w:w="3526"/>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映射 KC-01 至 KC-28 功能点，标明主/辅角色和覆盖等级。</w:t>
            </w:r>
          </w:p>
        </w:tc>
      </w:tr>
      <w:tr>
        <w:tc>
          <w:tcPr>
            <w:tcW w:type="dxa" w:w="17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接口与运行</w:t>
            </w:r>
          </w:p>
        </w:tc>
        <w:tc>
          <w:tcPr>
            <w:tcW w:type="dxa" w:w="38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input/output Schema、runtime、pre/postprocess、tensor_contract</w:t>
            </w:r>
          </w:p>
        </w:tc>
        <w:tc>
          <w:tcPr>
            <w:tcW w:type="dxa" w:w="3526"/>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约束数据格式，描述模型 URI 或服务端点、超时、处理配置和张量签名。</w:t>
            </w:r>
          </w:p>
        </w:tc>
      </w:tr>
      <w:tr>
        <w:tc>
          <w:tcPr>
            <w:tcW w:type="dxa" w:w="17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性能画像</w:t>
            </w:r>
          </w:p>
        </w:tc>
        <w:tc>
          <w:tcPr>
            <w:tcW w:type="dxa" w:w="38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latency、metric、score、复杂度说明</w:t>
            </w:r>
          </w:p>
        </w:tc>
        <w:tc>
          <w:tcPr>
            <w:tcW w:type="dxa" w:w="3526"/>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记录时延、核心评价指标、参考分数及计算复杂度口径。</w:t>
            </w:r>
          </w:p>
        </w:tc>
      </w:tr>
      <w:tr>
        <w:tc>
          <w:tcPr>
            <w:tcW w:type="dxa" w:w="17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资源画像</w:t>
            </w:r>
          </w:p>
        </w:tc>
        <w:tc>
          <w:tcPr>
            <w:tcW w:type="dxa" w:w="38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CPU、内存、GPU、显存、磁盘、Params、FLOPs、模型大小、精度</w:t>
            </w:r>
          </w:p>
        </w:tc>
        <w:tc>
          <w:tcPr>
            <w:tcW w:type="dxa" w:w="3526"/>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为节点部署、模型选择和资源调度提供依据。</w:t>
            </w:r>
          </w:p>
        </w:tc>
      </w:tr>
      <w:tr>
        <w:tc>
          <w:tcPr>
            <w:tcW w:type="dxa" w:w="17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安全与溯源</w:t>
            </w:r>
          </w:p>
        </w:tc>
        <w:tc>
          <w:tcPr>
            <w:tcW w:type="dxa" w:w="38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risk_level、requires_human_review、provenance</w:t>
            </w:r>
          </w:p>
        </w:tc>
        <w:tc>
          <w:tcPr>
            <w:tcW w:type="dxa" w:w="3526"/>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记录风险等级、人工复核要求及模型、训练脚本、数据集等来源。</w:t>
            </w:r>
          </w:p>
        </w:tc>
      </w:tr>
    </w:tbl>
    <w:p>
      <w:pPr>
        <w:spacing w:after="180" w:before="0" w:line="360"/>
        <w:ind w:firstLine="480"/>
        <w:jc w:val="both"/>
      </w:pPr>
      <w:r>
        <w:rPr>
          <w:rFonts w:ascii="宋体" w:cs="宋体" w:eastAsia="宋体" w:hAnsi="宋体"/>
          <w:sz w:val="22"/>
          <w:szCs w:val="22"/>
        </w:rPr>
        <w:t xml:space="preserve">以实时目标检测算法为例，其算法卡登记了 RT-DETR 与 ODConv 的组合能力、初始检测和再次任务检测等功能映射、Python 服务端点、请求大小限制、时延目标、CPU/内存/推荐显存需求、32.0M 参数量和 91.9 GFLOPs 的计算画像。以 EDL 证据验证算法为例，其算法卡进一步记录不确定性输出、人工复核要求、训练检查点和参考数据集。由此可见，算法卡既描述“算法能做什么”，也描述“算法在什么条件下可用、如何运行及如何审计”。</w:t>
      </w:r>
    </w:p>
    <w:p>
      <w:pPr>
        <w:pStyle w:val="Heading2"/>
        <w:spacing w:after="160" w:before="200" w:line="360"/>
        <w:outlineLvl w:val="1"/>
      </w:pPr>
      <w:r>
        <w:rPr>
          <w:rFonts w:ascii="黑体" w:cs="黑体" w:eastAsia="黑体" w:hAnsi="黑体"/>
          <w:b/>
          <w:bCs/>
          <w:sz w:val="28"/>
          <w:szCs w:val="28"/>
        </w:rPr>
        <w:t xml:space="preserve">3.3 模型版本与后端形态</w:t>
      </w:r>
    </w:p>
    <w:p>
      <w:pPr>
        <w:spacing w:after="180" w:before="0" w:line="360"/>
        <w:ind w:firstLine="480"/>
        <w:jc w:val="both"/>
      </w:pPr>
      <w:r>
        <w:rPr>
          <w:rFonts w:ascii="宋体" w:cs="宋体" w:eastAsia="宋体" w:hAnsi="宋体"/>
          <w:sz w:val="22"/>
          <w:szCs w:val="22"/>
        </w:rPr>
        <w:t xml:space="preserve">算法库支持 Python HTTP 服务和 ONNX 本地推理两类后端。Python 服务适合承载依赖 PyTorch、scikit-learn、向量检索、外部知识库或大模型的复杂算法，也便于快速复用现有算法实现；ONNX 适合将已固化的模型部署至节点侧，通过统一 Session 实现低时延、低依赖的推理。对于同一算法能力同时具备两种版本时，应将其视为面向不同运行环境的部署变体，而不是重复资产。</w:t>
      </w:r>
    </w:p>
    <w:p>
      <w:pPr>
        <w:spacing w:after="100" w:before="120"/>
        <w:jc w:val="center"/>
      </w:pPr>
      <w:r>
        <w:rPr>
          <w:rFonts w:ascii="宋体" w:cs="宋体" w:eastAsia="宋体" w:hAnsi="宋体"/>
          <w:b/>
          <w:bCs/>
          <w:sz w:val="20"/>
          <w:szCs w:val="20"/>
        </w:rPr>
        <w:t xml:space="preserve">表3-3  模型后端与交付形态</w:t>
      </w:r>
    </w:p>
    <w:tbl>
      <w:tblPr>
        <w:tblW w:type="dxa" w:w="9026"/>
        <w:tblBorders>
          <w:top w:val="single" w:color="A6A6A6" w:sz="4"/>
          <w:left w:val="single" w:color="A6A6A6" w:sz="4"/>
          <w:bottom w:val="single" w:color="A6A6A6" w:sz="4"/>
          <w:right w:val="single" w:color="A6A6A6" w:sz="4"/>
          <w:insideH w:val="single" w:color="A6A6A6" w:sz="4"/>
          <w:insideV w:val="single" w:color="A6A6A6" w:sz="4"/>
        </w:tblBorders>
      </w:tblPr>
      <w:tblGrid>
        <w:gridCol w:w="1800"/>
        <w:gridCol w:w="2550"/>
        <w:gridCol w:w="2800"/>
        <w:gridCol w:w="1876"/>
      </w:tblGrid>
      <w:tr>
        <w:tc>
          <w:tcPr>
            <w:tcW w:type="dxa" w:w="1800"/>
            <w:tcBorders>
              <w:top w:val="single" w:color="A6A6A6" w:sz="4"/>
              <w:left w:val="single" w:color="A6A6A6" w:sz="4"/>
              <w:bottom w:val="single" w:color="A6A6A6" w:sz="4"/>
              <w:right w:val="single" w:color="A6A6A6" w:sz="4"/>
            </w:tcBorders>
            <w:shd w:fill="D9EAF7" w:val="clear"/>
            <w:tcMar>
              <w:top w:type="dxa" w:w="75"/>
              <w:left w:type="dxa" w:w="90"/>
              <w:bottom w:type="dxa" w:w="75"/>
              <w:right w:type="dxa" w:w="90"/>
            </w:tcMar>
            <w:vAlign w:val="center"/>
          </w:tcPr>
          <w:p>
            <w:pPr>
              <w:jc w:val="center"/>
              <w:spacing w:after="0" w:line="250"/>
            </w:pPr>
            <w:r>
              <w:rPr>
                <w:rFonts w:ascii="宋体" w:cs="宋体" w:eastAsia="宋体" w:hAnsi="宋体"/>
                <w:b/>
                <w:bCs/>
                <w:sz w:val="16"/>
                <w:szCs w:val="16"/>
              </w:rPr>
              <w:t xml:space="preserve">形态</w:t>
            </w:r>
          </w:p>
        </w:tc>
        <w:tc>
          <w:tcPr>
            <w:tcW w:type="dxa" w:w="2550"/>
            <w:tcBorders>
              <w:top w:val="single" w:color="A6A6A6" w:sz="4"/>
              <w:left w:val="single" w:color="A6A6A6" w:sz="4"/>
              <w:bottom w:val="single" w:color="A6A6A6" w:sz="4"/>
              <w:right w:val="single" w:color="A6A6A6" w:sz="4"/>
            </w:tcBorders>
            <w:shd w:fill="D9EAF7" w:val="clear"/>
            <w:tcMar>
              <w:top w:type="dxa" w:w="75"/>
              <w:left w:type="dxa" w:w="90"/>
              <w:bottom w:type="dxa" w:w="75"/>
              <w:right w:type="dxa" w:w="90"/>
            </w:tcMar>
            <w:vAlign w:val="center"/>
          </w:tcPr>
          <w:p>
            <w:pPr>
              <w:jc w:val="center"/>
              <w:spacing w:after="0" w:line="250"/>
            </w:pPr>
            <w:r>
              <w:rPr>
                <w:rFonts w:ascii="宋体" w:cs="宋体" w:eastAsia="宋体" w:hAnsi="宋体"/>
                <w:b/>
                <w:bCs/>
                <w:sz w:val="16"/>
                <w:szCs w:val="16"/>
              </w:rPr>
              <w:t xml:space="preserve">主要适用算法</w:t>
            </w:r>
          </w:p>
        </w:tc>
        <w:tc>
          <w:tcPr>
            <w:tcW w:type="dxa" w:w="2800"/>
            <w:tcBorders>
              <w:top w:val="single" w:color="A6A6A6" w:sz="4"/>
              <w:left w:val="single" w:color="A6A6A6" w:sz="4"/>
              <w:bottom w:val="single" w:color="A6A6A6" w:sz="4"/>
              <w:right w:val="single" w:color="A6A6A6" w:sz="4"/>
            </w:tcBorders>
            <w:shd w:fill="D9EAF7" w:val="clear"/>
            <w:tcMar>
              <w:top w:type="dxa" w:w="75"/>
              <w:left w:type="dxa" w:w="90"/>
              <w:bottom w:type="dxa" w:w="75"/>
              <w:right w:type="dxa" w:w="90"/>
            </w:tcMar>
            <w:vAlign w:val="center"/>
          </w:tcPr>
          <w:p>
            <w:pPr>
              <w:jc w:val="center"/>
              <w:spacing w:after="0" w:line="250"/>
            </w:pPr>
            <w:r>
              <w:rPr>
                <w:rFonts w:ascii="宋体" w:cs="宋体" w:eastAsia="宋体" w:hAnsi="宋体"/>
                <w:b/>
                <w:bCs/>
                <w:sz w:val="16"/>
                <w:szCs w:val="16"/>
              </w:rPr>
              <w:t xml:space="preserve">运行特征</w:t>
            </w:r>
          </w:p>
        </w:tc>
        <w:tc>
          <w:tcPr>
            <w:tcW w:type="dxa" w:w="1876"/>
            <w:tcBorders>
              <w:top w:val="single" w:color="A6A6A6" w:sz="4"/>
              <w:left w:val="single" w:color="A6A6A6" w:sz="4"/>
              <w:bottom w:val="single" w:color="A6A6A6" w:sz="4"/>
              <w:right w:val="single" w:color="A6A6A6" w:sz="4"/>
            </w:tcBorders>
            <w:shd w:fill="D9EAF7" w:val="clear"/>
            <w:tcMar>
              <w:top w:type="dxa" w:w="75"/>
              <w:left w:type="dxa" w:w="90"/>
              <w:bottom w:type="dxa" w:w="75"/>
              <w:right w:type="dxa" w:w="90"/>
            </w:tcMar>
            <w:vAlign w:val="center"/>
          </w:tcPr>
          <w:p>
            <w:pPr>
              <w:jc w:val="center"/>
              <w:spacing w:after="0" w:line="250"/>
            </w:pPr>
            <w:r>
              <w:rPr>
                <w:rFonts w:ascii="宋体" w:cs="宋体" w:eastAsia="宋体" w:hAnsi="宋体"/>
                <w:b/>
                <w:bCs/>
                <w:sz w:val="16"/>
                <w:szCs w:val="16"/>
              </w:rPr>
              <w:t xml:space="preserve">代表实现</w:t>
            </w:r>
          </w:p>
        </w:tc>
      </w:tr>
      <w:tr>
        <w:tc>
          <w:tcPr>
            <w:tcW w:type="dxa" w:w="18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Python HTTP 服务版</w:t>
            </w:r>
          </w:p>
        </w:tc>
        <w:tc>
          <w:tcPr>
            <w:tcW w:type="dxa" w:w="255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复杂深度学习、规则组合、RAG、LLM、联邦聚合、智能体编排</w:t>
            </w:r>
          </w:p>
        </w:tc>
        <w:tc>
          <w:tcPr>
            <w:tcW w:type="dxa" w:w="28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通过 /health、/metadata、/predict 暴露服务；可采用连接池控制并发。</w:t>
            </w:r>
          </w:p>
        </w:tc>
        <w:tc>
          <w:tcPr>
            <w:tcW w:type="dxa" w:w="1876"/>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RT-DETR、Mask2Former、MOTR、RAG、LLM、FedAvg、Decision Planning Core</w:t>
            </w:r>
          </w:p>
        </w:tc>
      </w:tr>
      <w:tr>
        <w:tc>
          <w:tcPr>
            <w:tcW w:type="dxa" w:w="18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ONNX 本地版</w:t>
            </w:r>
          </w:p>
        </w:tc>
        <w:tc>
          <w:tcPr>
            <w:tcW w:type="dxa" w:w="255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结构稳定、需要边缘部署或低时延的模型</w:t>
            </w:r>
          </w:p>
        </w:tc>
        <w:tc>
          <w:tcPr>
            <w:tcW w:type="dxa" w:w="28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模型、张量契约、预/后处理配置随算法包分发，在节点侧创建 Session。</w:t>
            </w:r>
          </w:p>
        </w:tc>
        <w:tc>
          <w:tcPr>
            <w:tcW w:type="dxa" w:w="1876"/>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逻辑回归、随机森林、朴素贝叶斯、SupCon、EDL、Mamba、PPO、趋势预测、GNN</w:t>
            </w:r>
          </w:p>
        </w:tc>
      </w:tr>
      <w:tr>
        <w:tc>
          <w:tcPr>
            <w:tcW w:type="dxa" w:w="18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规则/确定性实现</w:t>
            </w:r>
          </w:p>
        </w:tc>
        <w:tc>
          <w:tcPr>
            <w:tcW w:type="dxa" w:w="255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无需训练或以规则资产为核心的计算</w:t>
            </w:r>
          </w:p>
        </w:tc>
        <w:tc>
          <w:tcPr>
            <w:tcW w:type="dxa" w:w="28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通常封装为 Python 服务，资源消耗与输入规模、规则数量或历史长度相关。</w:t>
            </w:r>
          </w:p>
        </w:tc>
        <w:tc>
          <w:tcPr>
            <w:tcW w:type="dxa" w:w="1876"/>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聚类、关联规则、线性回归、部分执行控制逻辑</w:t>
            </w:r>
          </w:p>
        </w:tc>
      </w:tr>
      <w:tr>
        <w:tc>
          <w:tcPr>
            <w:tcW w:type="dxa" w:w="18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复合型模型</w:t>
            </w:r>
          </w:p>
        </w:tc>
        <w:tc>
          <w:tcPr>
            <w:tcW w:type="dxa" w:w="255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由多个模型、规则或知识服务组合而成</w:t>
            </w:r>
          </w:p>
        </w:tc>
        <w:tc>
          <w:tcPr>
            <w:tcW w:type="dxa" w:w="28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使用服务端封装组合过程，对外保持单一算法请求/结果接口。</w:t>
            </w:r>
          </w:p>
        </w:tc>
        <w:tc>
          <w:tcPr>
            <w:tcW w:type="dxa" w:w="1876"/>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智能体规划、RAG、xBD 毁伤评估、多模态情报处理</w:t>
            </w:r>
          </w:p>
        </w:tc>
      </w:tr>
    </w:tbl>
    <w:p>
      <w:pPr>
        <w:spacing w:after="180" w:before="0" w:line="360"/>
        <w:ind w:firstLine="480"/>
        <w:jc w:val="both"/>
      </w:pPr>
      <w:r>
        <w:rPr>
          <w:rFonts w:ascii="宋体" w:cs="宋体" w:eastAsia="宋体" w:hAnsi="宋体"/>
          <w:sz w:val="22"/>
          <w:szCs w:val="22"/>
        </w:rPr>
        <w:t xml:space="preserve">当前仓库内可见 43 个算法卡文件，覆盖二十类算法及其配套/扩展能力。其中，多个已验证的 Python 服务算法提供 ONNX 变体，包括条件 GAN、意图朴素贝叶斯、SupCon 分类、随机森林优先级、EDL 验证、多模态 Mamba、MARL-PPO 调度和图关系推理等。逻辑回归和时序趋势预测主要以 ONNX 形态交付。检测、变化检测和多目标跟踪等高算力视觉算法当前主要以 Python 服务形态提供。</w:t>
      </w:r>
    </w:p>
    <w:p>
      <w:pPr>
        <w:pStyle w:val="Heading2"/>
        <w:spacing w:after="160" w:before="200" w:line="360"/>
        <w:outlineLvl w:val="1"/>
      </w:pPr>
      <w:r>
        <w:rPr>
          <w:rFonts w:ascii="黑体" w:cs="黑体" w:eastAsia="黑体" w:hAnsi="黑体"/>
          <w:b/>
          <w:bCs/>
          <w:sz w:val="28"/>
          <w:szCs w:val="28"/>
        </w:rPr>
        <w:t xml:space="preserve">3.4 模型资产、训练数据与验证资产</w:t>
      </w:r>
    </w:p>
    <w:p>
      <w:pPr>
        <w:spacing w:after="180" w:before="0" w:line="360"/>
        <w:ind w:firstLine="480"/>
        <w:jc w:val="both"/>
      </w:pPr>
      <w:r>
        <w:rPr>
          <w:rFonts w:ascii="宋体" w:cs="宋体" w:eastAsia="宋体" w:hAnsi="宋体"/>
          <w:sz w:val="22"/>
          <w:szCs w:val="22"/>
        </w:rPr>
        <w:t xml:space="preserve">模型资产不仅包括模型权重文件，还包括用于保证可复现性和可验证性的元数据、训练脚本、参考数据集、评估数据集和 Golden Case。算法卡通过 provenance 字段引用这些资产；算法管理服务在注册或校验阶段检查算法包结构及关键引用文件。对于不依赖固定权重的确定性算法，provenance 可指向规则文件、实现元数据或评估脚本。</w:t>
      </w:r>
    </w:p>
    <w:p>
      <w:pPr>
        <w:spacing w:after="100" w:before="120"/>
        <w:jc w:val="center"/>
      </w:pPr>
      <w:r>
        <w:rPr>
          <w:rFonts w:ascii="宋体" w:cs="宋体" w:eastAsia="宋体" w:hAnsi="宋体"/>
          <w:b/>
          <w:bCs/>
          <w:sz w:val="20"/>
          <w:szCs w:val="20"/>
        </w:rPr>
        <w:t xml:space="preserve">表3-4  模型资产构成</w:t>
      </w:r>
    </w:p>
    <w:tbl>
      <w:tblPr>
        <w:tblW w:type="dxa" w:w="9026"/>
        <w:tblBorders>
          <w:top w:val="single" w:color="A6A6A6" w:sz="4"/>
          <w:left w:val="single" w:color="A6A6A6" w:sz="4"/>
          <w:bottom w:val="single" w:color="A6A6A6" w:sz="4"/>
          <w:right w:val="single" w:color="A6A6A6" w:sz="4"/>
          <w:insideH w:val="single" w:color="A6A6A6" w:sz="4"/>
          <w:insideV w:val="single" w:color="A6A6A6" w:sz="4"/>
        </w:tblBorders>
      </w:tblPr>
      <w:tblGrid>
        <w:gridCol w:w="1800"/>
        <w:gridCol w:w="2200"/>
        <w:gridCol w:w="2900"/>
        <w:gridCol w:w="2126"/>
      </w:tblGrid>
      <w:tr>
        <w:tc>
          <w:tcPr>
            <w:tcW w:type="dxa" w:w="1800"/>
            <w:tcBorders>
              <w:top w:val="single" w:color="A6A6A6" w:sz="4"/>
              <w:left w:val="single" w:color="A6A6A6" w:sz="4"/>
              <w:bottom w:val="single" w:color="A6A6A6" w:sz="4"/>
              <w:right w:val="single" w:color="A6A6A6" w:sz="4"/>
            </w:tcBorders>
            <w:shd w:fill="D9EAF7" w:val="clear"/>
            <w:tcMar>
              <w:top w:type="dxa" w:w="75"/>
              <w:left w:type="dxa" w:w="90"/>
              <w:bottom w:type="dxa" w:w="75"/>
              <w:right w:type="dxa" w:w="90"/>
            </w:tcMar>
            <w:vAlign w:val="center"/>
          </w:tcPr>
          <w:p>
            <w:pPr>
              <w:jc w:val="center"/>
              <w:spacing w:after="0" w:line="250"/>
            </w:pPr>
            <w:r>
              <w:rPr>
                <w:rFonts w:ascii="宋体" w:cs="宋体" w:eastAsia="宋体" w:hAnsi="宋体"/>
                <w:b/>
                <w:bCs/>
                <w:sz w:val="16"/>
                <w:szCs w:val="16"/>
              </w:rPr>
              <w:t xml:space="preserve">资产类别</w:t>
            </w:r>
          </w:p>
        </w:tc>
        <w:tc>
          <w:tcPr>
            <w:tcW w:type="dxa" w:w="2200"/>
            <w:tcBorders>
              <w:top w:val="single" w:color="A6A6A6" w:sz="4"/>
              <w:left w:val="single" w:color="A6A6A6" w:sz="4"/>
              <w:bottom w:val="single" w:color="A6A6A6" w:sz="4"/>
              <w:right w:val="single" w:color="A6A6A6" w:sz="4"/>
            </w:tcBorders>
            <w:shd w:fill="D9EAF7" w:val="clear"/>
            <w:tcMar>
              <w:top w:type="dxa" w:w="75"/>
              <w:left w:type="dxa" w:w="90"/>
              <w:bottom w:type="dxa" w:w="75"/>
              <w:right w:type="dxa" w:w="90"/>
            </w:tcMar>
            <w:vAlign w:val="center"/>
          </w:tcPr>
          <w:p>
            <w:pPr>
              <w:jc w:val="center"/>
              <w:spacing w:after="0" w:line="250"/>
            </w:pPr>
            <w:r>
              <w:rPr>
                <w:rFonts w:ascii="宋体" w:cs="宋体" w:eastAsia="宋体" w:hAnsi="宋体"/>
                <w:b/>
                <w:bCs/>
                <w:sz w:val="16"/>
                <w:szCs w:val="16"/>
              </w:rPr>
              <w:t xml:space="preserve">典型形式</w:t>
            </w:r>
          </w:p>
        </w:tc>
        <w:tc>
          <w:tcPr>
            <w:tcW w:type="dxa" w:w="2900"/>
            <w:tcBorders>
              <w:top w:val="single" w:color="A6A6A6" w:sz="4"/>
              <w:left w:val="single" w:color="A6A6A6" w:sz="4"/>
              <w:bottom w:val="single" w:color="A6A6A6" w:sz="4"/>
              <w:right w:val="single" w:color="A6A6A6" w:sz="4"/>
            </w:tcBorders>
            <w:shd w:fill="D9EAF7" w:val="clear"/>
            <w:tcMar>
              <w:top w:type="dxa" w:w="75"/>
              <w:left w:type="dxa" w:w="90"/>
              <w:bottom w:type="dxa" w:w="75"/>
              <w:right w:type="dxa" w:w="90"/>
            </w:tcMar>
            <w:vAlign w:val="center"/>
          </w:tcPr>
          <w:p>
            <w:pPr>
              <w:jc w:val="center"/>
              <w:spacing w:after="0" w:line="250"/>
            </w:pPr>
            <w:r>
              <w:rPr>
                <w:rFonts w:ascii="宋体" w:cs="宋体" w:eastAsia="宋体" w:hAnsi="宋体"/>
                <w:b/>
                <w:bCs/>
                <w:sz w:val="16"/>
                <w:szCs w:val="16"/>
              </w:rPr>
              <w:t xml:space="preserve">关联算法</w:t>
            </w:r>
          </w:p>
        </w:tc>
        <w:tc>
          <w:tcPr>
            <w:tcW w:type="dxa" w:w="2126"/>
            <w:tcBorders>
              <w:top w:val="single" w:color="A6A6A6" w:sz="4"/>
              <w:left w:val="single" w:color="A6A6A6" w:sz="4"/>
              <w:bottom w:val="single" w:color="A6A6A6" w:sz="4"/>
              <w:right w:val="single" w:color="A6A6A6" w:sz="4"/>
            </w:tcBorders>
            <w:shd w:fill="D9EAF7" w:val="clear"/>
            <w:tcMar>
              <w:top w:type="dxa" w:w="75"/>
              <w:left w:type="dxa" w:w="90"/>
              <w:bottom w:type="dxa" w:w="75"/>
              <w:right w:type="dxa" w:w="90"/>
            </w:tcMar>
            <w:vAlign w:val="center"/>
          </w:tcPr>
          <w:p>
            <w:pPr>
              <w:jc w:val="center"/>
              <w:spacing w:after="0" w:line="250"/>
            </w:pPr>
            <w:r>
              <w:rPr>
                <w:rFonts w:ascii="宋体" w:cs="宋体" w:eastAsia="宋体" w:hAnsi="宋体"/>
                <w:b/>
                <w:bCs/>
                <w:sz w:val="16"/>
                <w:szCs w:val="16"/>
              </w:rPr>
              <w:t xml:space="preserve">用途</w:t>
            </w:r>
          </w:p>
        </w:tc>
      </w:tr>
      <w:tr>
        <w:tc>
          <w:tcPr>
            <w:tcW w:type="dxa" w:w="18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深度学习检查点</w:t>
            </w:r>
          </w:p>
        </w:tc>
        <w:tc>
          <w:tcPr>
            <w:tcW w:type="dxa" w:w="22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*.pt、*.safetensors</w:t>
            </w:r>
          </w:p>
        </w:tc>
        <w:tc>
          <w:tcPr>
            <w:tcW w:type="dxa" w:w="29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EDL、Mamba、SupCon、MARL-PPO、图关系 GNN、ODConv、MOTR 等</w:t>
            </w:r>
          </w:p>
        </w:tc>
        <w:tc>
          <w:tcPr>
            <w:tcW w:type="dxa" w:w="2126"/>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记录可加载权重及相关元数据。</w:t>
            </w:r>
          </w:p>
        </w:tc>
      </w:tr>
      <w:tr>
        <w:tc>
          <w:tcPr>
            <w:tcW w:type="dxa" w:w="18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传统机器学习模型</w:t>
            </w:r>
          </w:p>
        </w:tc>
        <w:tc>
          <w:tcPr>
            <w:tcW w:type="dxa" w:w="22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*.joblib、*.pkl</w:t>
            </w:r>
          </w:p>
        </w:tc>
        <w:tc>
          <w:tcPr>
            <w:tcW w:type="dxa" w:w="29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意图朴素贝叶斯、威胁优先级随机森林、xBD 评估器</w:t>
            </w:r>
          </w:p>
        </w:tc>
        <w:tc>
          <w:tcPr>
            <w:tcW w:type="dxa" w:w="2126"/>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保存训练后模型、预处理或分类头。</w:t>
            </w:r>
          </w:p>
        </w:tc>
      </w:tr>
      <w:tr>
        <w:tc>
          <w:tcPr>
            <w:tcW w:type="dxa" w:w="18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ONNX 模型包</w:t>
            </w:r>
          </w:p>
        </w:tc>
        <w:tc>
          <w:tcPr>
            <w:tcW w:type="dxa" w:w="22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model.onnx + tensor_contract + pre/postprocess</w:t>
            </w:r>
          </w:p>
        </w:tc>
        <w:tc>
          <w:tcPr>
            <w:tcW w:type="dxa" w:w="29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逻辑回归、趋势预测、条件 GAN、EDL、融合、调度、图推理等</w:t>
            </w:r>
          </w:p>
        </w:tc>
        <w:tc>
          <w:tcPr>
            <w:tcW w:type="dxa" w:w="2126"/>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支持跨框架节点侧推理。</w:t>
            </w:r>
          </w:p>
        </w:tc>
      </w:tr>
      <w:tr>
        <w:tc>
          <w:tcPr>
            <w:tcW w:type="dxa" w:w="18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规则与实现资产</w:t>
            </w:r>
          </w:p>
        </w:tc>
        <w:tc>
          <w:tcPr>
            <w:tcW w:type="dxa" w:w="22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JSON 规则、源码实现、实现元数据</w:t>
            </w:r>
          </w:p>
        </w:tc>
        <w:tc>
          <w:tcPr>
            <w:tcW w:type="dxa" w:w="29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关联规则匹配、聚类、线性回归、执行控制</w:t>
            </w:r>
          </w:p>
        </w:tc>
        <w:tc>
          <w:tcPr>
            <w:tcW w:type="dxa" w:w="2126"/>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描述确定性计算或规则匹配依据。</w:t>
            </w:r>
          </w:p>
        </w:tc>
      </w:tr>
      <w:tr>
        <w:tc>
          <w:tcPr>
            <w:tcW w:type="dxa" w:w="18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数据与评估资产</w:t>
            </w:r>
          </w:p>
        </w:tc>
        <w:tc>
          <w:tcPr>
            <w:tcW w:type="dxa" w:w="22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CSV、JSON、NPY、Golden Case</w:t>
            </w:r>
          </w:p>
        </w:tc>
        <w:tc>
          <w:tcPr>
            <w:tcW w:type="dxa" w:w="29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训练参考数据、留出集、算法接口样例</w:t>
            </w:r>
          </w:p>
        </w:tc>
        <w:tc>
          <w:tcPr>
            <w:tcW w:type="dxa" w:w="2126"/>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用于训练、性能评估、回归和接口校验。</w:t>
            </w:r>
          </w:p>
        </w:tc>
      </w:tr>
    </w:tbl>
    <w:p>
      <w:pPr>
        <w:spacing w:after="180" w:before="0" w:line="360"/>
        <w:ind w:firstLine="480"/>
        <w:jc w:val="both"/>
      </w:pPr>
      <w:r>
        <w:rPr>
          <w:rFonts w:ascii="宋体" w:cs="宋体" w:eastAsia="宋体" w:hAnsi="宋体"/>
          <w:sz w:val="22"/>
          <w:szCs w:val="22"/>
        </w:rPr>
        <w:t xml:space="preserve">应注意，算法卡中登记的 reference_holdout、synthetic_holdout 或 reference-policy 分数主要用于说明当前实现的可验证性与工程回归基线，不能直接等同于真实作战环境下的业务性能。对于 LLM、RAG、智能体等依赖外部知识、检索索引或基础模型的算法，应在部署阶段额外登记知识库版本、索引版本、基础模型版本、上下文窗口和服务可达性等信息。</w:t>
      </w:r>
    </w:p>
    <w:p>
      <w:pPr>
        <w:pStyle w:val="Heading2"/>
        <w:spacing w:after="160" w:before="200" w:line="360"/>
        <w:outlineLvl w:val="1"/>
      </w:pPr>
      <w:r>
        <w:rPr>
          <w:rFonts w:ascii="黑体" w:cs="黑体" w:eastAsia="黑体" w:hAnsi="黑体"/>
          <w:b/>
          <w:bCs/>
          <w:sz w:val="28"/>
          <w:szCs w:val="28"/>
        </w:rPr>
        <w:t xml:space="preserve">3.5 模型成熟度与使用约束</w:t>
      </w:r>
    </w:p>
    <w:p>
      <w:pPr>
        <w:spacing w:after="180" w:before="0" w:line="360"/>
        <w:ind w:firstLine="480"/>
        <w:jc w:val="both"/>
      </w:pPr>
      <w:r>
        <w:rPr>
          <w:rFonts w:ascii="宋体" w:cs="宋体" w:eastAsia="宋体" w:hAnsi="宋体"/>
          <w:sz w:val="22"/>
          <w:szCs w:val="22"/>
        </w:rPr>
        <w:t xml:space="preserve">为便于后续部署和验收，可按资产完整性、后端可部署性、参考数据与校验状态对模型进行工程成熟度分层。本报告不以单一算法精度高低定义成熟度，而以“是否具备可交付模型资产、可执行接口、可验证样例和受控部署条件”为主要判断依据。</w:t>
      </w:r>
    </w:p>
    <w:p>
      <w:pPr>
        <w:spacing w:after="100" w:before="120"/>
        <w:jc w:val="center"/>
      </w:pPr>
      <w:r>
        <w:rPr>
          <w:rFonts w:ascii="宋体" w:cs="宋体" w:eastAsia="宋体" w:hAnsi="宋体"/>
          <w:b/>
          <w:bCs/>
          <w:sz w:val="20"/>
          <w:szCs w:val="20"/>
        </w:rPr>
        <w:t xml:space="preserve">表3-5  工程成熟度分层建议</w:t>
      </w:r>
    </w:p>
    <w:tbl>
      <w:tblPr>
        <w:tblW w:type="dxa" w:w="9026"/>
        <w:tblBorders>
          <w:top w:val="single" w:color="A6A6A6" w:sz="4"/>
          <w:left w:val="single" w:color="A6A6A6" w:sz="4"/>
          <w:bottom w:val="single" w:color="A6A6A6" w:sz="4"/>
          <w:right w:val="single" w:color="A6A6A6" w:sz="4"/>
          <w:insideH w:val="single" w:color="A6A6A6" w:sz="4"/>
          <w:insideV w:val="single" w:color="A6A6A6" w:sz="4"/>
        </w:tblBorders>
      </w:tblPr>
      <w:tblGrid>
        <w:gridCol w:w="1900"/>
        <w:gridCol w:w="4000"/>
        <w:gridCol w:w="3126"/>
      </w:tblGrid>
      <w:tr>
        <w:tc>
          <w:tcPr>
            <w:tcW w:type="dxa" w:w="1900"/>
            <w:tcBorders>
              <w:top w:val="single" w:color="A6A6A6" w:sz="4"/>
              <w:left w:val="single" w:color="A6A6A6" w:sz="4"/>
              <w:bottom w:val="single" w:color="A6A6A6" w:sz="4"/>
              <w:right w:val="single" w:color="A6A6A6" w:sz="4"/>
            </w:tcBorders>
            <w:shd w:fill="D9EAF7" w:val="clear"/>
            <w:tcMar>
              <w:top w:type="dxa" w:w="75"/>
              <w:left w:type="dxa" w:w="90"/>
              <w:bottom w:type="dxa" w:w="75"/>
              <w:right w:type="dxa" w:w="90"/>
            </w:tcMar>
            <w:vAlign w:val="center"/>
          </w:tcPr>
          <w:p>
            <w:pPr>
              <w:jc w:val="center"/>
              <w:spacing w:after="0" w:line="250"/>
            </w:pPr>
            <w:r>
              <w:rPr>
                <w:rFonts w:ascii="宋体" w:cs="宋体" w:eastAsia="宋体" w:hAnsi="宋体"/>
                <w:b/>
                <w:bCs/>
                <w:sz w:val="16"/>
                <w:szCs w:val="16"/>
              </w:rPr>
              <w:t xml:space="preserve">分层</w:t>
            </w:r>
          </w:p>
        </w:tc>
        <w:tc>
          <w:tcPr>
            <w:tcW w:type="dxa" w:w="4000"/>
            <w:tcBorders>
              <w:top w:val="single" w:color="A6A6A6" w:sz="4"/>
              <w:left w:val="single" w:color="A6A6A6" w:sz="4"/>
              <w:bottom w:val="single" w:color="A6A6A6" w:sz="4"/>
              <w:right w:val="single" w:color="A6A6A6" w:sz="4"/>
            </w:tcBorders>
            <w:shd w:fill="D9EAF7" w:val="clear"/>
            <w:tcMar>
              <w:top w:type="dxa" w:w="75"/>
              <w:left w:type="dxa" w:w="90"/>
              <w:bottom w:type="dxa" w:w="75"/>
              <w:right w:type="dxa" w:w="90"/>
            </w:tcMar>
            <w:vAlign w:val="center"/>
          </w:tcPr>
          <w:p>
            <w:pPr>
              <w:jc w:val="center"/>
              <w:spacing w:after="0" w:line="250"/>
            </w:pPr>
            <w:r>
              <w:rPr>
                <w:rFonts w:ascii="宋体" w:cs="宋体" w:eastAsia="宋体" w:hAnsi="宋体"/>
                <w:b/>
                <w:bCs/>
                <w:sz w:val="16"/>
                <w:szCs w:val="16"/>
              </w:rPr>
              <w:t xml:space="preserve">判定特征</w:t>
            </w:r>
          </w:p>
        </w:tc>
        <w:tc>
          <w:tcPr>
            <w:tcW w:type="dxa" w:w="3126"/>
            <w:tcBorders>
              <w:top w:val="single" w:color="A6A6A6" w:sz="4"/>
              <w:left w:val="single" w:color="A6A6A6" w:sz="4"/>
              <w:bottom w:val="single" w:color="A6A6A6" w:sz="4"/>
              <w:right w:val="single" w:color="A6A6A6" w:sz="4"/>
            </w:tcBorders>
            <w:shd w:fill="D9EAF7" w:val="clear"/>
            <w:tcMar>
              <w:top w:type="dxa" w:w="75"/>
              <w:left w:type="dxa" w:w="90"/>
              <w:bottom w:type="dxa" w:w="75"/>
              <w:right w:type="dxa" w:w="90"/>
            </w:tcMar>
            <w:vAlign w:val="center"/>
          </w:tcPr>
          <w:p>
            <w:pPr>
              <w:jc w:val="center"/>
              <w:spacing w:after="0" w:line="250"/>
            </w:pPr>
            <w:r>
              <w:rPr>
                <w:rFonts w:ascii="宋体" w:cs="宋体" w:eastAsia="宋体" w:hAnsi="宋体"/>
                <w:b/>
                <w:bCs/>
                <w:sz w:val="16"/>
                <w:szCs w:val="16"/>
              </w:rPr>
              <w:t xml:space="preserve">建议使用方式</w:t>
            </w:r>
          </w:p>
        </w:tc>
      </w:tr>
      <w:tr>
        <w:tc>
          <w:tcPr>
            <w:tcW w:type="dxa" w:w="19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A类：可节点化部署</w:t>
            </w:r>
          </w:p>
        </w:tc>
        <w:tc>
          <w:tcPr>
            <w:tcW w:type="dxa" w:w="40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已验证 ONNX 包或已验证服务，具有 Schema、算法卡、运行配置及参考验证资产。</w:t>
            </w:r>
          </w:p>
        </w:tc>
        <w:tc>
          <w:tcPr>
            <w:tcW w:type="dxa" w:w="3126"/>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用于受控环境下的节点预加载、接口联调和性能测试。</w:t>
            </w:r>
          </w:p>
        </w:tc>
      </w:tr>
      <w:tr>
        <w:tc>
          <w:tcPr>
            <w:tcW w:type="dxa" w:w="19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B类：可服务化运行</w:t>
            </w:r>
          </w:p>
        </w:tc>
        <w:tc>
          <w:tcPr>
            <w:tcW w:type="dxa" w:w="40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已验证 Python 服务，具有模型/规则资产、训练或参考数据及服务健康检查。</w:t>
            </w:r>
          </w:p>
        </w:tc>
        <w:tc>
          <w:tcPr>
            <w:tcW w:type="dxa" w:w="3126"/>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用于中心或标准算力节点的服务部署。</w:t>
            </w:r>
          </w:p>
        </w:tc>
      </w:tr>
      <w:tr>
        <w:tc>
          <w:tcPr>
            <w:tcW w:type="dxa" w:w="19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C类：原型/待完善</w:t>
            </w:r>
          </w:p>
        </w:tc>
        <w:tc>
          <w:tcPr>
            <w:tcW w:type="dxa" w:w="40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已有算法卡和服务实现，但状态为 draft，或依赖外部模型、知识库、业务数据验证。</w:t>
            </w:r>
          </w:p>
        </w:tc>
        <w:tc>
          <w:tcPr>
            <w:tcW w:type="dxa" w:w="3126"/>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需补齐模型资产、Golden Case、性能基线或业务场景验证后再激活。</w:t>
            </w:r>
          </w:p>
        </w:tc>
      </w:tr>
      <w:tr>
        <w:tc>
          <w:tcPr>
            <w:tcW w:type="dxa" w:w="19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D类：组合能力</w:t>
            </w:r>
          </w:p>
        </w:tc>
        <w:tc>
          <w:tcPr>
            <w:tcW w:type="dxa" w:w="40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由多个子模型、规则、知识库或 Agent 逻辑组成，关键资源随子组件变化。</w:t>
            </w:r>
          </w:p>
        </w:tc>
        <w:tc>
          <w:tcPr>
            <w:tcW w:type="dxa" w:w="3126"/>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需同时管理子模型版本、依赖服务、结果溯源和安全约束。</w:t>
            </w:r>
          </w:p>
        </w:tc>
      </w:tr>
    </w:tbl>
    <w:p>
      <w:pPr>
        <w:spacing w:after="180" w:before="0" w:line="360"/>
        <w:ind w:firstLine="480"/>
        <w:jc w:val="both"/>
      </w:pPr>
      <w:r>
        <w:rPr>
          <w:rFonts w:ascii="宋体" w:cs="宋体" w:eastAsia="宋体" w:hAnsi="宋体"/>
          <w:sz w:val="22"/>
          <w:szCs w:val="22"/>
        </w:rPr>
        <w:t xml:space="preserve">本期应优先将轻量 ONNX 模型、传统机器学习模型、规则算法和已验证的小型神经网络用于节点侧能力验证；将实时检测、变化检测、多目标跟踪、多模态检索和大语言模型等资源依赖较高或状态仍为 draft 的算法部署在受控服务节点，并配置人工复核、超时、降级和结果审计措施。</w:t>
      </w:r>
    </w:p>
    <w:p>
      <w:pPr>
        <w:pStyle w:val="Heading2"/>
        <w:spacing w:after="160" w:before="200" w:line="360"/>
        <w:outlineLvl w:val="1"/>
      </w:pPr>
      <w:r>
        <w:rPr>
          <w:rFonts w:ascii="黑体" w:cs="黑体" w:eastAsia="黑体" w:hAnsi="黑体"/>
          <w:b/>
          <w:bCs/>
          <w:sz w:val="28"/>
          <w:szCs w:val="28"/>
        </w:rPr>
        <w:t xml:space="preserve">3.6 本章小结</w:t>
      </w:r>
    </w:p>
    <w:p>
      <w:pPr>
        <w:spacing w:after="180" w:before="0" w:line="360"/>
        <w:ind w:firstLine="480"/>
        <w:jc w:val="both"/>
      </w:pPr>
      <w:r>
        <w:rPr>
          <w:rFonts w:ascii="宋体" w:cs="宋体" w:eastAsia="宋体" w:hAnsi="宋体"/>
          <w:sz w:val="22"/>
          <w:szCs w:val="22"/>
        </w:rPr>
        <w:t xml:space="preserve">本章建立了二十类算法模型的统一清单和标准化描述框架。算法库通过算法卡将算法能力、功能映射、接口、运行后端、性能资源画像和安全溯源信息归集为统一元数据，并以 Python HTTP 服务与 ONNX 本地推理双后端支持复杂服务和边缘部署。后续第4章将在此清单基础上，从算法范式、输入模态、业务任务和部署方式等维度进一步分析模型分类与能力边界。</w:t>
      </w:r>
    </w:p>
    <w:p>
      <w:pPr>
        <w:spacing w:after="0" w:before="400"/>
        <w:jc w:val="center"/>
      </w:pPr>
      <w:r>
        <w:rPr>
          <w:rFonts w:ascii="宋体" w:cs="宋体" w:eastAsia="宋体" w:hAnsi="宋体"/>
          <w:color w:val="666666"/>
          <w:sz w:val="18"/>
          <w:szCs w:val="18"/>
        </w:rPr>
        <w:t xml:space="preserve">—— 第三章结束 ——</w:t>
      </w:r>
    </w:p>
    <w:p>
      <w:pPr>
        <w:pStyle w:val="Heading1"/>
        <w:pageBreakBefore/>
        <w:spacing w:after="160" w:before="280" w:line="360"/>
        <w:outlineLvl w:val="0"/>
      </w:pPr>
      <w:r>
        <w:rPr>
          <w:rFonts w:ascii="黑体" w:cs="黑体" w:eastAsia="黑体" w:hAnsi="黑体"/>
          <w:b/>
          <w:bCs/>
          <w:color w:val="1F4E79"/>
          <w:sz w:val="32"/>
          <w:szCs w:val="32"/>
        </w:rPr>
        <w:t xml:space="preserve">第4章 模型分类与能力分析</w:t>
      </w:r>
    </w:p>
    <w:p>
      <w:pPr>
        <w:spacing w:after="180" w:before="0" w:line="360"/>
        <w:ind w:firstLine="480"/>
        <w:jc w:val="both"/>
      </w:pPr>
      <w:r>
        <w:rPr>
          <w:rFonts w:ascii="宋体" w:cs="宋体" w:eastAsia="宋体" w:hAnsi="宋体"/>
          <w:sz w:val="22"/>
          <w:szCs w:val="22"/>
        </w:rPr>
        <w:t xml:space="preserve">本章在第三章模型清单基础上，按照算法范式、输入数据模态、业务任务角色、部署方式和任务时效五个维度对二十类算法进行分类与能力分析。多维分类的目的不是对模型作单一归属，而是建立“任务需求—数据条件—模型能力—运行环境”的匹配关系，为后续功能点映射、资源适配和模型选择策略提供依据。</w:t>
      </w:r>
    </w:p>
    <w:p>
      <w:pPr>
        <w:spacing w:after="180" w:before="0" w:line="360"/>
        <w:ind w:firstLine="480"/>
        <w:jc w:val="both"/>
      </w:pPr>
      <w:r>
        <w:rPr>
          <w:rFonts w:ascii="宋体" w:cs="宋体" w:eastAsia="宋体" w:hAnsi="宋体"/>
          <w:sz w:val="22"/>
          <w:szCs w:val="22"/>
        </w:rPr>
        <w:t xml:space="preserve">同一算法可能同时属于多个分类维度。例如，M15 多模态融合模型从算法范式上属于深度学习模型，从数据模态上属于多源嵌入/时序数据处理模型，从业务角色上属于态势表征支撑模型，从部署上可提供 Python 服务版和 ONNX 节点侧版本；M11 智能体模型虽然属于决策规划类能力，但内部可组合逻辑回归、时序预测、规则匹配和 RAG 等多个子模型。因此，算法库应保留多标签分类，而不宜仅以单一算法名称或目录划分。</w:t>
      </w:r>
    </w:p>
    <w:p>
      <w:pPr>
        <w:pStyle w:val="Heading2"/>
        <w:spacing w:after="160" w:before="200" w:line="360"/>
        <w:outlineLvl w:val="1"/>
      </w:pPr>
      <w:r>
        <w:rPr>
          <w:rFonts w:ascii="黑体" w:cs="黑体" w:eastAsia="黑体" w:hAnsi="黑体"/>
          <w:b/>
          <w:bCs/>
          <w:sz w:val="28"/>
          <w:szCs w:val="28"/>
        </w:rPr>
        <w:t xml:space="preserve">4.1 分类方法</w:t>
      </w:r>
    </w:p>
    <w:p>
      <w:pPr>
        <w:spacing w:after="180" w:before="0" w:line="360"/>
        <w:ind w:firstLine="480"/>
        <w:jc w:val="both"/>
      </w:pPr>
      <w:r>
        <w:rPr>
          <w:rFonts w:ascii="宋体" w:cs="宋体" w:eastAsia="宋体" w:hAnsi="宋体"/>
          <w:sz w:val="22"/>
          <w:szCs w:val="22"/>
        </w:rPr>
        <w:t xml:space="preserve">本报告采用以下五个维度建立模型分类体系：一是算法范式，描述模型的计算与学习机制；二是输入数据模态，描述模型可接受和产生的数据类型；三是业务任务角色，描述模型在感知、认知、决策、协同和评估中的作用；四是部署运行方式，描述模型适配的推理后端与节点位置；五是任务时效与关键性，描述模型对时延、可靠性、人工复核和降级策略的要求。</w:t>
      </w:r>
    </w:p>
    <w:p>
      <w:pPr>
        <w:spacing w:after="100" w:before="120"/>
        <w:jc w:val="center"/>
      </w:pPr>
      <w:r>
        <w:rPr>
          <w:rFonts w:ascii="宋体" w:cs="宋体" w:eastAsia="宋体" w:hAnsi="宋体"/>
          <w:b/>
          <w:bCs/>
          <w:sz w:val="20"/>
          <w:szCs w:val="20"/>
        </w:rPr>
        <w:t xml:space="preserve">表4-1  模型分类维度</w:t>
      </w:r>
    </w:p>
    <w:tbl>
      <w:tblPr>
        <w:tblW w:type="dxa" w:w="9026"/>
        <w:tblBorders>
          <w:top w:val="single" w:color="A6A6A6" w:sz="4"/>
          <w:left w:val="single" w:color="A6A6A6" w:sz="4"/>
          <w:bottom w:val="single" w:color="A6A6A6" w:sz="4"/>
          <w:right w:val="single" w:color="A6A6A6" w:sz="4"/>
          <w:insideH w:val="single" w:color="A6A6A6" w:sz="4"/>
          <w:insideV w:val="single" w:color="A6A6A6" w:sz="4"/>
        </w:tblBorders>
      </w:tblPr>
      <w:tblGrid>
        <w:gridCol w:w="1900"/>
        <w:gridCol w:w="4300"/>
        <w:gridCol w:w="2826"/>
      </w:tblGrid>
      <w:tr>
        <w:tc>
          <w:tcPr>
            <w:tcW w:type="dxa" w:w="1900"/>
            <w:tcBorders>
              <w:top w:val="single" w:color="A6A6A6" w:sz="4"/>
              <w:left w:val="single" w:color="A6A6A6" w:sz="4"/>
              <w:bottom w:val="single" w:color="A6A6A6" w:sz="4"/>
              <w:right w:val="single" w:color="A6A6A6" w:sz="4"/>
            </w:tcBorders>
            <w:shd w:fill="D9EAF7" w:val="clear"/>
            <w:tcMar>
              <w:top w:type="dxa" w:w="75"/>
              <w:left w:type="dxa" w:w="90"/>
              <w:bottom w:type="dxa" w:w="75"/>
              <w:right w:type="dxa" w:w="90"/>
            </w:tcMar>
            <w:vAlign w:val="center"/>
          </w:tcPr>
          <w:p>
            <w:pPr>
              <w:jc w:val="center"/>
              <w:spacing w:after="0" w:line="250"/>
            </w:pPr>
            <w:r>
              <w:rPr>
                <w:rFonts w:ascii="宋体" w:cs="宋体" w:eastAsia="宋体" w:hAnsi="宋体"/>
                <w:b/>
                <w:bCs/>
                <w:sz w:val="16"/>
                <w:szCs w:val="16"/>
              </w:rPr>
              <w:t xml:space="preserve">分类维度</w:t>
            </w:r>
          </w:p>
        </w:tc>
        <w:tc>
          <w:tcPr>
            <w:tcW w:type="dxa" w:w="4300"/>
            <w:tcBorders>
              <w:top w:val="single" w:color="A6A6A6" w:sz="4"/>
              <w:left w:val="single" w:color="A6A6A6" w:sz="4"/>
              <w:bottom w:val="single" w:color="A6A6A6" w:sz="4"/>
              <w:right w:val="single" w:color="A6A6A6" w:sz="4"/>
            </w:tcBorders>
            <w:shd w:fill="D9EAF7" w:val="clear"/>
            <w:tcMar>
              <w:top w:type="dxa" w:w="75"/>
              <w:left w:type="dxa" w:w="90"/>
              <w:bottom w:type="dxa" w:w="75"/>
              <w:right w:type="dxa" w:w="90"/>
            </w:tcMar>
            <w:vAlign w:val="center"/>
          </w:tcPr>
          <w:p>
            <w:pPr>
              <w:jc w:val="center"/>
              <w:spacing w:after="0" w:line="250"/>
            </w:pPr>
            <w:r>
              <w:rPr>
                <w:rFonts w:ascii="宋体" w:cs="宋体" w:eastAsia="宋体" w:hAnsi="宋体"/>
                <w:b/>
                <w:bCs/>
                <w:sz w:val="16"/>
                <w:szCs w:val="16"/>
              </w:rPr>
              <w:t xml:space="preserve">主要类别</w:t>
            </w:r>
          </w:p>
        </w:tc>
        <w:tc>
          <w:tcPr>
            <w:tcW w:type="dxa" w:w="2826"/>
            <w:tcBorders>
              <w:top w:val="single" w:color="A6A6A6" w:sz="4"/>
              <w:left w:val="single" w:color="A6A6A6" w:sz="4"/>
              <w:bottom w:val="single" w:color="A6A6A6" w:sz="4"/>
              <w:right w:val="single" w:color="A6A6A6" w:sz="4"/>
            </w:tcBorders>
            <w:shd w:fill="D9EAF7" w:val="clear"/>
            <w:tcMar>
              <w:top w:type="dxa" w:w="75"/>
              <w:left w:type="dxa" w:w="90"/>
              <w:bottom w:type="dxa" w:w="75"/>
              <w:right w:type="dxa" w:w="90"/>
            </w:tcMar>
            <w:vAlign w:val="center"/>
          </w:tcPr>
          <w:p>
            <w:pPr>
              <w:jc w:val="center"/>
              <w:spacing w:after="0" w:line="250"/>
            </w:pPr>
            <w:r>
              <w:rPr>
                <w:rFonts w:ascii="宋体" w:cs="宋体" w:eastAsia="宋体" w:hAnsi="宋体"/>
                <w:b/>
                <w:bCs/>
                <w:sz w:val="16"/>
                <w:szCs w:val="16"/>
              </w:rPr>
              <w:t xml:space="preserve">分类用途</w:t>
            </w:r>
          </w:p>
        </w:tc>
      </w:tr>
      <w:tr>
        <w:tc>
          <w:tcPr>
            <w:tcW w:type="dxa" w:w="19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算法范式</w:t>
            </w:r>
          </w:p>
        </w:tc>
        <w:tc>
          <w:tcPr>
            <w:tcW w:type="dxa" w:w="43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传统机器学习、深度学习、生成与知识增强、智能决策与协同、可信与可解释</w:t>
            </w:r>
          </w:p>
        </w:tc>
        <w:tc>
          <w:tcPr>
            <w:tcW w:type="dxa" w:w="2826"/>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识别算法原理、训练依赖和模型复杂度。</w:t>
            </w:r>
          </w:p>
        </w:tc>
      </w:tr>
      <w:tr>
        <w:tc>
          <w:tcPr>
            <w:tcW w:type="dxa" w:w="19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数据模态</w:t>
            </w:r>
          </w:p>
        </w:tc>
        <w:tc>
          <w:tcPr>
            <w:tcW w:type="dxa" w:w="43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图像/视频、时序航迹、结构化特征、文本/规则、图关系、多模态嵌入、模型参数</w:t>
            </w:r>
          </w:p>
        </w:tc>
        <w:tc>
          <w:tcPr>
            <w:tcW w:type="dxa" w:w="2826"/>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确定数据接入、预处理、带宽和存储要求。</w:t>
            </w:r>
          </w:p>
        </w:tc>
      </w:tr>
      <w:tr>
        <w:tc>
          <w:tcPr>
            <w:tcW w:type="dxa" w:w="19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业务任务角色</w:t>
            </w:r>
          </w:p>
        </w:tc>
        <w:tc>
          <w:tcPr>
            <w:tcW w:type="dxa" w:w="43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感知发现、识别研判、态势跟踪、决策规划、执行协同、效果评估</w:t>
            </w:r>
          </w:p>
        </w:tc>
        <w:tc>
          <w:tcPr>
            <w:tcW w:type="dxa" w:w="2826"/>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明确算法在任务链路中的主/辅作用。</w:t>
            </w:r>
          </w:p>
        </w:tc>
      </w:tr>
      <w:tr>
        <w:tc>
          <w:tcPr>
            <w:tcW w:type="dxa" w:w="19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部署运行方式</w:t>
            </w:r>
          </w:p>
        </w:tc>
        <w:tc>
          <w:tcPr>
            <w:tcW w:type="dxa" w:w="43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ONNX 本地、Python 服务、中心节点、标准节点、边缘节点、组合服务</w:t>
            </w:r>
          </w:p>
        </w:tc>
        <w:tc>
          <w:tcPr>
            <w:tcW w:type="dxa" w:w="2826"/>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确定后端选择、模型缓存和服务依赖。</w:t>
            </w:r>
          </w:p>
        </w:tc>
      </w:tr>
      <w:tr>
        <w:tc>
          <w:tcPr>
            <w:tcW w:type="dxa" w:w="19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时效与关键性</w:t>
            </w:r>
          </w:p>
        </w:tc>
        <w:tc>
          <w:tcPr>
            <w:tcW w:type="dxa" w:w="43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实时、近实时、任务级、离线/批处理；建议、约束、人工复核</w:t>
            </w:r>
          </w:p>
        </w:tc>
        <w:tc>
          <w:tcPr>
            <w:tcW w:type="dxa" w:w="2826"/>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指导超时、重试、降级和人工审查策略。</w:t>
            </w:r>
          </w:p>
        </w:tc>
      </w:tr>
    </w:tbl>
    <w:p>
      <w:pPr>
        <w:pStyle w:val="Heading2"/>
        <w:spacing w:after="160" w:before="200" w:line="360"/>
        <w:outlineLvl w:val="1"/>
      </w:pPr>
      <w:r>
        <w:rPr>
          <w:rFonts w:ascii="黑体" w:cs="黑体" w:eastAsia="黑体" w:hAnsi="黑体"/>
          <w:b/>
          <w:bCs/>
          <w:sz w:val="28"/>
          <w:szCs w:val="28"/>
        </w:rPr>
        <w:t xml:space="preserve">4.2 按算法范式分类</w:t>
      </w:r>
    </w:p>
    <w:p>
      <w:pPr>
        <w:spacing w:after="180" w:before="0" w:line="360"/>
        <w:ind w:firstLine="480"/>
        <w:jc w:val="both"/>
      </w:pPr>
      <w:r>
        <w:rPr>
          <w:rFonts w:ascii="宋体" w:cs="宋体" w:eastAsia="宋体" w:hAnsi="宋体"/>
          <w:sz w:val="22"/>
          <w:szCs w:val="22"/>
        </w:rPr>
        <w:t xml:space="preserve">按算法范式分类可将二十类算法归纳为五组。不同范式在可解释性、训练数据依赖、参数规模、计算开销和适用场景方面存在明显差异，应在算法选择时综合考虑。</w:t>
      </w:r>
    </w:p>
    <w:p>
      <w:pPr>
        <w:spacing w:after="100" w:before="120"/>
        <w:jc w:val="center"/>
      </w:pPr>
      <w:r>
        <w:rPr>
          <w:rFonts w:ascii="宋体" w:cs="宋体" w:eastAsia="宋体" w:hAnsi="宋体"/>
          <w:b/>
          <w:bCs/>
          <w:sz w:val="20"/>
          <w:szCs w:val="20"/>
        </w:rPr>
        <w:t xml:space="preserve">表4-2  按算法范式的分类</w:t>
      </w:r>
    </w:p>
    <w:tbl>
      <w:tblPr>
        <w:tblW w:type="dxa" w:w="9026"/>
        <w:tblBorders>
          <w:top w:val="single" w:color="A6A6A6" w:sz="4"/>
          <w:left w:val="single" w:color="A6A6A6" w:sz="4"/>
          <w:bottom w:val="single" w:color="A6A6A6" w:sz="4"/>
          <w:right w:val="single" w:color="A6A6A6" w:sz="4"/>
          <w:insideH w:val="single" w:color="A6A6A6" w:sz="4"/>
          <w:insideV w:val="single" w:color="A6A6A6" w:sz="4"/>
        </w:tblBorders>
      </w:tblPr>
      <w:tblGrid>
        <w:gridCol w:w="2200"/>
        <w:gridCol w:w="3600"/>
        <w:gridCol w:w="3226"/>
      </w:tblGrid>
      <w:tr>
        <w:tc>
          <w:tcPr>
            <w:tcW w:type="dxa" w:w="2200"/>
            <w:tcBorders>
              <w:top w:val="single" w:color="A6A6A6" w:sz="4"/>
              <w:left w:val="single" w:color="A6A6A6" w:sz="4"/>
              <w:bottom w:val="single" w:color="A6A6A6" w:sz="4"/>
              <w:right w:val="single" w:color="A6A6A6" w:sz="4"/>
            </w:tcBorders>
            <w:shd w:fill="D9EAF7" w:val="clear"/>
            <w:tcMar>
              <w:top w:type="dxa" w:w="75"/>
              <w:left w:type="dxa" w:w="90"/>
              <w:bottom w:type="dxa" w:w="75"/>
              <w:right w:type="dxa" w:w="90"/>
            </w:tcMar>
            <w:vAlign w:val="center"/>
          </w:tcPr>
          <w:p>
            <w:pPr>
              <w:jc w:val="center"/>
              <w:spacing w:after="0" w:line="250"/>
            </w:pPr>
            <w:r>
              <w:rPr>
                <w:rFonts w:ascii="宋体" w:cs="宋体" w:eastAsia="宋体" w:hAnsi="宋体"/>
                <w:b/>
                <w:bCs/>
                <w:sz w:val="16"/>
                <w:szCs w:val="16"/>
              </w:rPr>
              <w:t xml:space="preserve">类别</w:t>
            </w:r>
          </w:p>
        </w:tc>
        <w:tc>
          <w:tcPr>
            <w:tcW w:type="dxa" w:w="3600"/>
            <w:tcBorders>
              <w:top w:val="single" w:color="A6A6A6" w:sz="4"/>
              <w:left w:val="single" w:color="A6A6A6" w:sz="4"/>
              <w:bottom w:val="single" w:color="A6A6A6" w:sz="4"/>
              <w:right w:val="single" w:color="A6A6A6" w:sz="4"/>
            </w:tcBorders>
            <w:shd w:fill="D9EAF7" w:val="clear"/>
            <w:tcMar>
              <w:top w:type="dxa" w:w="75"/>
              <w:left w:type="dxa" w:w="90"/>
              <w:bottom w:type="dxa" w:w="75"/>
              <w:right w:type="dxa" w:w="90"/>
            </w:tcMar>
            <w:vAlign w:val="center"/>
          </w:tcPr>
          <w:p>
            <w:pPr>
              <w:jc w:val="center"/>
              <w:spacing w:after="0" w:line="250"/>
            </w:pPr>
            <w:r>
              <w:rPr>
                <w:rFonts w:ascii="宋体" w:cs="宋体" w:eastAsia="宋体" w:hAnsi="宋体"/>
                <w:b/>
                <w:bCs/>
                <w:sz w:val="16"/>
                <w:szCs w:val="16"/>
              </w:rPr>
              <w:t xml:space="preserve">对应算法</w:t>
            </w:r>
          </w:p>
        </w:tc>
        <w:tc>
          <w:tcPr>
            <w:tcW w:type="dxa" w:w="3226"/>
            <w:tcBorders>
              <w:top w:val="single" w:color="A6A6A6" w:sz="4"/>
              <w:left w:val="single" w:color="A6A6A6" w:sz="4"/>
              <w:bottom w:val="single" w:color="A6A6A6" w:sz="4"/>
              <w:right w:val="single" w:color="A6A6A6" w:sz="4"/>
            </w:tcBorders>
            <w:shd w:fill="D9EAF7" w:val="clear"/>
            <w:tcMar>
              <w:top w:type="dxa" w:w="75"/>
              <w:left w:type="dxa" w:w="90"/>
              <w:bottom w:type="dxa" w:w="75"/>
              <w:right w:type="dxa" w:w="90"/>
            </w:tcMar>
            <w:vAlign w:val="center"/>
          </w:tcPr>
          <w:p>
            <w:pPr>
              <w:jc w:val="center"/>
              <w:spacing w:after="0" w:line="250"/>
            </w:pPr>
            <w:r>
              <w:rPr>
                <w:rFonts w:ascii="宋体" w:cs="宋体" w:eastAsia="宋体" w:hAnsi="宋体"/>
                <w:b/>
                <w:bCs/>
                <w:sz w:val="16"/>
                <w:szCs w:val="16"/>
              </w:rPr>
              <w:t xml:space="preserve">能力特点</w:t>
            </w:r>
          </w:p>
        </w:tc>
      </w:tr>
      <w:tr>
        <w:tc>
          <w:tcPr>
            <w:tcW w:type="dxa" w:w="22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传统机器学习与确定性算法</w:t>
            </w:r>
          </w:p>
        </w:tc>
        <w:tc>
          <w:tcPr>
            <w:tcW w:type="dxa" w:w="36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M01 聚类、M02 关联规则、M03 线性回归、M04 逻辑回归、M05 随机森林、M07 朴素贝叶斯</w:t>
            </w:r>
          </w:p>
        </w:tc>
        <w:tc>
          <w:tcPr>
            <w:tcW w:type="dxa" w:w="3226"/>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以统计学习、树模型、规则或确定性计算为主；通常结构化输入、CPU 可运行、易于解释和快速回退。</w:t>
            </w:r>
          </w:p>
        </w:tc>
      </w:tr>
      <w:tr>
        <w:tc>
          <w:tcPr>
            <w:tcW w:type="dxa" w:w="22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深度学习表征与预测模型</w:t>
            </w:r>
          </w:p>
        </w:tc>
        <w:tc>
          <w:tcPr>
            <w:tcW w:type="dxa" w:w="36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M06 传统神经网络、M14 EDL、M15 多模态融合、M16 时序预测、M17 目标检测、M18 变化检测、M19 多目标跟踪、M20 图神经网络</w:t>
            </w:r>
          </w:p>
        </w:tc>
        <w:tc>
          <w:tcPr>
            <w:tcW w:type="dxa" w:w="3226"/>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以神经网络为主体，适于处理图像、嵌入、序列和图关系；模型规模与算力需求差异较大。</w:t>
            </w:r>
          </w:p>
        </w:tc>
      </w:tr>
      <w:tr>
        <w:tc>
          <w:tcPr>
            <w:tcW w:type="dxa" w:w="22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生成与知识增强模型</w:t>
            </w:r>
          </w:p>
        </w:tc>
        <w:tc>
          <w:tcPr>
            <w:tcW w:type="dxa" w:w="36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M08 条件 GAN、M09 大语言模型、M10 RAG</w:t>
            </w:r>
          </w:p>
        </w:tc>
        <w:tc>
          <w:tcPr>
            <w:tcW w:type="dxa" w:w="3226"/>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用于合成特征、生成解释、检索证据和补充知识上下文；需严格区分生成数据与真实观测。</w:t>
            </w:r>
          </w:p>
        </w:tc>
      </w:tr>
      <w:tr>
        <w:tc>
          <w:tcPr>
            <w:tcW w:type="dxa" w:w="22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智能决策与协同模型</w:t>
            </w:r>
          </w:p>
        </w:tc>
        <w:tc>
          <w:tcPr>
            <w:tcW w:type="dxa" w:w="36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M11 智能体、M12 联邦学习、M13 强化学习</w:t>
            </w:r>
          </w:p>
        </w:tc>
        <w:tc>
          <w:tcPr>
            <w:tcW w:type="dxa" w:w="3226"/>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面向候选方案编排、参数聚合、资源/任务分配和策略优化；常依赖多组件或多节点协作。</w:t>
            </w:r>
          </w:p>
        </w:tc>
      </w:tr>
      <w:tr>
        <w:tc>
          <w:tcPr>
            <w:tcW w:type="dxa" w:w="22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可信与可解释支撑</w:t>
            </w:r>
          </w:p>
        </w:tc>
        <w:tc>
          <w:tcPr>
            <w:tcW w:type="dxa" w:w="36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M14 EDL，同时由 M02 规则、M04 逻辑回归、M05 随机森林提供解释基础</w:t>
            </w:r>
          </w:p>
        </w:tc>
        <w:tc>
          <w:tcPr>
            <w:tcW w:type="dxa" w:w="3226"/>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用于不确定性表达、规则证据、风险概率和特征贡献分析；支撑人工复核与安全约束。</w:t>
            </w:r>
          </w:p>
        </w:tc>
      </w:tr>
    </w:tbl>
    <w:p>
      <w:pPr>
        <w:spacing w:after="180" w:before="0" w:line="360"/>
        <w:ind w:firstLine="480"/>
        <w:jc w:val="both"/>
      </w:pPr>
      <w:r>
        <w:rPr>
          <w:rFonts w:ascii="宋体" w:cs="宋体" w:eastAsia="宋体" w:hAnsi="宋体"/>
          <w:sz w:val="22"/>
          <w:szCs w:val="22"/>
        </w:rPr>
        <w:t xml:space="preserve">传统机器学习与确定性算法适合在资源受限节点提供可解释的基础能力。例如，线性回归可快速完成短时航迹外推，随机森林可对结构化威胁特征进行优先级分类，关联规则可提供可追溯的规则匹配依据。其局限在于对复杂高维原始数据和快速变化态势的表征能力有限。</w:t>
      </w:r>
    </w:p>
    <w:p>
      <w:pPr>
        <w:spacing w:after="180" w:before="0" w:line="360"/>
        <w:ind w:firstLine="480"/>
        <w:jc w:val="both"/>
      </w:pPr>
      <w:r>
        <w:rPr>
          <w:rFonts w:ascii="宋体" w:cs="宋体" w:eastAsia="宋体" w:hAnsi="宋体"/>
          <w:sz w:val="22"/>
          <w:szCs w:val="22"/>
        </w:rPr>
        <w:t xml:space="preserve">深度学习模型覆盖从视觉感知到图关系推理的核心智能能力。实时目标检测、变化检测和多目标跟踪直接面向图像或视频数据；多模态融合、SupCon 分类和图神经网络面向嵌入、轨迹和关系结构；EDL 在分类/验证结果上增加不确定性量化。该类模型应通过训练数据、模型版本、输入尺度和推理环境共同保证可用性。</w:t>
      </w:r>
    </w:p>
    <w:p>
      <w:pPr>
        <w:spacing w:after="180" w:before="0" w:line="360"/>
        <w:ind w:firstLine="480"/>
        <w:jc w:val="both"/>
      </w:pPr>
      <w:r>
        <w:rPr>
          <w:rFonts w:ascii="宋体" w:cs="宋体" w:eastAsia="宋体" w:hAnsi="宋体"/>
          <w:sz w:val="22"/>
          <w:szCs w:val="22"/>
        </w:rPr>
        <w:t xml:space="preserve">生成与知识增强模型不应替代真实传感器观测或最终授权决策。条件 GAN 生成的表格特征仅适用于开发、增强与仿真；RAG 的作用是提供知识证据和实体关联；大语言模型的作用是将规则或结构化结论转化为可读解释。对于含生成内容的输出，应保留来源、版本、提示/检索上下文和人工审查标记。</w:t>
      </w:r>
    </w:p>
    <w:p>
      <w:pPr>
        <w:pStyle w:val="Heading2"/>
        <w:spacing w:after="160" w:before="200" w:line="360"/>
        <w:outlineLvl w:val="1"/>
      </w:pPr>
      <w:r>
        <w:rPr>
          <w:rFonts w:ascii="黑体" w:cs="黑体" w:eastAsia="黑体" w:hAnsi="黑体"/>
          <w:b/>
          <w:bCs/>
          <w:sz w:val="28"/>
          <w:szCs w:val="28"/>
        </w:rPr>
        <w:t xml:space="preserve">4.3 按输入数据模态分类</w:t>
      </w:r>
    </w:p>
    <w:p>
      <w:pPr>
        <w:spacing w:after="180" w:before="0" w:line="360"/>
        <w:ind w:firstLine="480"/>
        <w:jc w:val="both"/>
      </w:pPr>
      <w:r>
        <w:rPr>
          <w:rFonts w:ascii="宋体" w:cs="宋体" w:eastAsia="宋体" w:hAnsi="宋体"/>
          <w:sz w:val="22"/>
          <w:szCs w:val="22"/>
        </w:rPr>
        <w:t xml:space="preserve">算法库通过 SensorFrame、SensorBatch 及统一结构化请求承接数据。当前 Agent 数据契约已明确 EO/IR、SAR、雷达、声学、文本报告和遥测等传感器模态；算法服务侧通常将原始数据、特征、航迹、规则或模型权重包装为结构化 JSON。模型分类时应同时说明原始模态和实际推理输入形态，避免将“支持某类传感器”与“可直接处理原始数据”混为一谈。</w:t>
      </w:r>
    </w:p>
    <w:p>
      <w:pPr>
        <w:spacing w:after="100" w:before="120"/>
        <w:jc w:val="center"/>
      </w:pPr>
      <w:r>
        <w:rPr>
          <w:rFonts w:ascii="宋体" w:cs="宋体" w:eastAsia="宋体" w:hAnsi="宋体"/>
          <w:b/>
          <w:bCs/>
          <w:sz w:val="20"/>
          <w:szCs w:val="20"/>
        </w:rPr>
        <w:t xml:space="preserve">表4-3  按输入数据模态的分类</w:t>
      </w:r>
    </w:p>
    <w:tbl>
      <w:tblPr>
        <w:tblW w:type="dxa" w:w="9026"/>
        <w:tblBorders>
          <w:top w:val="single" w:color="A6A6A6" w:sz="4"/>
          <w:left w:val="single" w:color="A6A6A6" w:sz="4"/>
          <w:bottom w:val="single" w:color="A6A6A6" w:sz="4"/>
          <w:right w:val="single" w:color="A6A6A6" w:sz="4"/>
          <w:insideH w:val="single" w:color="A6A6A6" w:sz="4"/>
          <w:insideV w:val="single" w:color="A6A6A6" w:sz="4"/>
        </w:tblBorders>
      </w:tblPr>
      <w:tblGrid>
        <w:gridCol w:w="2100"/>
        <w:gridCol w:w="2700"/>
        <w:gridCol w:w="4226"/>
      </w:tblGrid>
      <w:tr>
        <w:tc>
          <w:tcPr>
            <w:tcW w:type="dxa" w:w="2100"/>
            <w:tcBorders>
              <w:top w:val="single" w:color="A6A6A6" w:sz="4"/>
              <w:left w:val="single" w:color="A6A6A6" w:sz="4"/>
              <w:bottom w:val="single" w:color="A6A6A6" w:sz="4"/>
              <w:right w:val="single" w:color="A6A6A6" w:sz="4"/>
            </w:tcBorders>
            <w:shd w:fill="D9EAF7" w:val="clear"/>
            <w:tcMar>
              <w:top w:type="dxa" w:w="75"/>
              <w:left w:type="dxa" w:w="90"/>
              <w:bottom w:type="dxa" w:w="75"/>
              <w:right w:type="dxa" w:w="90"/>
            </w:tcMar>
            <w:vAlign w:val="center"/>
          </w:tcPr>
          <w:p>
            <w:pPr>
              <w:jc w:val="center"/>
              <w:spacing w:after="0" w:line="250"/>
            </w:pPr>
            <w:r>
              <w:rPr>
                <w:rFonts w:ascii="宋体" w:cs="宋体" w:eastAsia="宋体" w:hAnsi="宋体"/>
                <w:b/>
                <w:bCs/>
                <w:sz w:val="16"/>
                <w:szCs w:val="16"/>
              </w:rPr>
              <w:t xml:space="preserve">数据模态</w:t>
            </w:r>
          </w:p>
        </w:tc>
        <w:tc>
          <w:tcPr>
            <w:tcW w:type="dxa" w:w="2700"/>
            <w:tcBorders>
              <w:top w:val="single" w:color="A6A6A6" w:sz="4"/>
              <w:left w:val="single" w:color="A6A6A6" w:sz="4"/>
              <w:bottom w:val="single" w:color="A6A6A6" w:sz="4"/>
              <w:right w:val="single" w:color="A6A6A6" w:sz="4"/>
            </w:tcBorders>
            <w:shd w:fill="D9EAF7" w:val="clear"/>
            <w:tcMar>
              <w:top w:type="dxa" w:w="75"/>
              <w:left w:type="dxa" w:w="90"/>
              <w:bottom w:type="dxa" w:w="75"/>
              <w:right w:type="dxa" w:w="90"/>
            </w:tcMar>
            <w:vAlign w:val="center"/>
          </w:tcPr>
          <w:p>
            <w:pPr>
              <w:jc w:val="center"/>
              <w:spacing w:after="0" w:line="250"/>
            </w:pPr>
            <w:r>
              <w:rPr>
                <w:rFonts w:ascii="宋体" w:cs="宋体" w:eastAsia="宋体" w:hAnsi="宋体"/>
                <w:b/>
                <w:bCs/>
                <w:sz w:val="16"/>
                <w:szCs w:val="16"/>
              </w:rPr>
              <w:t xml:space="preserve">代表算法</w:t>
            </w:r>
          </w:p>
        </w:tc>
        <w:tc>
          <w:tcPr>
            <w:tcW w:type="dxa" w:w="4226"/>
            <w:tcBorders>
              <w:top w:val="single" w:color="A6A6A6" w:sz="4"/>
              <w:left w:val="single" w:color="A6A6A6" w:sz="4"/>
              <w:bottom w:val="single" w:color="A6A6A6" w:sz="4"/>
              <w:right w:val="single" w:color="A6A6A6" w:sz="4"/>
            </w:tcBorders>
            <w:shd w:fill="D9EAF7" w:val="clear"/>
            <w:tcMar>
              <w:top w:type="dxa" w:w="75"/>
              <w:left w:type="dxa" w:w="90"/>
              <w:bottom w:type="dxa" w:w="75"/>
              <w:right w:type="dxa" w:w="90"/>
            </w:tcMar>
            <w:vAlign w:val="center"/>
          </w:tcPr>
          <w:p>
            <w:pPr>
              <w:jc w:val="center"/>
              <w:spacing w:after="0" w:line="250"/>
            </w:pPr>
            <w:r>
              <w:rPr>
                <w:rFonts w:ascii="宋体" w:cs="宋体" w:eastAsia="宋体" w:hAnsi="宋体"/>
                <w:b/>
                <w:bCs/>
                <w:sz w:val="16"/>
                <w:szCs w:val="16"/>
              </w:rPr>
              <w:t xml:space="preserve">输入与输出说明</w:t>
            </w:r>
          </w:p>
        </w:tc>
      </w:tr>
      <w:tr>
        <w:tc>
          <w:tcPr>
            <w:tcW w:type="dxa" w:w="21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图像/视频与图像对</w:t>
            </w:r>
          </w:p>
        </w:tc>
        <w:tc>
          <w:tcPr>
            <w:tcW w:type="dxa" w:w="27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M17 RT-DETR 检测；M18 Mask2Former、xBD；M19 MOTR</w:t>
            </w:r>
          </w:p>
        </w:tc>
        <w:tc>
          <w:tcPr>
            <w:tcW w:type="dxa" w:w="4226"/>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EO/IR、SAR 图像帧，或前后时相图像与目标区域；输出检测框、掩码、毁伤评分、航迹。</w:t>
            </w:r>
          </w:p>
        </w:tc>
      </w:tr>
      <w:tr>
        <w:tc>
          <w:tcPr>
            <w:tcW w:type="dxa" w:w="21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结构化数值特征</w:t>
            </w:r>
          </w:p>
        </w:tc>
        <w:tc>
          <w:tcPr>
            <w:tcW w:type="dxa" w:w="27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M01、M02、M03、M04、M05、M07、M08、M12、M13、M14、M16</w:t>
            </w:r>
          </w:p>
        </w:tc>
        <w:tc>
          <w:tcPr>
            <w:tcW w:type="dxa" w:w="4226"/>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目标特征、规则分数、轨迹点、模型权重、状态/动作向量；适于 JSON、CSV、张量等。</w:t>
            </w:r>
          </w:p>
        </w:tc>
      </w:tr>
      <w:tr>
        <w:tc>
          <w:tcPr>
            <w:tcW w:type="dxa" w:w="21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文本、规则与知识文档</w:t>
            </w:r>
          </w:p>
        </w:tc>
        <w:tc>
          <w:tcPr>
            <w:tcW w:type="dxa" w:w="27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M09 LLM、M10 RAG、M11 智能体、M02 规则匹配</w:t>
            </w:r>
          </w:p>
        </w:tc>
        <w:tc>
          <w:tcPr>
            <w:tcW w:type="dxa" w:w="4226"/>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任务文本、实体、交战规则、知识库条目和检索证据；输出解释、实体、证据和方案。</w:t>
            </w:r>
          </w:p>
        </w:tc>
      </w:tr>
      <w:tr>
        <w:tc>
          <w:tcPr>
            <w:tcW w:type="dxa" w:w="21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多模态嵌入与传感器集合</w:t>
            </w:r>
          </w:p>
        </w:tc>
        <w:tc>
          <w:tcPr>
            <w:tcW w:type="dxa" w:w="27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M06 SupCon、M15 Mamba、多模态编码/融合流程</w:t>
            </w:r>
          </w:p>
        </w:tc>
        <w:tc>
          <w:tcPr>
            <w:tcW w:type="dxa" w:w="4226"/>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由图像、雷达、文本、遥测等前置编码得到的向量及其时间顺序；输出融合嵌入和分类结果。</w:t>
            </w:r>
          </w:p>
        </w:tc>
      </w:tr>
      <w:tr>
        <w:tc>
          <w:tcPr>
            <w:tcW w:type="dxa" w:w="21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时序航迹与状态序列</w:t>
            </w:r>
          </w:p>
        </w:tc>
        <w:tc>
          <w:tcPr>
            <w:tcW w:type="dxa" w:w="27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M03、M13、M16、M19、M20</w:t>
            </w:r>
          </w:p>
        </w:tc>
        <w:tc>
          <w:tcPr>
            <w:tcW w:type="dxa" w:w="4226"/>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带时间戳的位置、速度、方向、风险、资源压力或目标关系；输出趋势、分配、持续航迹和图关系。</w:t>
            </w:r>
          </w:p>
        </w:tc>
      </w:tr>
      <w:tr>
        <w:tc>
          <w:tcPr>
            <w:tcW w:type="dxa" w:w="21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图结构与关系数据</w:t>
            </w:r>
          </w:p>
        </w:tc>
        <w:tc>
          <w:tcPr>
            <w:tcW w:type="dxa" w:w="27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M20 图神经网络；M10 知识关联</w:t>
            </w:r>
          </w:p>
        </w:tc>
        <w:tc>
          <w:tcPr>
            <w:tcW w:type="dxa" w:w="4226"/>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节点属性、边关系、编组或实体关系；输出关系边、连通群组、关系摘要。</w:t>
            </w:r>
          </w:p>
        </w:tc>
      </w:tr>
    </w:tbl>
    <w:p>
      <w:pPr>
        <w:spacing w:after="180" w:before="0" w:line="360"/>
        <w:ind w:firstLine="480"/>
        <w:jc w:val="both"/>
      </w:pPr>
      <w:r>
        <w:rPr>
          <w:rFonts w:ascii="宋体" w:cs="宋体" w:eastAsia="宋体" w:hAnsi="宋体"/>
          <w:sz w:val="22"/>
          <w:szCs w:val="22"/>
        </w:rPr>
        <w:t xml:space="preserve">在 Agent 三技能流水线中，感知技能优先接收 EO/IR 或 SAR 视觉帧，依次输出检测、毁伤信息、可信验证结果和航迹；认知技能可接收全模态传感器帧及感知结果，形成嵌入、融合表示、分类、威胁与 RAG 上下文；通信技能将感知与认知结果压缩为语义情报包，并结合订阅 Agent 与干扰等级形成路由信息。这一链路表明，原始数据、特征数据和语义结果在算法库中应具有不同的数据契约与带宽策略。</w:t>
      </w:r>
    </w:p>
    <w:p>
      <w:pPr>
        <w:pStyle w:val="Heading2"/>
        <w:spacing w:after="160" w:before="200" w:line="360"/>
        <w:outlineLvl w:val="1"/>
      </w:pPr>
      <w:r>
        <w:rPr>
          <w:rFonts w:ascii="黑体" w:cs="黑体" w:eastAsia="黑体" w:hAnsi="黑体"/>
          <w:b/>
          <w:bCs/>
          <w:sz w:val="28"/>
          <w:szCs w:val="28"/>
        </w:rPr>
        <w:t xml:space="preserve">4.4 按业务任务角色分类</w:t>
      </w:r>
    </w:p>
    <w:p>
      <w:pPr>
        <w:spacing w:after="180" w:before="0" w:line="360"/>
        <w:ind w:firstLine="480"/>
        <w:jc w:val="both"/>
      </w:pPr>
      <w:r>
        <w:rPr>
          <w:rFonts w:ascii="宋体" w:cs="宋体" w:eastAsia="宋体" w:hAnsi="宋体"/>
          <w:sz w:val="22"/>
          <w:szCs w:val="22"/>
        </w:rPr>
        <w:t xml:space="preserve">从业务任务角色看，二十类算法并非均直接面向单一杀伤链环节。部分模型负责直接产生目标、航迹、风险或毁伤结果，属于主业务能力；部分模型负责提供分类、证据、规则、知识或资源分配支撑，属于辅助能力；联邦学习、生成对抗网络和语义解释等模型还承担模型迭代、仿真数据增强或结果可读化等支撑任务。</w:t>
      </w:r>
    </w:p>
    <w:p>
      <w:pPr>
        <w:spacing w:after="100" w:before="120"/>
        <w:jc w:val="center"/>
      </w:pPr>
      <w:r>
        <w:rPr>
          <w:rFonts w:ascii="宋体" w:cs="宋体" w:eastAsia="宋体" w:hAnsi="宋体"/>
          <w:b/>
          <w:bCs/>
          <w:sz w:val="20"/>
          <w:szCs w:val="20"/>
        </w:rPr>
        <w:t xml:space="preserve">表4-4  按业务任务角色的分类</w:t>
      </w:r>
    </w:p>
    <w:tbl>
      <w:tblPr>
        <w:tblW w:type="dxa" w:w="9026"/>
        <w:tblBorders>
          <w:top w:val="single" w:color="A6A6A6" w:sz="4"/>
          <w:left w:val="single" w:color="A6A6A6" w:sz="4"/>
          <w:bottom w:val="single" w:color="A6A6A6" w:sz="4"/>
          <w:right w:val="single" w:color="A6A6A6" w:sz="4"/>
          <w:insideH w:val="single" w:color="A6A6A6" w:sz="4"/>
          <w:insideV w:val="single" w:color="A6A6A6" w:sz="4"/>
        </w:tblBorders>
      </w:tblPr>
      <w:tblGrid>
        <w:gridCol w:w="2200"/>
        <w:gridCol w:w="3000"/>
        <w:gridCol w:w="3826"/>
      </w:tblGrid>
      <w:tr>
        <w:tc>
          <w:tcPr>
            <w:tcW w:type="dxa" w:w="2200"/>
            <w:tcBorders>
              <w:top w:val="single" w:color="A6A6A6" w:sz="4"/>
              <w:left w:val="single" w:color="A6A6A6" w:sz="4"/>
              <w:bottom w:val="single" w:color="A6A6A6" w:sz="4"/>
              <w:right w:val="single" w:color="A6A6A6" w:sz="4"/>
            </w:tcBorders>
            <w:shd w:fill="D9EAF7" w:val="clear"/>
            <w:tcMar>
              <w:top w:type="dxa" w:w="75"/>
              <w:left w:type="dxa" w:w="90"/>
              <w:bottom w:type="dxa" w:w="75"/>
              <w:right w:type="dxa" w:w="90"/>
            </w:tcMar>
            <w:vAlign w:val="center"/>
          </w:tcPr>
          <w:p>
            <w:pPr>
              <w:jc w:val="center"/>
              <w:spacing w:after="0" w:line="250"/>
            </w:pPr>
            <w:r>
              <w:rPr>
                <w:rFonts w:ascii="宋体" w:cs="宋体" w:eastAsia="宋体" w:hAnsi="宋体"/>
                <w:b/>
                <w:bCs/>
                <w:sz w:val="16"/>
                <w:szCs w:val="16"/>
              </w:rPr>
              <w:t xml:space="preserve">业务角色</w:t>
            </w:r>
          </w:p>
        </w:tc>
        <w:tc>
          <w:tcPr>
            <w:tcW w:type="dxa" w:w="3000"/>
            <w:tcBorders>
              <w:top w:val="single" w:color="A6A6A6" w:sz="4"/>
              <w:left w:val="single" w:color="A6A6A6" w:sz="4"/>
              <w:bottom w:val="single" w:color="A6A6A6" w:sz="4"/>
              <w:right w:val="single" w:color="A6A6A6" w:sz="4"/>
            </w:tcBorders>
            <w:shd w:fill="D9EAF7" w:val="clear"/>
            <w:tcMar>
              <w:top w:type="dxa" w:w="75"/>
              <w:left w:type="dxa" w:w="90"/>
              <w:bottom w:type="dxa" w:w="75"/>
              <w:right w:type="dxa" w:w="90"/>
            </w:tcMar>
            <w:vAlign w:val="center"/>
          </w:tcPr>
          <w:p>
            <w:pPr>
              <w:jc w:val="center"/>
              <w:spacing w:after="0" w:line="250"/>
            </w:pPr>
            <w:r>
              <w:rPr>
                <w:rFonts w:ascii="宋体" w:cs="宋体" w:eastAsia="宋体" w:hAnsi="宋体"/>
                <w:b/>
                <w:bCs/>
                <w:sz w:val="16"/>
                <w:szCs w:val="16"/>
              </w:rPr>
              <w:t xml:space="preserve">对应算法</w:t>
            </w:r>
          </w:p>
        </w:tc>
        <w:tc>
          <w:tcPr>
            <w:tcW w:type="dxa" w:w="3826"/>
            <w:tcBorders>
              <w:top w:val="single" w:color="A6A6A6" w:sz="4"/>
              <w:left w:val="single" w:color="A6A6A6" w:sz="4"/>
              <w:bottom w:val="single" w:color="A6A6A6" w:sz="4"/>
              <w:right w:val="single" w:color="A6A6A6" w:sz="4"/>
            </w:tcBorders>
            <w:shd w:fill="D9EAF7" w:val="clear"/>
            <w:tcMar>
              <w:top w:type="dxa" w:w="75"/>
              <w:left w:type="dxa" w:w="90"/>
              <w:bottom w:type="dxa" w:w="75"/>
              <w:right w:type="dxa" w:w="90"/>
            </w:tcMar>
            <w:vAlign w:val="center"/>
          </w:tcPr>
          <w:p>
            <w:pPr>
              <w:jc w:val="center"/>
              <w:spacing w:after="0" w:line="250"/>
            </w:pPr>
            <w:r>
              <w:rPr>
                <w:rFonts w:ascii="宋体" w:cs="宋体" w:eastAsia="宋体" w:hAnsi="宋体"/>
                <w:b/>
                <w:bCs/>
                <w:sz w:val="16"/>
                <w:szCs w:val="16"/>
              </w:rPr>
              <w:t xml:space="preserve">主要产出</w:t>
            </w:r>
          </w:p>
        </w:tc>
      </w:tr>
      <w:tr>
        <w:tc>
          <w:tcPr>
            <w:tcW w:type="dxa" w:w="22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感知发现与变化评估</w:t>
            </w:r>
          </w:p>
        </w:tc>
        <w:tc>
          <w:tcPr>
            <w:tcW w:type="dxa" w:w="30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M17、M18、M14</w:t>
            </w:r>
          </w:p>
        </w:tc>
        <w:tc>
          <w:tcPr>
            <w:tcW w:type="dxa" w:w="3826"/>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目标发现、前后时相变化、毁伤判断、检测可信验证；输出结构化检测与不确定性信息。</w:t>
            </w:r>
          </w:p>
        </w:tc>
      </w:tr>
      <w:tr>
        <w:tc>
          <w:tcPr>
            <w:tcW w:type="dxa" w:w="22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识别、分类与威胁研判</w:t>
            </w:r>
          </w:p>
        </w:tc>
        <w:tc>
          <w:tcPr>
            <w:tcW w:type="dxa" w:w="30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M05、M06、M07、M10、M15、M20</w:t>
            </w:r>
          </w:p>
        </w:tc>
        <w:tc>
          <w:tcPr>
            <w:tcW w:type="dxa" w:w="3826"/>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目标类别/身份、威胁优先级、关系群组、知识证据和多模态表征。</w:t>
            </w:r>
          </w:p>
        </w:tc>
      </w:tr>
      <w:tr>
        <w:tc>
          <w:tcPr>
            <w:tcW w:type="dxa" w:w="22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航迹维护与态势预测</w:t>
            </w:r>
          </w:p>
        </w:tc>
        <w:tc>
          <w:tcPr>
            <w:tcW w:type="dxa" w:w="30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M01、M03、M16、M19、M20</w:t>
            </w:r>
          </w:p>
        </w:tc>
        <w:tc>
          <w:tcPr>
            <w:tcW w:type="dxa" w:w="3826"/>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观测归并、轨迹外推、趋势评分、持续跟踪和目标关系建模。</w:t>
            </w:r>
          </w:p>
        </w:tc>
      </w:tr>
      <w:tr>
        <w:tc>
          <w:tcPr>
            <w:tcW w:type="dxa" w:w="22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决策规划与规则约束</w:t>
            </w:r>
          </w:p>
        </w:tc>
        <w:tc>
          <w:tcPr>
            <w:tcW w:type="dxa" w:w="30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M02、M04、M09、M11、M13</w:t>
            </w:r>
          </w:p>
        </w:tc>
        <w:tc>
          <w:tcPr>
            <w:tcW w:type="dxa" w:w="3826"/>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规则匹配、风险/方案评分、解释生成、候选方案编排、资源分配与再攻击规划。</w:t>
            </w:r>
          </w:p>
        </w:tc>
      </w:tr>
      <w:tr>
        <w:tc>
          <w:tcPr>
            <w:tcW w:type="dxa" w:w="22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协同通信与模型演进</w:t>
            </w:r>
          </w:p>
        </w:tc>
        <w:tc>
          <w:tcPr>
            <w:tcW w:type="dxa" w:w="30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M08、M12、M13，以及语义通信/动态路由扩展能力</w:t>
            </w:r>
          </w:p>
        </w:tc>
        <w:tc>
          <w:tcPr>
            <w:tcW w:type="dxa" w:w="3826"/>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模拟数据生成、联邦参数聚合、多主体调度、语义压缩与抗干扰路由。</w:t>
            </w:r>
          </w:p>
        </w:tc>
      </w:tr>
      <w:tr>
        <w:tc>
          <w:tcPr>
            <w:tcW w:type="dxa" w:w="22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可信评估与人工复核</w:t>
            </w:r>
          </w:p>
        </w:tc>
        <w:tc>
          <w:tcPr>
            <w:tcW w:type="dxa" w:w="30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M02、M04、M05、M09、M14</w:t>
            </w:r>
          </w:p>
        </w:tc>
        <w:tc>
          <w:tcPr>
            <w:tcW w:type="dxa" w:w="3826"/>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规则证据、风险概率、树模型分类、不确定性与自然语言说明，支撑人工审查。</w:t>
            </w:r>
          </w:p>
        </w:tc>
      </w:tr>
    </w:tbl>
    <w:p>
      <w:pPr>
        <w:spacing w:after="180" w:before="0" w:line="360"/>
        <w:ind w:firstLine="480"/>
        <w:jc w:val="both"/>
      </w:pPr>
      <w:r>
        <w:rPr>
          <w:rFonts w:ascii="宋体" w:cs="宋体" w:eastAsia="宋体" w:hAnsi="宋体"/>
          <w:sz w:val="22"/>
          <w:szCs w:val="22"/>
        </w:rPr>
        <w:t xml:space="preserve">感知、认知和通信三类技能已在现有 Agent 中形成局部处理流水线：感知阶段将检测、变化检测、EDL 验证、跟踪和调度串联；认知阶段将编码、融合、分类和 RAG 串联；通信阶段对结果进行语义压缩与动态路由。算法库应保持各算法的独立可调用性，同时允许上层 Agent 以固定或动态编排方式形成复合能力。</w:t>
      </w:r>
    </w:p>
    <w:p>
      <w:pPr>
        <w:pStyle w:val="Heading2"/>
        <w:spacing w:after="160" w:before="200" w:line="360"/>
        <w:outlineLvl w:val="1"/>
      </w:pPr>
      <w:r>
        <w:rPr>
          <w:rFonts w:ascii="黑体" w:cs="黑体" w:eastAsia="黑体" w:hAnsi="黑体"/>
          <w:b/>
          <w:bCs/>
          <w:sz w:val="28"/>
          <w:szCs w:val="28"/>
        </w:rPr>
        <w:t xml:space="preserve">4.5 按部署运行方式分类</w:t>
      </w:r>
    </w:p>
    <w:p>
      <w:pPr>
        <w:spacing w:after="180" w:before="0" w:line="360"/>
        <w:ind w:firstLine="480"/>
        <w:jc w:val="both"/>
      </w:pPr>
      <w:r>
        <w:rPr>
          <w:rFonts w:ascii="宋体" w:cs="宋体" w:eastAsia="宋体" w:hAnsi="宋体"/>
          <w:sz w:val="22"/>
          <w:szCs w:val="22"/>
        </w:rPr>
        <w:t xml:space="preserve">按部署方式分类的核心是识别算法对本地算力、网络连通性、运行依赖和模型分发的要求。算法库当前支持 ONNX 本地推理和 Python HTTP 服务两种主后端；在系统部署上可进一步划分为轻量边缘节点、标准算力节点和中心受控服务节点。</w:t>
      </w:r>
    </w:p>
    <w:p>
      <w:pPr>
        <w:spacing w:after="100" w:before="120"/>
        <w:jc w:val="center"/>
      </w:pPr>
      <w:r>
        <w:rPr>
          <w:rFonts w:ascii="宋体" w:cs="宋体" w:eastAsia="宋体" w:hAnsi="宋体"/>
          <w:b/>
          <w:bCs/>
          <w:sz w:val="20"/>
          <w:szCs w:val="20"/>
        </w:rPr>
        <w:t xml:space="preserve">表4-5  按部署运行方式的分类</w:t>
      </w:r>
    </w:p>
    <w:tbl>
      <w:tblPr>
        <w:tblW w:type="dxa" w:w="9026"/>
        <w:tblBorders>
          <w:top w:val="single" w:color="A6A6A6" w:sz="4"/>
          <w:left w:val="single" w:color="A6A6A6" w:sz="4"/>
          <w:bottom w:val="single" w:color="A6A6A6" w:sz="4"/>
          <w:right w:val="single" w:color="A6A6A6" w:sz="4"/>
          <w:insideH w:val="single" w:color="A6A6A6" w:sz="4"/>
          <w:insideV w:val="single" w:color="A6A6A6" w:sz="4"/>
        </w:tblBorders>
      </w:tblPr>
      <w:tblGrid>
        <w:gridCol w:w="1900"/>
        <w:gridCol w:w="1900"/>
        <w:gridCol w:w="3200"/>
        <w:gridCol w:w="2026"/>
      </w:tblGrid>
      <w:tr>
        <w:tc>
          <w:tcPr>
            <w:tcW w:type="dxa" w:w="1900"/>
            <w:tcBorders>
              <w:top w:val="single" w:color="A6A6A6" w:sz="4"/>
              <w:left w:val="single" w:color="A6A6A6" w:sz="4"/>
              <w:bottom w:val="single" w:color="A6A6A6" w:sz="4"/>
              <w:right w:val="single" w:color="A6A6A6" w:sz="4"/>
            </w:tcBorders>
            <w:shd w:fill="D9EAF7" w:val="clear"/>
            <w:tcMar>
              <w:top w:type="dxa" w:w="75"/>
              <w:left w:type="dxa" w:w="90"/>
              <w:bottom w:type="dxa" w:w="75"/>
              <w:right w:type="dxa" w:w="90"/>
            </w:tcMar>
            <w:vAlign w:val="center"/>
          </w:tcPr>
          <w:p>
            <w:pPr>
              <w:jc w:val="center"/>
              <w:spacing w:after="0" w:line="250"/>
            </w:pPr>
            <w:r>
              <w:rPr>
                <w:rFonts w:ascii="宋体" w:cs="宋体" w:eastAsia="宋体" w:hAnsi="宋体"/>
                <w:b/>
                <w:bCs/>
                <w:sz w:val="16"/>
                <w:szCs w:val="16"/>
              </w:rPr>
              <w:t xml:space="preserve">部署类别</w:t>
            </w:r>
          </w:p>
        </w:tc>
        <w:tc>
          <w:tcPr>
            <w:tcW w:type="dxa" w:w="1900"/>
            <w:tcBorders>
              <w:top w:val="single" w:color="A6A6A6" w:sz="4"/>
              <w:left w:val="single" w:color="A6A6A6" w:sz="4"/>
              <w:bottom w:val="single" w:color="A6A6A6" w:sz="4"/>
              <w:right w:val="single" w:color="A6A6A6" w:sz="4"/>
            </w:tcBorders>
            <w:shd w:fill="D9EAF7" w:val="clear"/>
            <w:tcMar>
              <w:top w:type="dxa" w:w="75"/>
              <w:left w:type="dxa" w:w="90"/>
              <w:bottom w:type="dxa" w:w="75"/>
              <w:right w:type="dxa" w:w="90"/>
            </w:tcMar>
            <w:vAlign w:val="center"/>
          </w:tcPr>
          <w:p>
            <w:pPr>
              <w:jc w:val="center"/>
              <w:spacing w:after="0" w:line="250"/>
            </w:pPr>
            <w:r>
              <w:rPr>
                <w:rFonts w:ascii="宋体" w:cs="宋体" w:eastAsia="宋体" w:hAnsi="宋体"/>
                <w:b/>
                <w:bCs/>
                <w:sz w:val="16"/>
                <w:szCs w:val="16"/>
              </w:rPr>
              <w:t xml:space="preserve">后端/资源</w:t>
            </w:r>
          </w:p>
        </w:tc>
        <w:tc>
          <w:tcPr>
            <w:tcW w:type="dxa" w:w="3200"/>
            <w:tcBorders>
              <w:top w:val="single" w:color="A6A6A6" w:sz="4"/>
              <w:left w:val="single" w:color="A6A6A6" w:sz="4"/>
              <w:bottom w:val="single" w:color="A6A6A6" w:sz="4"/>
              <w:right w:val="single" w:color="A6A6A6" w:sz="4"/>
            </w:tcBorders>
            <w:shd w:fill="D9EAF7" w:val="clear"/>
            <w:tcMar>
              <w:top w:type="dxa" w:w="75"/>
              <w:left w:type="dxa" w:w="90"/>
              <w:bottom w:type="dxa" w:w="75"/>
              <w:right w:type="dxa" w:w="90"/>
            </w:tcMar>
            <w:vAlign w:val="center"/>
          </w:tcPr>
          <w:p>
            <w:pPr>
              <w:jc w:val="center"/>
              <w:spacing w:after="0" w:line="250"/>
            </w:pPr>
            <w:r>
              <w:rPr>
                <w:rFonts w:ascii="宋体" w:cs="宋体" w:eastAsia="宋体" w:hAnsi="宋体"/>
                <w:b/>
                <w:bCs/>
                <w:sz w:val="16"/>
                <w:szCs w:val="16"/>
              </w:rPr>
              <w:t xml:space="preserve">代表算法</w:t>
            </w:r>
          </w:p>
        </w:tc>
        <w:tc>
          <w:tcPr>
            <w:tcW w:type="dxa" w:w="2026"/>
            <w:tcBorders>
              <w:top w:val="single" w:color="A6A6A6" w:sz="4"/>
              <w:left w:val="single" w:color="A6A6A6" w:sz="4"/>
              <w:bottom w:val="single" w:color="A6A6A6" w:sz="4"/>
              <w:right w:val="single" w:color="A6A6A6" w:sz="4"/>
            </w:tcBorders>
            <w:shd w:fill="D9EAF7" w:val="clear"/>
            <w:tcMar>
              <w:top w:type="dxa" w:w="75"/>
              <w:left w:type="dxa" w:w="90"/>
              <w:bottom w:type="dxa" w:w="75"/>
              <w:right w:type="dxa" w:w="90"/>
            </w:tcMar>
            <w:vAlign w:val="center"/>
          </w:tcPr>
          <w:p>
            <w:pPr>
              <w:jc w:val="center"/>
              <w:spacing w:after="0" w:line="250"/>
            </w:pPr>
            <w:r>
              <w:rPr>
                <w:rFonts w:ascii="宋体" w:cs="宋体" w:eastAsia="宋体" w:hAnsi="宋体"/>
                <w:b/>
                <w:bCs/>
                <w:sz w:val="16"/>
                <w:szCs w:val="16"/>
              </w:rPr>
              <w:t xml:space="preserve">部署特点</w:t>
            </w:r>
          </w:p>
        </w:tc>
      </w:tr>
      <w:tr>
        <w:tc>
          <w:tcPr>
            <w:tcW w:type="dxa" w:w="19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轻量边缘本地推理</w:t>
            </w:r>
          </w:p>
        </w:tc>
        <w:tc>
          <w:tcPr>
            <w:tcW w:type="dxa" w:w="19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ONNX / CPU</w:t>
            </w:r>
          </w:p>
        </w:tc>
        <w:tc>
          <w:tcPr>
            <w:tcW w:type="dxa" w:w="32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M04、M05 ONNX、M06 ONNX、M07 ONNX、M08 ONNX、M13 ONNX、M14 ONNX、M15 ONNX、M16、M20 ONNX</w:t>
            </w:r>
          </w:p>
        </w:tc>
        <w:tc>
          <w:tcPr>
            <w:tcW w:type="dxa" w:w="2026"/>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低时延、弱网络依赖；适合结构稳定、输入已规范化的模型。</w:t>
            </w:r>
          </w:p>
        </w:tc>
      </w:tr>
      <w:tr>
        <w:tc>
          <w:tcPr>
            <w:tcW w:type="dxa" w:w="19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轻量服务/CPU 算法</w:t>
            </w:r>
          </w:p>
        </w:tc>
        <w:tc>
          <w:tcPr>
            <w:tcW w:type="dxa" w:w="19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Python HTTP / CPU</w:t>
            </w:r>
          </w:p>
        </w:tc>
        <w:tc>
          <w:tcPr>
            <w:tcW w:type="dxa" w:w="32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M01、M02、M03、M05、M07、M12 等</w:t>
            </w:r>
          </w:p>
        </w:tc>
        <w:tc>
          <w:tcPr>
            <w:tcW w:type="dxa" w:w="2026"/>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便于规则、统计模型和聚合逻辑迭代；主要受请求规模与并发影响。</w:t>
            </w:r>
          </w:p>
        </w:tc>
      </w:tr>
      <w:tr>
        <w:tc>
          <w:tcPr>
            <w:tcW w:type="dxa" w:w="19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标准算力服务节点</w:t>
            </w:r>
          </w:p>
        </w:tc>
        <w:tc>
          <w:tcPr>
            <w:tcW w:type="dxa" w:w="19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Python HTTP / 可选 GPU</w:t>
            </w:r>
          </w:p>
        </w:tc>
        <w:tc>
          <w:tcPr>
            <w:tcW w:type="dxa" w:w="32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M06、M13、M14、M15、M20</w:t>
            </w:r>
          </w:p>
        </w:tc>
        <w:tc>
          <w:tcPr>
            <w:tcW w:type="dxa" w:w="2026"/>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适于中小型神经网络和批量推理；可根据负载选择 CPU 或 GPU。</w:t>
            </w:r>
          </w:p>
        </w:tc>
      </w:tr>
      <w:tr>
        <w:tc>
          <w:tcPr>
            <w:tcW w:type="dxa" w:w="19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高算力视觉服务节点</w:t>
            </w:r>
          </w:p>
        </w:tc>
        <w:tc>
          <w:tcPr>
            <w:tcW w:type="dxa" w:w="19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Python HTTP / 推荐 GPU</w:t>
            </w:r>
          </w:p>
        </w:tc>
        <w:tc>
          <w:tcPr>
            <w:tcW w:type="dxa" w:w="32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M17、M18、M19、部分 xBD 模式</w:t>
            </w:r>
          </w:p>
        </w:tc>
        <w:tc>
          <w:tcPr>
            <w:tcW w:type="dxa" w:w="2026"/>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处理图像、视频、分割和深度跟踪；需考虑显存、图像尺寸与并发池。</w:t>
            </w:r>
          </w:p>
        </w:tc>
      </w:tr>
      <w:tr>
        <w:tc>
          <w:tcPr>
            <w:tcW w:type="dxa" w:w="19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中心知识与规划节点</w:t>
            </w:r>
          </w:p>
        </w:tc>
        <w:tc>
          <w:tcPr>
            <w:tcW w:type="dxa" w:w="19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Python HTTP / 高内存或外部服务</w:t>
            </w:r>
          </w:p>
        </w:tc>
        <w:tc>
          <w:tcPr>
            <w:tcW w:type="dxa" w:w="32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M09、M10、M11、M12</w:t>
            </w:r>
          </w:p>
        </w:tc>
        <w:tc>
          <w:tcPr>
            <w:tcW w:type="dxa" w:w="2026"/>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依赖大模型、知识库、向量索引、复杂规则或多客户端参数聚合。</w:t>
            </w:r>
          </w:p>
        </w:tc>
      </w:tr>
    </w:tbl>
    <w:p>
      <w:pPr>
        <w:spacing w:after="180" w:before="0" w:line="360"/>
        <w:ind w:firstLine="480"/>
        <w:jc w:val="both"/>
      </w:pPr>
      <w:r>
        <w:rPr>
          <w:rFonts w:ascii="宋体" w:cs="宋体" w:eastAsia="宋体" w:hAnsi="宋体"/>
          <w:sz w:val="22"/>
          <w:szCs w:val="22"/>
        </w:rPr>
        <w:t xml:space="preserve">对于同时提供 Python 服务版和 ONNX 版的模型，应优先根据任务时延、节点资源、模型版本一致性和服务可达性选择，而不是仅以运行速度作为唯一标准。ONNX 版本适合稳定的特征输入和节点本地快速推理；Python 服务版本适合需要复杂预处理、可解释中间产物、外部依赖或频繁算法迭代的场景。</w:t>
      </w:r>
    </w:p>
    <w:p>
      <w:pPr>
        <w:pStyle w:val="Heading2"/>
        <w:spacing w:after="160" w:before="200" w:line="360"/>
        <w:outlineLvl w:val="1"/>
      </w:pPr>
      <w:r>
        <w:rPr>
          <w:rFonts w:ascii="黑体" w:cs="黑体" w:eastAsia="黑体" w:hAnsi="黑体"/>
          <w:b/>
          <w:bCs/>
          <w:sz w:val="28"/>
          <w:szCs w:val="28"/>
        </w:rPr>
        <w:t xml:space="preserve">4.6 按任务时效与关键性分类</w:t>
      </w:r>
    </w:p>
    <w:p>
      <w:pPr>
        <w:spacing w:after="180" w:before="0" w:line="360"/>
        <w:ind w:firstLine="480"/>
        <w:jc w:val="both"/>
      </w:pPr>
      <w:r>
        <w:rPr>
          <w:rFonts w:ascii="宋体" w:cs="宋体" w:eastAsia="宋体" w:hAnsi="宋体"/>
          <w:sz w:val="22"/>
          <w:szCs w:val="22"/>
        </w:rPr>
        <w:t xml:space="preserve">任务时效分类用于确定超时阈值、缓存策略、重试次数和降级路径。算法卡中已经记录部分 p50/p95 时延和超时配置，但系统级分类还需考虑数据准备、网络传输、模型冷启动、排队和人工复核时间。对于涉及交战规则、目标/威胁确认和高风险输出的模型，结果即使在时效上满足要求，也应遵循人工复核或外部授权边界。</w:t>
      </w:r>
    </w:p>
    <w:p>
      <w:pPr>
        <w:spacing w:after="100" w:before="120"/>
        <w:jc w:val="center"/>
      </w:pPr>
      <w:r>
        <w:rPr>
          <w:rFonts w:ascii="宋体" w:cs="宋体" w:eastAsia="宋体" w:hAnsi="宋体"/>
          <w:b/>
          <w:bCs/>
          <w:sz w:val="20"/>
          <w:szCs w:val="20"/>
        </w:rPr>
        <w:t xml:space="preserve">表4-6  按任务时效与关键性的分类</w:t>
      </w:r>
    </w:p>
    <w:tbl>
      <w:tblPr>
        <w:tblW w:type="dxa" w:w="9026"/>
        <w:tblBorders>
          <w:top w:val="single" w:color="A6A6A6" w:sz="4"/>
          <w:left w:val="single" w:color="A6A6A6" w:sz="4"/>
          <w:bottom w:val="single" w:color="A6A6A6" w:sz="4"/>
          <w:right w:val="single" w:color="A6A6A6" w:sz="4"/>
          <w:insideH w:val="single" w:color="A6A6A6" w:sz="4"/>
          <w:insideV w:val="single" w:color="A6A6A6" w:sz="4"/>
        </w:tblBorders>
      </w:tblPr>
      <w:tblGrid>
        <w:gridCol w:w="1800"/>
        <w:gridCol w:w="1900"/>
        <w:gridCol w:w="2800"/>
        <w:gridCol w:w="2526"/>
      </w:tblGrid>
      <w:tr>
        <w:tc>
          <w:tcPr>
            <w:tcW w:type="dxa" w:w="1800"/>
            <w:tcBorders>
              <w:top w:val="single" w:color="A6A6A6" w:sz="4"/>
              <w:left w:val="single" w:color="A6A6A6" w:sz="4"/>
              <w:bottom w:val="single" w:color="A6A6A6" w:sz="4"/>
              <w:right w:val="single" w:color="A6A6A6" w:sz="4"/>
            </w:tcBorders>
            <w:shd w:fill="D9EAF7" w:val="clear"/>
            <w:tcMar>
              <w:top w:type="dxa" w:w="75"/>
              <w:left w:type="dxa" w:w="90"/>
              <w:bottom w:type="dxa" w:w="75"/>
              <w:right w:type="dxa" w:w="90"/>
            </w:tcMar>
            <w:vAlign w:val="center"/>
          </w:tcPr>
          <w:p>
            <w:pPr>
              <w:jc w:val="center"/>
              <w:spacing w:after="0" w:line="250"/>
            </w:pPr>
            <w:r>
              <w:rPr>
                <w:rFonts w:ascii="宋体" w:cs="宋体" w:eastAsia="宋体" w:hAnsi="宋体"/>
                <w:b/>
                <w:bCs/>
                <w:sz w:val="16"/>
                <w:szCs w:val="16"/>
              </w:rPr>
              <w:t xml:space="preserve">分类</w:t>
            </w:r>
          </w:p>
        </w:tc>
        <w:tc>
          <w:tcPr>
            <w:tcW w:type="dxa" w:w="1900"/>
            <w:tcBorders>
              <w:top w:val="single" w:color="A6A6A6" w:sz="4"/>
              <w:left w:val="single" w:color="A6A6A6" w:sz="4"/>
              <w:bottom w:val="single" w:color="A6A6A6" w:sz="4"/>
              <w:right w:val="single" w:color="A6A6A6" w:sz="4"/>
            </w:tcBorders>
            <w:shd w:fill="D9EAF7" w:val="clear"/>
            <w:tcMar>
              <w:top w:type="dxa" w:w="75"/>
              <w:left w:type="dxa" w:w="90"/>
              <w:bottom w:type="dxa" w:w="75"/>
              <w:right w:type="dxa" w:w="90"/>
            </w:tcMar>
            <w:vAlign w:val="center"/>
          </w:tcPr>
          <w:p>
            <w:pPr>
              <w:jc w:val="center"/>
              <w:spacing w:after="0" w:line="250"/>
            </w:pPr>
            <w:r>
              <w:rPr>
                <w:rFonts w:ascii="宋体" w:cs="宋体" w:eastAsia="宋体" w:hAnsi="宋体"/>
                <w:b/>
                <w:bCs/>
                <w:sz w:val="16"/>
                <w:szCs w:val="16"/>
              </w:rPr>
              <w:t xml:space="preserve">典型时效</w:t>
            </w:r>
          </w:p>
        </w:tc>
        <w:tc>
          <w:tcPr>
            <w:tcW w:type="dxa" w:w="2800"/>
            <w:tcBorders>
              <w:top w:val="single" w:color="A6A6A6" w:sz="4"/>
              <w:left w:val="single" w:color="A6A6A6" w:sz="4"/>
              <w:bottom w:val="single" w:color="A6A6A6" w:sz="4"/>
              <w:right w:val="single" w:color="A6A6A6" w:sz="4"/>
            </w:tcBorders>
            <w:shd w:fill="D9EAF7" w:val="clear"/>
            <w:tcMar>
              <w:top w:type="dxa" w:w="75"/>
              <w:left w:type="dxa" w:w="90"/>
              <w:bottom w:type="dxa" w:w="75"/>
              <w:right w:type="dxa" w:w="90"/>
            </w:tcMar>
            <w:vAlign w:val="center"/>
          </w:tcPr>
          <w:p>
            <w:pPr>
              <w:jc w:val="center"/>
              <w:spacing w:after="0" w:line="250"/>
            </w:pPr>
            <w:r>
              <w:rPr>
                <w:rFonts w:ascii="宋体" w:cs="宋体" w:eastAsia="宋体" w:hAnsi="宋体"/>
                <w:b/>
                <w:bCs/>
                <w:sz w:val="16"/>
                <w:szCs w:val="16"/>
              </w:rPr>
              <w:t xml:space="preserve">对应算法</w:t>
            </w:r>
          </w:p>
        </w:tc>
        <w:tc>
          <w:tcPr>
            <w:tcW w:type="dxa" w:w="2526"/>
            <w:tcBorders>
              <w:top w:val="single" w:color="A6A6A6" w:sz="4"/>
              <w:left w:val="single" w:color="A6A6A6" w:sz="4"/>
              <w:bottom w:val="single" w:color="A6A6A6" w:sz="4"/>
              <w:right w:val="single" w:color="A6A6A6" w:sz="4"/>
            </w:tcBorders>
            <w:shd w:fill="D9EAF7" w:val="clear"/>
            <w:tcMar>
              <w:top w:type="dxa" w:w="75"/>
              <w:left w:type="dxa" w:w="90"/>
              <w:bottom w:type="dxa" w:w="75"/>
              <w:right w:type="dxa" w:w="90"/>
            </w:tcMar>
            <w:vAlign w:val="center"/>
          </w:tcPr>
          <w:p>
            <w:pPr>
              <w:jc w:val="center"/>
              <w:spacing w:after="0" w:line="250"/>
            </w:pPr>
            <w:r>
              <w:rPr>
                <w:rFonts w:ascii="宋体" w:cs="宋体" w:eastAsia="宋体" w:hAnsi="宋体"/>
                <w:b/>
                <w:bCs/>
                <w:sz w:val="16"/>
                <w:szCs w:val="16"/>
              </w:rPr>
              <w:t xml:space="preserve">运行要求</w:t>
            </w:r>
          </w:p>
        </w:tc>
      </w:tr>
      <w:tr>
        <w:tc>
          <w:tcPr>
            <w:tcW w:type="dxa" w:w="18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实时/近实时感知</w:t>
            </w:r>
          </w:p>
        </w:tc>
        <w:tc>
          <w:tcPr>
            <w:tcW w:type="dxa" w:w="19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通常要求毫秒至秒级响应</w:t>
            </w:r>
          </w:p>
        </w:tc>
        <w:tc>
          <w:tcPr>
            <w:tcW w:type="dxa" w:w="28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M17 检测、M14 EDL、M19 跟踪、M16 趋势预测、轻量分类/评分</w:t>
            </w:r>
          </w:p>
        </w:tc>
        <w:tc>
          <w:tcPr>
            <w:tcW w:type="dxa" w:w="2526"/>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优先本地缓存、限流与轻量模型；超时可返回上次可信结果或降级模型。</w:t>
            </w:r>
          </w:p>
        </w:tc>
      </w:tr>
      <w:tr>
        <w:tc>
          <w:tcPr>
            <w:tcW w:type="dxa" w:w="18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任务级态势与决策</w:t>
            </w:r>
          </w:p>
        </w:tc>
        <w:tc>
          <w:tcPr>
            <w:tcW w:type="dxa" w:w="19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通常与任务周期同步，允许秒级至分钟级</w:t>
            </w:r>
          </w:p>
        </w:tc>
        <w:tc>
          <w:tcPr>
            <w:tcW w:type="dxa" w:w="28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M01 聚类、M05 优先级、M20 图推理、M13 调度、M11 规划</w:t>
            </w:r>
          </w:p>
        </w:tc>
        <w:tc>
          <w:tcPr>
            <w:tcW w:type="dxa" w:w="2526"/>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强调多源结果汇聚、可解释性和任务上下文完整性。</w:t>
            </w:r>
          </w:p>
        </w:tc>
      </w:tr>
      <w:tr>
        <w:tc>
          <w:tcPr>
            <w:tcW w:type="dxa" w:w="18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知识增强与解释</w:t>
            </w:r>
          </w:p>
        </w:tc>
        <w:tc>
          <w:tcPr>
            <w:tcW w:type="dxa" w:w="19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通常允许较高时延</w:t>
            </w:r>
          </w:p>
        </w:tc>
        <w:tc>
          <w:tcPr>
            <w:tcW w:type="dxa" w:w="28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M09 LLM、M10 RAG、M02 规则说明</w:t>
            </w:r>
          </w:p>
        </w:tc>
        <w:tc>
          <w:tcPr>
            <w:tcW w:type="dxa" w:w="2526"/>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强调证据完整性、结果溯源和人工可读性，不适合高频毫秒级调用。</w:t>
            </w:r>
          </w:p>
        </w:tc>
      </w:tr>
      <w:tr>
        <w:tc>
          <w:tcPr>
            <w:tcW w:type="dxa" w:w="18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离线/批处理与模型演进</w:t>
            </w:r>
          </w:p>
        </w:tc>
        <w:tc>
          <w:tcPr>
            <w:tcW w:type="dxa" w:w="19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以训练轮次或评估周期为单位</w:t>
            </w:r>
          </w:p>
        </w:tc>
        <w:tc>
          <w:tcPr>
            <w:tcW w:type="dxa" w:w="28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M08 数据生成、M12 联邦聚合、Golden Case 回归</w:t>
            </w:r>
          </w:p>
        </w:tc>
        <w:tc>
          <w:tcPr>
            <w:tcW w:type="dxa" w:w="2526"/>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强调数据质量、模型版本、参数传输和结果可复现性。</w:t>
            </w:r>
          </w:p>
        </w:tc>
      </w:tr>
      <w:tr>
        <w:tc>
          <w:tcPr>
            <w:tcW w:type="dxa" w:w="18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高风险约束与复核</w:t>
            </w:r>
          </w:p>
        </w:tc>
        <w:tc>
          <w:tcPr>
            <w:tcW w:type="dxa" w:w="19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由风险等级、授权流程决定，不仅由时延决定</w:t>
            </w:r>
          </w:p>
        </w:tc>
        <w:tc>
          <w:tcPr>
            <w:tcW w:type="dxa" w:w="28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M14、M04 合规评分、M02 规则、M09 解释、M11 规划</w:t>
            </w:r>
          </w:p>
        </w:tc>
        <w:tc>
          <w:tcPr>
            <w:tcW w:type="dxa" w:w="2526"/>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输出应携带证据、置信度和人工复核标记；不得绕过外部授权边界。</w:t>
            </w:r>
          </w:p>
        </w:tc>
      </w:tr>
    </w:tbl>
    <w:p>
      <w:pPr>
        <w:pStyle w:val="Heading2"/>
        <w:spacing w:after="160" w:before="200" w:line="360"/>
        <w:outlineLvl w:val="1"/>
      </w:pPr>
      <w:r>
        <w:rPr>
          <w:rFonts w:ascii="黑体" w:cs="黑体" w:eastAsia="黑体" w:hAnsi="黑体"/>
          <w:b/>
          <w:bCs/>
          <w:sz w:val="28"/>
          <w:szCs w:val="28"/>
        </w:rPr>
        <w:t xml:space="preserve">4.7 分类结果的应用建议</w:t>
      </w:r>
    </w:p>
    <w:p>
      <w:pPr>
        <w:spacing w:after="120" w:line="280" w:lineRule="auto"/>
        <w:jc w:val="center"/>
      </w:pPr>
      <w:r>
        <w:drawing>
          <wp:inline distT="0" distB="0" distL="0" distR="0">
            <wp:extent cx="5500000" cy="3093750"/>
            <wp:effectExtent l="0" t="0" r="0" b="0"/>
            <wp:docPr id="103" name="Figure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image.png"/>
                    <pic:cNvPicPr/>
                  </pic:nvPicPr>
                  <pic:blipFill>
                    <a:blip r:embed="rId11"/>
                    <a:stretch>
                      <a:fillRect/>
                    </a:stretch>
                  </pic:blipFill>
                  <pic:spPr>
                    <a:xfrm>
                      <a:off x="0" y="0"/>
                      <a:ext cx="5500000" cy="3093750"/>
                    </a:xfrm>
                    <a:prstGeom prst="rect">
                      <a:avLst/>
                    </a:prstGeom>
                  </pic:spPr>
                </pic:pic>
              </a:graphicData>
            </a:graphic>
          </wp:inline>
        </w:drawing>
      </w:r>
    </w:p>
    <w:p>
      <w:pPr>
        <w:spacing w:after="120" w:line="280" w:lineRule="auto"/>
        <w:jc w:val="center"/>
      </w:pPr>
      <w:r>
        <w:rPr>
          <w:rFonts w:eastAsia="Arial"/>
          <w:sz w:val="20"/>
          <w:szCs w:val="20"/>
        </w:rPr>
        <w:t>图 4-1  模型分类视图</w:t>
      </w:r>
    </w:p>
    <w:p>
      <w:pPr>
        <w:spacing w:after="180" w:before="0" w:line="360"/>
        <w:ind w:firstLine="480"/>
        <w:jc w:val="both"/>
      </w:pPr>
      <w:r>
        <w:rPr>
          <w:rFonts w:ascii="宋体" w:cs="宋体" w:eastAsia="宋体" w:hAnsi="宋体"/>
          <w:sz w:val="22"/>
          <w:szCs w:val="22"/>
        </w:rPr>
        <w:t xml:space="preserve">模型分类结果应直接服务于算法库的注册、查询、部署和调用，而不应停留在文档层面。建议在算法卡中持续维护 task_family、modalities、capabilities、backend_type、resource_requirements、performance、risk_level 等字段；在算法注册中心中支持以功能点、能力标签、输入模态、后端、节点和资源上限组合筛选；在模型选择策略中将实时性、资源、数据完整性、不确定性和安全约束纳入统一评分或规则判断。</w:t>
      </w:r>
    </w:p>
    <w:p>
      <w:pPr>
        <w:spacing w:after="100" w:before="120"/>
        <w:jc w:val="center"/>
      </w:pPr>
      <w:r>
        <w:rPr>
          <w:rFonts w:ascii="宋体" w:cs="宋体" w:eastAsia="宋体" w:hAnsi="宋体"/>
          <w:b/>
          <w:bCs/>
          <w:sz w:val="20"/>
          <w:szCs w:val="20"/>
        </w:rPr>
        <w:t xml:space="preserve">表4-7  分类结果在算法库运行中的应用</w:t>
      </w:r>
    </w:p>
    <w:tbl>
      <w:tblPr>
        <w:tblW w:type="dxa" w:w="9026"/>
        <w:tblBorders>
          <w:top w:val="single" w:color="A6A6A6" w:sz="4"/>
          <w:left w:val="single" w:color="A6A6A6" w:sz="4"/>
          <w:bottom w:val="single" w:color="A6A6A6" w:sz="4"/>
          <w:right w:val="single" w:color="A6A6A6" w:sz="4"/>
          <w:insideH w:val="single" w:color="A6A6A6" w:sz="4"/>
          <w:insideV w:val="single" w:color="A6A6A6" w:sz="4"/>
        </w:tblBorders>
      </w:tblPr>
      <w:tblGrid>
        <w:gridCol w:w="2200"/>
        <w:gridCol w:w="6826"/>
      </w:tblGrid>
      <w:tr>
        <w:tc>
          <w:tcPr>
            <w:tcW w:type="dxa" w:w="2200"/>
            <w:tcBorders>
              <w:top w:val="single" w:color="A6A6A6" w:sz="4"/>
              <w:left w:val="single" w:color="A6A6A6" w:sz="4"/>
              <w:bottom w:val="single" w:color="A6A6A6" w:sz="4"/>
              <w:right w:val="single" w:color="A6A6A6" w:sz="4"/>
            </w:tcBorders>
            <w:shd w:fill="D9EAF7" w:val="clear"/>
            <w:tcMar>
              <w:top w:type="dxa" w:w="75"/>
              <w:left w:type="dxa" w:w="90"/>
              <w:bottom w:type="dxa" w:w="75"/>
              <w:right w:type="dxa" w:w="90"/>
            </w:tcMar>
            <w:vAlign w:val="center"/>
          </w:tcPr>
          <w:p>
            <w:pPr>
              <w:jc w:val="center"/>
              <w:spacing w:after="0" w:line="250"/>
            </w:pPr>
            <w:r>
              <w:rPr>
                <w:rFonts w:ascii="宋体" w:cs="宋体" w:eastAsia="宋体" w:hAnsi="宋体"/>
                <w:b/>
                <w:bCs/>
                <w:sz w:val="16"/>
                <w:szCs w:val="16"/>
              </w:rPr>
              <w:t xml:space="preserve">应用环节</w:t>
            </w:r>
          </w:p>
        </w:tc>
        <w:tc>
          <w:tcPr>
            <w:tcW w:type="dxa" w:w="6826"/>
            <w:tcBorders>
              <w:top w:val="single" w:color="A6A6A6" w:sz="4"/>
              <w:left w:val="single" w:color="A6A6A6" w:sz="4"/>
              <w:bottom w:val="single" w:color="A6A6A6" w:sz="4"/>
              <w:right w:val="single" w:color="A6A6A6" w:sz="4"/>
            </w:tcBorders>
            <w:shd w:fill="D9EAF7" w:val="clear"/>
            <w:tcMar>
              <w:top w:type="dxa" w:w="75"/>
              <w:left w:type="dxa" w:w="90"/>
              <w:bottom w:type="dxa" w:w="75"/>
              <w:right w:type="dxa" w:w="90"/>
            </w:tcMar>
            <w:vAlign w:val="center"/>
          </w:tcPr>
          <w:p>
            <w:pPr>
              <w:jc w:val="center"/>
              <w:spacing w:after="0" w:line="250"/>
            </w:pPr>
            <w:r>
              <w:rPr>
                <w:rFonts w:ascii="宋体" w:cs="宋体" w:eastAsia="宋体" w:hAnsi="宋体"/>
                <w:b/>
                <w:bCs/>
                <w:sz w:val="16"/>
                <w:szCs w:val="16"/>
              </w:rPr>
              <w:t xml:space="preserve">建议</w:t>
            </w:r>
          </w:p>
        </w:tc>
      </w:tr>
      <w:tr>
        <w:tc>
          <w:tcPr>
            <w:tcW w:type="dxa" w:w="22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数据进入阶段</w:t>
            </w:r>
          </w:p>
        </w:tc>
        <w:tc>
          <w:tcPr>
            <w:tcW w:type="dxa" w:w="6826"/>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先按模态和数据质量选择候选算法；原始图像、文本、航迹和结构化特征不得混用输入契约。</w:t>
            </w:r>
          </w:p>
        </w:tc>
      </w:tr>
      <w:tr>
        <w:tc>
          <w:tcPr>
            <w:tcW w:type="dxa" w:w="22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运行选择阶段</w:t>
            </w:r>
          </w:p>
        </w:tc>
        <w:tc>
          <w:tcPr>
            <w:tcW w:type="dxa" w:w="6826"/>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结合后端、节点资源、模型状态和时效目标，在 ONNX、本地 Python 服务或中心服务之间选择。</w:t>
            </w:r>
          </w:p>
        </w:tc>
      </w:tr>
      <w:tr>
        <w:tc>
          <w:tcPr>
            <w:tcW w:type="dxa" w:w="22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结果汇聚阶段</w:t>
            </w:r>
          </w:p>
        </w:tc>
        <w:tc>
          <w:tcPr>
            <w:tcW w:type="dxa" w:w="6826"/>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将模型类别、版本、输入来源、置信度、不确定性和规则证据写入结果溯源信息。</w:t>
            </w:r>
          </w:p>
        </w:tc>
      </w:tr>
      <w:tr>
        <w:tc>
          <w:tcPr>
            <w:tcW w:type="dxa" w:w="22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异常降级阶段</w:t>
            </w:r>
          </w:p>
        </w:tc>
        <w:tc>
          <w:tcPr>
            <w:tcW w:type="dxa" w:w="6826"/>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高算力深度模型不可用时，可降级至规则、回归、传统机器学习或最近一次可信结果，但必须标记降级状态。</w:t>
            </w:r>
          </w:p>
        </w:tc>
      </w:tr>
      <w:tr>
        <w:tc>
          <w:tcPr>
            <w:tcW w:type="dxa" w:w="22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安全复核阶段</w:t>
            </w:r>
          </w:p>
        </w:tc>
        <w:tc>
          <w:tcPr>
            <w:tcW w:type="dxa" w:w="6826"/>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涉及高风险决策、规则授权、毁伤判断和生成解释的结果，应依据算法卡安全字段触发人工复核或外部授权流程。</w:t>
            </w:r>
          </w:p>
        </w:tc>
      </w:tr>
    </w:tbl>
    <w:p>
      <w:pPr>
        <w:pStyle w:val="Heading2"/>
        <w:spacing w:after="160" w:before="200" w:line="360"/>
        <w:outlineLvl w:val="1"/>
      </w:pPr>
      <w:r>
        <w:rPr>
          <w:rFonts w:ascii="黑体" w:cs="黑体" w:eastAsia="黑体" w:hAnsi="黑体"/>
          <w:b/>
          <w:bCs/>
          <w:sz w:val="28"/>
          <w:szCs w:val="28"/>
        </w:rPr>
        <w:t xml:space="preserve">4.8 本章小结</w:t>
      </w:r>
    </w:p>
    <w:p>
      <w:pPr>
        <w:spacing w:after="180" w:before="0" w:line="360"/>
        <w:ind w:firstLine="480"/>
        <w:jc w:val="both"/>
      </w:pPr>
      <w:r>
        <w:rPr>
          <w:rFonts w:ascii="宋体" w:cs="宋体" w:eastAsia="宋体" w:hAnsi="宋体"/>
          <w:sz w:val="22"/>
          <w:szCs w:val="22"/>
        </w:rPr>
        <w:t xml:space="preserve">本章从算法范式、输入数据模态、业务任务角色、部署运行方式和任务时效五个维度完成了对二十类算法的分类。分类结果表明：轻量统计模型、规则算法和 ONNX 变体适合边缘节点的快速推理；视觉检测、变化检测和跟踪适合标准或高算力服务节点；RAG、LLM、智能体和联邦学习等组合能力适合中心受控服务环境；可信与可解释能力应贯穿感知、决策和评估过程。下一章将以本章分类为基础，进一步建立算法模型与 KC-01 至 KC-28 流程功能点之间的覆盖关系。</w:t>
      </w:r>
    </w:p>
    <w:p>
      <w:pPr>
        <w:spacing w:after="0" w:before="400"/>
        <w:jc w:val="center"/>
      </w:pPr>
      <w:r>
        <w:rPr>
          <w:rFonts w:ascii="宋体" w:cs="宋体" w:eastAsia="宋体" w:hAnsi="宋体"/>
          <w:color w:val="666666"/>
          <w:sz w:val="18"/>
          <w:szCs w:val="18"/>
        </w:rPr>
        <w:t xml:space="preserve">—— 第四章结束 ——</w:t>
      </w:r>
    </w:p>
    <w:p>
      <w:pPr>
        <w:rPr>
          <w:vanish/>
        </w:rPr>
      </w:pPr>
      <w:r>
        <w:br w:type="page"/>
      </w:r>
    </w:p>
    <w:p>
      <w:pPr>
        <w:pStyle w:val="Heading1"/>
        <w:spacing w:after="240" w:before="240" w:line="360"/>
        <w:outlineLvl w:val="0"/>
      </w:pPr>
      <w:r>
        <w:rPr>
          <w:rFonts w:ascii="黑体" w:cs="黑体" w:eastAsia="黑体" w:hAnsi="黑体"/>
          <w:b/>
          <w:bCs/>
          <w:sz w:val="32"/>
          <w:szCs w:val="32"/>
        </w:rPr>
        <w:t>第5章 功能点覆盖关系与杀伤链映射</w:t>
      </w:r>
    </w:p>
    <w:p>
      <w:pPr>
        <w:spacing w:after="180" w:line="360"/>
        <w:ind w:firstLine="480"/>
        <w:jc w:val="both"/>
      </w:pPr>
      <w:r>
        <w:rPr>
          <w:rFonts w:ascii="宋体" w:cs="宋体" w:eastAsia="宋体" w:hAnsi="宋体"/>
          <w:sz w:val="22"/>
          <w:szCs w:val="22"/>
        </w:rPr>
        <w:t>本章依据 Algorithmrepo 中的 operational_function_catalog.yaml 和各算法卡的 operational_functions 字段，建立算法能力与 KC-01 至 KC-28 标准功能点的映射关系。映射以 OODA 循环和 F2T2EA 杀伤链为主线，区分算法在功能点上的主责、支撑、覆盖等级和外部执行边界，用于支撑算法发现、组合调用、运行审计与后续能力补齐。</w:t>
      </w:r>
    </w:p>
    <w:p>
      <w:pPr>
        <w:spacing w:after="180" w:line="360"/>
        <w:ind w:firstLine="480"/>
        <w:jc w:val="both"/>
      </w:pPr>
      <w:r>
        <w:rPr>
          <w:rFonts w:ascii="宋体" w:cs="宋体" w:eastAsia="宋体" w:hAnsi="宋体"/>
          <w:sz w:val="22"/>
          <w:szCs w:val="22"/>
        </w:rPr>
        <w:t>功能点映射不表示单一模型能够独立完成完整业务闭环。视觉检测、识别、航迹、优先级、规则校验和效果评估等结果需要经由上层 Agent 或工作流按照数据契约进行串联；其中 KC-23“攻击目标/威胁”明确为外部受控系统执行边界，算法库仅提供信息准备、方案建议、规则约束和结果评价依据，不直接实施外部装备控制。</w:t>
      </w:r>
    </w:p>
    <w:p>
      <w:pPr>
        <w:pStyle w:val="Heading2"/>
        <w:spacing w:after="160" w:before="160" w:line="360"/>
        <w:outlineLvl w:val="1"/>
      </w:pPr>
      <w:r>
        <w:rPr>
          <w:rFonts w:ascii="黑体" w:cs="黑体" w:eastAsia="黑体" w:hAnsi="黑体"/>
          <w:b/>
          <w:bCs/>
          <w:sz w:val="28"/>
          <w:szCs w:val="28"/>
        </w:rPr>
        <w:t>5.1 映射原则与表达方式</w:t>
      </w:r>
    </w:p>
    <w:p>
      <w:pPr>
        <w:spacing w:after="180" w:line="360"/>
        <w:ind w:firstLine="480"/>
        <w:jc w:val="both"/>
      </w:pPr>
      <w:r>
        <w:rPr>
          <w:rFonts w:ascii="宋体" w:cs="宋体" w:eastAsia="宋体" w:hAnsi="宋体"/>
          <w:sz w:val="22"/>
          <w:szCs w:val="22"/>
        </w:rPr>
        <w:t>算法卡以 function_id、function_code、function_name、role 和 coverage_level 登记功能映射。role=primary 表示该算法直接产出该功能点的核心结果；role=supporting 表示算法提供前置特征、证据、约束或辅助判断；coverage_level=full、partial、advisory 分别表示完整覆盖、部分覆盖和建议性支撑。映射关系应与算法版本、输入输出 Schema、模型状态和部署实例共同管理，不能脱离具体算法包单独解释。</w:t>
      </w:r>
    </w:p>
    <w:p>
      <w:pPr>
        <w:spacing w:after="180" w:line="360"/>
        <w:ind w:firstLine="480"/>
        <w:jc w:val="both"/>
      </w:pPr>
      <w:r>
        <w:rPr>
          <w:rFonts w:ascii="宋体" w:cs="宋体" w:eastAsia="宋体" w:hAnsi="宋体"/>
          <w:sz w:val="22"/>
          <w:szCs w:val="22"/>
        </w:rPr>
        <w:t>本章采用“标准功能点—主责算法—支撑算法—输出与约束”的表达方式。主责算法优先参与候选模型筛选；支撑算法可作为串联步骤、交叉验证或降级备选；未在当前算法卡中形成直接映射的功能点，应明确标记为待集成能力，而不将相近算法能力视为已覆盖。</w:t>
      </w:r>
    </w:p>
    <w:p>
      <w:pPr>
        <w:pStyle w:val="Heading2"/>
        <w:spacing w:after="160" w:before="160" w:line="360"/>
        <w:outlineLvl w:val="1"/>
      </w:pPr>
      <w:r>
        <w:rPr>
          <w:rFonts w:ascii="黑体" w:cs="黑体" w:eastAsia="黑体" w:hAnsi="黑体"/>
          <w:b/>
          <w:bCs/>
          <w:sz w:val="28"/>
          <w:szCs w:val="28"/>
        </w:rPr>
        <w:t>5.2 OODA 与 F2T2EA 阶段覆盖总览</w:t>
      </w:r>
    </w:p>
    <w:p>
      <w:pPr>
        <w:spacing w:after="120" w:line="280" w:lineRule="auto"/>
        <w:jc w:val="center"/>
      </w:pPr>
      <w:r>
        <w:drawing>
          <wp:inline distT="0" distB="0" distL="0" distR="0">
            <wp:extent cx="5500000" cy="2062500"/>
            <wp:effectExtent l="0" t="0" r="0" b="0"/>
            <wp:docPr id="104" name="Figure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image.png"/>
                    <pic:cNvPicPr/>
                  </pic:nvPicPr>
                  <pic:blipFill>
                    <a:blip r:embed="rId15"/>
                    <a:stretch>
                      <a:fillRect/>
                    </a:stretch>
                  </pic:blipFill>
                  <pic:spPr>
                    <a:xfrm>
                      <a:off x="0" y="0"/>
                      <a:ext cx="5500000" cy="2062500"/>
                    </a:xfrm>
                    <a:prstGeom prst="rect">
                      <a:avLst/>
                    </a:prstGeom>
                  </pic:spPr>
                </pic:pic>
              </a:graphicData>
            </a:graphic>
          </wp:inline>
        </w:drawing>
      </w:r>
    </w:p>
    <w:p>
      <w:pPr>
        <w:spacing w:after="120" w:line="280" w:lineRule="auto"/>
        <w:jc w:val="center"/>
      </w:pPr>
      <w:r>
        <w:rPr>
          <w:rFonts w:eastAsia="Arial"/>
          <w:sz w:val="20"/>
          <w:szCs w:val="20"/>
        </w:rPr>
        <w:t>图 5-1  OODA/F2T2EA 阶段映射</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3200"/>
        <w:gridCol w:w="3200"/>
      </w:tblGrid>
      <w:tr>
        <w:tc>
          <w:tcPr>
            <w:tcW w:type="dxa" w:w="1800"/>
            <w:tcBorders>
              <w:top w:val="single" w:color="A6A6A6" w:sz="4"/>
              <w:left w:val="single" w:color="A6A6A6" w:sz="4"/>
              <w:bottom w:val="single" w:color="A6A6A6" w:sz="4"/>
              <w:right w:val="single" w:color="A6A6A6" w:sz="4"/>
            </w:tcBorders>
            <w:shd w:fill="D9EAF7" w:val="clear"/>
            <w:tcMar>
              <w:top w:type="dxa" w:w="90"/>
              <w:left w:type="dxa" w:w="120"/>
              <w:bottom w:type="dxa" w:w="90"/>
              <w:right w:type="dxa" w:w="120"/>
            </w:tcMar>
            <w:vAlign w:val="center"/>
          </w:tcPr>
          <w:p>
            <w:pPr>
              <w:spacing w:after="0" w:line="280"/>
              <w:jc w:val="center"/>
            </w:pPr>
            <w:r>
              <w:rPr>
                <w:rFonts w:eastAsia="Arial"/>
                <w:sz w:val="20"/>
                <w:szCs w:val="20"/>
                <w:b/>
                <w:bCs/>
              </w:rPr>
              <w:t>阶段</w:t>
            </w:r>
          </w:p>
        </w:tc>
        <w:tc>
          <w:tcPr>
            <w:tcW w:type="dxa" w:w="1400"/>
            <w:tcBorders>
              <w:top w:val="single" w:color="A6A6A6" w:sz="4"/>
              <w:left w:val="single" w:color="A6A6A6" w:sz="4"/>
              <w:bottom w:val="single" w:color="A6A6A6" w:sz="4"/>
              <w:right w:val="single" w:color="A6A6A6" w:sz="4"/>
            </w:tcBorders>
            <w:shd w:fill="D9EAF7" w:val="clear"/>
            <w:tcMar>
              <w:top w:type="dxa" w:w="90"/>
              <w:left w:type="dxa" w:w="120"/>
              <w:bottom w:type="dxa" w:w="90"/>
              <w:right w:type="dxa" w:w="120"/>
            </w:tcMar>
            <w:vAlign w:val="center"/>
          </w:tcPr>
          <w:p>
            <w:pPr>
              <w:spacing w:after="0" w:line="280"/>
              <w:jc w:val="center"/>
            </w:pPr>
            <w:r>
              <w:rPr>
                <w:rFonts w:eastAsia="Arial"/>
                <w:sz w:val="20"/>
                <w:szCs w:val="20"/>
                <w:b/>
                <w:bCs/>
              </w:rPr>
              <w:t>KC 范围</w:t>
            </w:r>
          </w:p>
        </w:tc>
        <w:tc>
          <w:tcPr>
            <w:tcW w:type="dxa" w:w="3200"/>
            <w:tcBorders>
              <w:top w:val="single" w:color="A6A6A6" w:sz="4"/>
              <w:left w:val="single" w:color="A6A6A6" w:sz="4"/>
              <w:bottom w:val="single" w:color="A6A6A6" w:sz="4"/>
              <w:right w:val="single" w:color="A6A6A6" w:sz="4"/>
            </w:tcBorders>
            <w:shd w:fill="D9EAF7" w:val="clear"/>
            <w:tcMar>
              <w:top w:type="dxa" w:w="90"/>
              <w:left w:type="dxa" w:w="120"/>
              <w:bottom w:type="dxa" w:w="90"/>
              <w:right w:type="dxa" w:w="120"/>
            </w:tcMar>
            <w:vAlign w:val="center"/>
          </w:tcPr>
          <w:p>
            <w:pPr>
              <w:spacing w:after="0" w:line="280"/>
              <w:jc w:val="center"/>
            </w:pPr>
            <w:r>
              <w:rPr>
                <w:rFonts w:eastAsia="Arial"/>
                <w:sz w:val="20"/>
                <w:szCs w:val="20"/>
                <w:b/>
                <w:bCs/>
              </w:rPr>
              <w:t>主责算法</w:t>
            </w:r>
          </w:p>
        </w:tc>
        <w:tc>
          <w:tcPr>
            <w:tcW w:type="dxa" w:w="3200"/>
            <w:tcBorders>
              <w:top w:val="single" w:color="A6A6A6" w:sz="4"/>
              <w:left w:val="single" w:color="A6A6A6" w:sz="4"/>
              <w:bottom w:val="single" w:color="A6A6A6" w:sz="4"/>
              <w:right w:val="single" w:color="A6A6A6" w:sz="4"/>
            </w:tcBorders>
            <w:shd w:fill="D9EAF7" w:val="clear"/>
            <w:tcMar>
              <w:top w:type="dxa" w:w="90"/>
              <w:left w:type="dxa" w:w="120"/>
              <w:bottom w:type="dxa" w:w="90"/>
              <w:right w:type="dxa" w:w="120"/>
            </w:tcMar>
            <w:vAlign w:val="center"/>
          </w:tcPr>
          <w:p>
            <w:pPr>
              <w:spacing w:after="0" w:line="280"/>
              <w:jc w:val="center"/>
            </w:pPr>
            <w:r>
              <w:rPr>
                <w:rFonts w:eastAsia="Arial"/>
                <w:sz w:val="20"/>
                <w:szCs w:val="20"/>
                <w:b/>
                <w:bCs/>
              </w:rPr>
              <w:t>支撑算法</w:t>
            </w:r>
          </w:p>
        </w:tc>
      </w:tr>
      <w:tr>
        <w:tc>
          <w:tcPr>
            <w:tcW w:type="dxa" w:w="18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center"/>
            </w:pPr>
            <w:r>
              <w:rPr>
                <w:rFonts w:eastAsia="Arial"/>
                <w:sz w:val="20"/>
                <w:szCs w:val="20"/>
              </w:rPr>
              <w:t>Observe/Find-Fix</w:t>
            </w:r>
          </w:p>
        </w:tc>
        <w:tc>
          <w:tcPr>
            <w:tcW w:type="dxa" w:w="14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center"/>
            </w:pPr>
            <w:r>
              <w:rPr>
                <w:rFonts w:eastAsia="Arial"/>
                <w:sz w:val="20"/>
                <w:szCs w:val="20"/>
              </w:rPr>
              <w:t>KC-01–KC-10</w:t>
            </w:r>
          </w:p>
        </w:tc>
        <w:tc>
          <w:tcPr>
            <w:tcW w:type="dxa" w:w="32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center"/>
            </w:pPr>
            <w:r>
              <w:rPr>
                <w:rFonts w:eastAsia="Arial"/>
                <w:sz w:val="20"/>
                <w:szCs w:val="20"/>
              </w:rPr>
              <w:t>RT-DETR、变化检测、SupCon</w:t>
            </w:r>
          </w:p>
        </w:tc>
        <w:tc>
          <w:tcPr>
            <w:tcW w:type="dxa" w:w="32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center"/>
            </w:pPr>
            <w:r>
              <w:rPr>
                <w:rFonts w:eastAsia="Arial"/>
                <w:sz w:val="20"/>
                <w:szCs w:val="20"/>
              </w:rPr>
              <w:t>EDL验证、多模态融合、聚类</w:t>
            </w:r>
          </w:p>
        </w:tc>
      </w:tr>
      <w:tr>
        <w:tc>
          <w:tcPr>
            <w:tcW w:type="dxa" w:w="18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center"/>
            </w:pPr>
            <w:r>
              <w:rPr>
                <w:rFonts w:eastAsia="Arial"/>
                <w:sz w:val="20"/>
                <w:szCs w:val="20"/>
              </w:rPr>
              <w:t>Orient/Track</w:t>
            </w:r>
          </w:p>
        </w:tc>
        <w:tc>
          <w:tcPr>
            <w:tcW w:type="dxa" w:w="14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center"/>
            </w:pPr>
            <w:r>
              <w:rPr>
                <w:rFonts w:eastAsia="Arial"/>
                <w:sz w:val="20"/>
                <w:szCs w:val="20"/>
              </w:rPr>
              <w:t>KC-11–KC-15</w:t>
            </w:r>
          </w:p>
        </w:tc>
        <w:tc>
          <w:tcPr>
            <w:tcW w:type="dxa" w:w="32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center"/>
            </w:pPr>
            <w:r>
              <w:rPr>
                <w:rFonts w:eastAsia="Arial"/>
                <w:sz w:val="20"/>
                <w:szCs w:val="20"/>
              </w:rPr>
              <w:t>航迹更新、趋势预测、优先级</w:t>
            </w:r>
          </w:p>
        </w:tc>
        <w:tc>
          <w:tcPr>
            <w:tcW w:type="dxa" w:w="32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center"/>
            </w:pPr>
            <w:r>
              <w:rPr>
                <w:rFonts w:eastAsia="Arial"/>
                <w:sz w:val="20"/>
                <w:szCs w:val="20"/>
              </w:rPr>
              <w:t>图关系推理、知识检索</w:t>
            </w:r>
          </w:p>
        </w:tc>
      </w:tr>
      <w:tr>
        <w:tc>
          <w:tcPr>
            <w:tcW w:type="dxa" w:w="18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center"/>
            </w:pPr>
            <w:r>
              <w:rPr>
                <w:rFonts w:eastAsia="Arial"/>
                <w:sz w:val="20"/>
                <w:szCs w:val="20"/>
              </w:rPr>
              <w:t>Decide/Target</w:t>
            </w:r>
          </w:p>
        </w:tc>
        <w:tc>
          <w:tcPr>
            <w:tcW w:type="dxa" w:w="14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center"/>
            </w:pPr>
            <w:r>
              <w:rPr>
                <w:rFonts w:eastAsia="Arial"/>
                <w:sz w:val="20"/>
                <w:szCs w:val="20"/>
              </w:rPr>
              <w:t>KC-16–KC-21</w:t>
            </w:r>
          </w:p>
        </w:tc>
        <w:tc>
          <w:tcPr>
            <w:tcW w:type="dxa" w:w="32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center"/>
            </w:pPr>
            <w:r>
              <w:rPr>
                <w:rFonts w:eastAsia="Arial"/>
                <w:sz w:val="20"/>
                <w:szCs w:val="20"/>
              </w:rPr>
              <w:t>规划核心、规则匹配、推荐</w:t>
            </w:r>
          </w:p>
        </w:tc>
        <w:tc>
          <w:tcPr>
            <w:tcW w:type="dxa" w:w="32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center"/>
            </w:pPr>
            <w:r>
              <w:rPr>
                <w:rFonts w:eastAsia="Arial"/>
                <w:sz w:val="20"/>
                <w:szCs w:val="20"/>
              </w:rPr>
              <w:t>风险评分、LLM解释器</w:t>
            </w:r>
          </w:p>
        </w:tc>
      </w:tr>
      <w:tr>
        <w:tc>
          <w:tcPr>
            <w:tcW w:type="dxa" w:w="18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center"/>
            </w:pPr>
            <w:r>
              <w:rPr>
                <w:rFonts w:eastAsia="Arial"/>
                <w:sz w:val="20"/>
                <w:szCs w:val="20"/>
              </w:rPr>
              <w:t>Act/Engage-Assess</w:t>
            </w:r>
          </w:p>
        </w:tc>
        <w:tc>
          <w:tcPr>
            <w:tcW w:type="dxa" w:w="14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center"/>
            </w:pPr>
            <w:r>
              <w:rPr>
                <w:rFonts w:eastAsia="Arial"/>
                <w:sz w:val="20"/>
                <w:szCs w:val="20"/>
              </w:rPr>
              <w:t>KC-22–KC-28</w:t>
            </w:r>
          </w:p>
        </w:tc>
        <w:tc>
          <w:tcPr>
            <w:tcW w:type="dxa" w:w="32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center"/>
            </w:pPr>
            <w:r>
              <w:rPr>
                <w:rFonts w:eastAsia="Arial"/>
                <w:sz w:val="20"/>
                <w:szCs w:val="20"/>
              </w:rPr>
              <w:t>MARL调度、完成度评分</w:t>
            </w:r>
          </w:p>
        </w:tc>
        <w:tc>
          <w:tcPr>
            <w:tcW w:type="dxa" w:w="32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center"/>
            </w:pPr>
            <w:r>
              <w:rPr>
                <w:rFonts w:eastAsia="Arial"/>
                <w:sz w:val="20"/>
                <w:szCs w:val="20"/>
              </w:rPr>
              <w:t>轨迹预测、变化检测、再任务</w:t>
            </w:r>
          </w:p>
        </w:tc>
      </w:tr>
    </w:tbl>
    <w:p>
      <w:pPr>
        <w:spacing w:after="120" w:line="280" w:lineRule="auto"/>
        <w:jc w:val="center"/>
      </w:pPr>
      <w:r>
        <w:rPr>
          <w:rFonts w:eastAsia="Arial"/>
          <w:sz w:val="20"/>
          <w:szCs w:val="20"/>
        </w:rPr>
        <w:t>表 5-1  OODA/F2T2EA 阶段覆盖总览</w:t>
      </w:r>
    </w:p>
    <w:p>
      <w:pPr>
        <w:spacing w:after="180" w:line="360"/>
        <w:ind w:firstLine="480"/>
        <w:jc w:val="both"/>
      </w:pPr>
      <w:r>
        <w:rPr>
          <w:rFonts w:ascii="宋体" w:cs="宋体" w:eastAsia="宋体" w:hAnsi="宋体"/>
          <w:sz w:val="22"/>
          <w:szCs w:val="22"/>
        </w:rPr>
        <w:t>按照功能目录，KC-01 至 KC-10 归入 Observe/Find-Fix 阶段，覆盖发现、定义、特征刻画、分类、识别、定位、验证与信息分发；KC-11 至 KC-15 归入 Orient/Track 阶段，覆盖航迹更新、排序、紧急度、友方接近度与目标验证；KC-16 至 KC-21 归入 Decide/Target 阶段，覆盖方案提名、优先级、时间可用性、航迹保持、选项选择与交战规则校验；KC-22 至 KC-28 归入 Act/Engage-Assess 阶段，覆盖命令下达、外部任务移交、武器跟踪、影响确认、再任务、动态评估与总体评价。</w:t>
      </w:r>
    </w:p>
    <w:p>
      <w:pPr>
        <w:spacing w:after="180" w:line="360"/>
        <w:ind w:firstLine="480"/>
        <w:jc w:val="both"/>
      </w:pPr>
      <w:r>
        <w:rPr>
          <w:rFonts w:ascii="宋体" w:cs="宋体" w:eastAsia="宋体" w:hAnsi="宋体"/>
          <w:sz w:val="22"/>
          <w:szCs w:val="22"/>
        </w:rPr>
        <w:t>现有算法资产对 Observe、Orient、Decide 和 Assess 阶段形成了较明确的模型支撑：RT-DETR、变化检测、分类、身份识别和证据验证支撑发现与确认；跟踪更新、趋势预测、优先级和图关系推理支撑态势持续维护；规划、规则匹配、推荐和调度支撑受控决策；变化检测、任务完成度评分支撑效果评估。Act 阶段保留了命令、再任务、影响确认等算法支撑，但实际装备动作仍须由外部受控系统和授权流程执行。</w:t>
      </w:r>
    </w:p>
    <w:p>
      <w:pPr>
        <w:pStyle w:val="Heading2"/>
        <w:spacing w:after="160" w:before="160" w:line="360"/>
        <w:outlineLvl w:val="1"/>
      </w:pPr>
      <w:r>
        <w:rPr>
          <w:rFonts w:ascii="黑体" w:cs="黑体" w:eastAsia="黑体" w:hAnsi="黑体"/>
          <w:b/>
          <w:bCs/>
          <w:sz w:val="28"/>
          <w:szCs w:val="28"/>
        </w:rPr>
        <w:t>5.3 观察与发现阶段（KC-01 至 KC-10）</w:t>
      </w:r>
    </w:p>
    <w:p>
      <w:pPr>
        <w:spacing w:after="180" w:line="360"/>
        <w:ind w:firstLine="480"/>
        <w:jc w:val="both"/>
      </w:pPr>
      <w:r>
        <w:rPr>
          <w:rFonts w:ascii="宋体" w:cs="宋体" w:eastAsia="宋体" w:hAnsi="宋体"/>
          <w:sz w:val="22"/>
          <w:szCs w:val="22"/>
        </w:rPr>
        <w:t>KC-01 初始检测、KC-02 毁伤评估检测和 KC-03 再任务检测以视觉感知模型为核心。battlefield_rtdetr_detector 对 EO/IR、SAR 等图像执行目标检测，覆盖初始发现与再任务前目标确认；siamese_mask2former_damage 与 xbd_damage_assessor 对前后时相图像进行变化与毁伤分析，主责支撑 KC-02，并以部分覆盖方式支撑 KC-25 影响确认和 KC-27 动态评估。EDL 证据验证可为检测结果增加置信度和不确定性信息，作为 KC-09 检测验证的关键辅助能力。</w:t>
      </w:r>
    </w:p>
    <w:p>
      <w:pPr>
        <w:spacing w:after="180" w:line="360"/>
        <w:ind w:firstLine="480"/>
        <w:jc w:val="both"/>
      </w:pPr>
      <w:r>
        <w:rPr>
          <w:rFonts w:ascii="宋体" w:cs="宋体" w:eastAsia="宋体" w:hAnsi="宋体"/>
          <w:sz w:val="22"/>
          <w:szCs w:val="22"/>
        </w:rPr>
        <w:t>KC-04 至 KC-08 对应目标/威胁定义、特征刻画、分类、识别和定位。mission_feature_adapter 对结构化任务特征进行适配，部分覆盖 KC-04；imagebind_multimodal_encoder 与 graph_relation_reasoner 分别从多模态表征和关系结构角度支撑 KC-05；意图朴素贝叶斯、目标类型分类器与 SupCon 元分类器覆盖 KC-06 分类和 KC-07 识别，其中 SupCon 以身份识别为主责。motr_neural_kalman_tracker 将连续观测关联为带位置与状态的航迹，是 KC-08 定位和后续 KC-11 航迹更新的主要输入来源。</w:t>
      </w:r>
    </w:p>
    <w:p>
      <w:pPr>
        <w:spacing w:after="180" w:line="360"/>
        <w:ind w:firstLine="480"/>
        <w:jc w:val="both"/>
      </w:pPr>
      <w:r>
        <w:rPr>
          <w:rFonts w:ascii="宋体" w:cs="宋体" w:eastAsia="宋体" w:hAnsi="宋体"/>
          <w:sz w:val="22"/>
          <w:szCs w:val="22"/>
        </w:rPr>
        <w:t>KC-10 目标/威胁信息分发由 knowledge_semantic_comm 主责覆盖，并可与 marl_dynamic_router 的路由能力组合。该类算法应传递经处理后的结构化检测、航迹、证据和语义摘要，而非默认传输原始图像或高维特征，从而降低链路带宽压力并保持结果溯源。</w:t>
      </w:r>
    </w:p>
    <w:p>
      <w:pPr>
        <w:pStyle w:val="Heading2"/>
        <w:spacing w:after="160" w:before="160" w:line="360"/>
        <w:outlineLvl w:val="1"/>
      </w:pPr>
      <w:r>
        <w:rPr>
          <w:rFonts w:ascii="黑体" w:cs="黑体" w:eastAsia="黑体" w:hAnsi="黑体"/>
          <w:b/>
          <w:bCs/>
          <w:sz w:val="28"/>
          <w:szCs w:val="28"/>
        </w:rPr>
        <w:t>5.4 判断与航迹阶段（KC-11 至 KC-15）</w:t>
      </w:r>
    </w:p>
    <w:p>
      <w:pPr>
        <w:spacing w:after="180" w:line="360"/>
        <w:ind w:firstLine="480"/>
        <w:jc w:val="both"/>
      </w:pPr>
      <w:r>
        <w:rPr>
          <w:rFonts w:ascii="宋体" w:cs="宋体" w:eastAsia="宋体" w:hAnsi="宋体"/>
          <w:sz w:val="22"/>
          <w:szCs w:val="22"/>
        </w:rPr>
        <w:t>track_state_updater 主责覆盖 KC-11 生成/更新航迹，并对 KC-19 航迹保持提供完整支撑；motr_neural_kalman_tracker 负责从连续检测中建立多目标航迹；trajectory_linear_predictor、trajectory_predictor 和 target_trend_predictor_onnx 对航迹进行短时外推和趋势判断，部分支撑 KC-18 时间可用性、KC-19 航迹保持与 KC-24 武器跟踪。聚类引擎可对目标、事件或轨迹特征进行归并，辅助 KC-12 排序和态势分组。</w:t>
      </w:r>
    </w:p>
    <w:p>
      <w:pPr>
        <w:spacing w:after="180" w:line="360"/>
        <w:ind w:firstLine="480"/>
        <w:jc w:val="both"/>
      </w:pPr>
      <w:r>
        <w:rPr>
          <w:rFonts w:ascii="宋体" w:cs="宋体" w:eastAsia="宋体" w:hAnsi="宋体"/>
          <w:sz w:val="22"/>
          <w:szCs w:val="22"/>
        </w:rPr>
        <w:t>threat_priority_random_forest 对结构化威胁特征输出优先级，主责覆盖 KC-17 并辅助 KC-13 紧急度判断；在 Orient 阶段可将其优先级、趋势预测输出和关系推理结果作为排序依据。graph_relation_reasoner 主责覆盖 KC-05 特征刻画，同时对 KC-14 友方接近度提供支撑，用于识别目标编组、目标间关系及与友方实体的关联。synapse_rag_retriever 通过知识证据补充 KC-15 目标/威胁验证，但其结论属于部分支撑，必须保留检索来源与证据引用。</w:t>
      </w:r>
    </w:p>
    <w:p>
      <w:pPr>
        <w:pStyle w:val="Heading2"/>
        <w:spacing w:after="160" w:before="160" w:line="360"/>
        <w:outlineLvl w:val="1"/>
      </w:pPr>
      <w:r>
        <w:rPr>
          <w:rFonts w:ascii="黑体" w:cs="黑体" w:eastAsia="黑体" w:hAnsi="黑体"/>
          <w:b/>
          <w:bCs/>
          <w:sz w:val="28"/>
          <w:szCs w:val="28"/>
        </w:rPr>
        <w:t>5.5 决策与目标选择阶段（KC-16 至 KC-21）</w:t>
      </w:r>
    </w:p>
    <w:p>
      <w:pPr>
        <w:spacing w:after="180" w:line="360"/>
        <w:ind w:firstLine="480"/>
        <w:jc w:val="both"/>
      </w:pPr>
      <w:r>
        <w:rPr>
          <w:rFonts w:ascii="宋体" w:cs="宋体" w:eastAsia="宋体" w:hAnsi="宋体"/>
          <w:sz w:val="22"/>
          <w:szCs w:val="22"/>
        </w:rPr>
        <w:t>decision_planning_core 主责覆盖 KC-16 交战选项提名，并完整支撑 KC-20 攻击选项选择；closed_loop_decision_advisor 和 decision_plan_recommender_onnx 可提供候选方案与概率评分，是规划模型的轻量或辅助实现。上述模型输出的是候选选项、得分、约束命中情况和依据，不构成自动授权或自动执行指令。</w:t>
      </w:r>
    </w:p>
    <w:p>
      <w:pPr>
        <w:spacing w:after="180" w:line="360"/>
        <w:ind w:firstLine="480"/>
        <w:jc w:val="both"/>
      </w:pPr>
      <w:r>
        <w:rPr>
          <w:rFonts w:ascii="宋体" w:cs="宋体" w:eastAsia="宋体" w:hAnsi="宋体"/>
          <w:sz w:val="22"/>
          <w:szCs w:val="22"/>
        </w:rPr>
        <w:t>execution_rule_matcher 主责支撑 KC-21 交战规则校验，并辅助 KC-20 选项选择；llm_rule_explainer 对同一功能提供 advisory 级别的自然语言解释。合规风险评分模型可作为规则校验的结构化风险输入。对于规则校验未通过、输入证据不足、模型不确定性过高或算法卡声明 requires_human_review 的情形，工作流应终止自动下游流转并转入人工复核。</w:t>
      </w:r>
    </w:p>
    <w:p>
      <w:pPr>
        <w:spacing w:after="180" w:line="360"/>
        <w:ind w:firstLine="480"/>
        <w:jc w:val="both"/>
      </w:pPr>
      <w:r>
        <w:rPr>
          <w:rFonts w:ascii="宋体" w:cs="宋体" w:eastAsia="宋体" w:hAnsi="宋体"/>
          <w:sz w:val="22"/>
          <w:szCs w:val="22"/>
        </w:rPr>
        <w:t>KC-17 优先级、KC-18 时间可用性和 KC-19 航迹保持共同构成目标选择的动态输入。随机森林优先级模型、轨迹回归/趋势预测和航迹更新器应以一致的目标标识、时间戳和数据版本输出结果；上层编排器在调用决策规划模型前应校验这些输入是否在有效时间窗内，避免采用过期航迹或失效分类结果。</w:t>
      </w:r>
    </w:p>
    <w:p>
      <w:pPr>
        <w:pStyle w:val="Heading2"/>
        <w:spacing w:after="160" w:before="160" w:line="360"/>
        <w:outlineLvl w:val="1"/>
      </w:pPr>
      <w:r>
        <w:rPr>
          <w:rFonts w:ascii="黑体" w:cs="黑体" w:eastAsia="黑体" w:hAnsi="黑体"/>
          <w:b/>
          <w:bCs/>
          <w:sz w:val="28"/>
          <w:szCs w:val="28"/>
        </w:rPr>
        <w:t>5.6 行动与评估阶段（KC-22 至 KC-28）</w:t>
      </w:r>
    </w:p>
    <w:p>
      <w:pPr>
        <w:spacing w:after="180" w:line="360"/>
        <w:ind w:firstLine="480"/>
        <w:jc w:val="both"/>
      </w:pPr>
      <w:r>
        <w:rPr>
          <w:rFonts w:ascii="宋体" w:cs="宋体" w:eastAsia="宋体" w:hAnsi="宋体"/>
          <w:sz w:val="22"/>
          <w:szCs w:val="22"/>
        </w:rPr>
        <w:t>marl_ppo_task_scheduler 及其 ONNX 变体主责覆盖 KC-26 再攻击任务，并以部分覆盖方式支撑 KC-22 命令下达；marl_dynamic_router 也可为 KC-22 提供任务消息与路由支撑。算法库在此阶段负责生成受控任务建议、调度结果和可审计的任务移交信息。KC-23 由功能目录明确为 external_system 边界，必须由外部系统根据授权流程处理，算法库仅返回 handoff_ready 类型的准备状态。</w:t>
      </w:r>
    </w:p>
    <w:p>
      <w:pPr>
        <w:spacing w:after="180" w:line="360"/>
        <w:ind w:firstLine="480"/>
        <w:jc w:val="both"/>
      </w:pPr>
      <w:r>
        <w:rPr>
          <w:rFonts w:ascii="宋体" w:cs="宋体" w:eastAsia="宋体" w:hAnsi="宋体"/>
          <w:sz w:val="22"/>
          <w:szCs w:val="22"/>
        </w:rPr>
        <w:t>trajectory_linear_predictor 和 trajectory_predictor 可部分支撑 KC-24 跟踪对象状态，siamese_mask2former_damage 和 xbd_damage_assessor 可部分支撑 KC-25 影响确认与 KC-27 动态评估。mission_completion_scorer 主责覆盖 KC-28 总体评价，并辅助 KC-27 动态评估。由变化检测、航迹状态和完成度评价构成的评估结果，应回写至任务上下文，并作为是否触发 KC-26 再任务的依据之一。</w:t>
      </w:r>
    </w:p>
    <w:p>
      <w:pPr>
        <w:pStyle w:val="Heading2"/>
        <w:spacing w:after="160" w:before="160" w:line="360"/>
        <w:outlineLvl w:val="1"/>
      </w:pPr>
      <w:r>
        <w:rPr>
          <w:rFonts w:ascii="黑体" w:cs="黑体" w:eastAsia="黑体" w:hAnsi="黑体"/>
          <w:b/>
          <w:bCs/>
          <w:sz w:val="28"/>
          <w:szCs w:val="28"/>
        </w:rPr>
        <w:t>5.7 覆盖矩阵与能力缺口</w:t>
      </w:r>
    </w:p>
    <w:p>
      <w:pPr>
        <w:spacing w:after="180" w:line="360"/>
        <w:ind w:firstLine="480"/>
        <w:jc w:val="both"/>
      </w:pPr>
      <w:r>
        <w:rPr>
          <w:rFonts w:ascii="宋体" w:cs="宋体" w:eastAsia="宋体" w:hAnsi="宋体"/>
          <w:sz w:val="22"/>
          <w:szCs w:val="22"/>
        </w:rPr>
        <w:t>从已登记算法卡看，KC-02、KC-05、KC-06、KC-07、KC-10、KC-11、KC-16、KC-17、KC-21、KC-26 和 KC-28 具有明确的主责实现；KC-13、KC-14、KC-15、KC-18、KC-19、KC-22、KC-24、KC-25、KC-27 主要由支撑或部分覆盖算法实现。KC-01、KC-03、KC-08、KC-09、KC-12、KC-20 等能力可由既有检测、跟踪、验证、聚类和规划算法形成组合支撑，但应在后续算法卡中补充显式 operational_functions 映射，以提高查询和审计的一致性。</w:t>
      </w:r>
    </w:p>
    <w:p>
      <w:pPr>
        <w:spacing w:after="180" w:line="360"/>
        <w:ind w:firstLine="480"/>
        <w:jc w:val="both"/>
      </w:pPr>
      <w:r>
        <w:rPr>
          <w:rFonts w:ascii="宋体" w:cs="宋体" w:eastAsia="宋体" w:hAnsi="宋体"/>
          <w:sz w:val="22"/>
          <w:szCs w:val="22"/>
        </w:rPr>
        <w:t>KC-23 不应以模型覆盖率衡量，而应以“授权信息完整、规则校验通过、人工复核完成、外部系统成功接收”衡量受控移交质量。对于 KC-04 目标定义、KC-08 定位、KC-09 检测验证及 KC-12 排序等功能，建议补充端到端 Golden Case，明确多算法组合输入、预期输出、时效上限和异常降级行为。</w:t>
      </w:r>
    </w:p>
    <w:p>
      <w:pPr>
        <w:spacing w:after="180" w:line="360"/>
        <w:ind w:firstLine="480"/>
        <w:jc w:val="both"/>
      </w:pPr>
      <w:r>
        <w:rPr>
          <w:rFonts w:ascii="宋体" w:cs="宋体" w:eastAsia="宋体" w:hAnsi="宋体"/>
          <w:sz w:val="22"/>
          <w:szCs w:val="22"/>
        </w:rPr>
        <w:t>建议将覆盖矩阵固化为注册中心可查询数据：按 function_id 查询时，优先返回 active 状态的主责算法及其可用部署实例，再返回支撑算法、覆盖等级、输入模态、资源约束和风险标记；当不存在主责模型或主责模型不可用时，运行协调器应返回明确的能力缺口或降级建议，而非隐式替代。</w:t>
      </w:r>
    </w:p>
    <w:p>
      <w:pPr>
        <w:pStyle w:val="Heading2"/>
        <w:spacing w:after="160" w:before="160" w:line="360"/>
        <w:outlineLvl w:val="1"/>
      </w:pPr>
      <w:r>
        <w:rPr>
          <w:rFonts w:ascii="黑体" w:cs="黑体" w:eastAsia="黑体" w:hAnsi="黑体"/>
          <w:b/>
          <w:bCs/>
          <w:sz w:val="28"/>
          <w:szCs w:val="28"/>
        </w:rPr>
        <w:t>5.8 面向运行编排的映射应用</w:t>
      </w:r>
    </w:p>
    <w:p>
      <w:pPr>
        <w:spacing w:after="180" w:line="360"/>
        <w:ind w:firstLine="480"/>
        <w:jc w:val="both"/>
      </w:pPr>
      <w:r>
        <w:rPr>
          <w:rFonts w:ascii="宋体" w:cs="宋体" w:eastAsia="宋体" w:hAnsi="宋体"/>
          <w:sz w:val="22"/>
          <w:szCs w:val="22"/>
        </w:rPr>
        <w:t>在运行时，Agent 或工作流可将当前 function_context 传入算法库统一调用接口。执行协调器据此解析算法卡默认映射或指定功能点，完成输入 Schema 校验、算法状态检查、Runner 获取、输出校验和审计记录。审计记录至少关联 request_id、trace_id、algorithm_id、version、function_id、role、coverage_level、输入来源、输出摘要、时延和部署实例，从而形成跨模型、跨节点的可追溯链路。</w:t>
      </w:r>
    </w:p>
    <w:p>
      <w:pPr>
        <w:spacing w:after="180" w:line="360"/>
        <w:ind w:firstLine="480"/>
        <w:jc w:val="both"/>
      </w:pPr>
      <w:r>
        <w:rPr>
          <w:rFonts w:ascii="宋体" w:cs="宋体" w:eastAsia="宋体" w:hAnsi="宋体"/>
          <w:sz w:val="22"/>
          <w:szCs w:val="22"/>
        </w:rPr>
        <w:t>典型编排路径可表示为：检测与变化分析生成观察结果；分类、识别、关系推理和证据验证形成目标/威胁态势；航迹更新、趋势预测和优先级模型形成目标排序；规划、推荐和规则匹配生成受控候选方案；调度模型给出再任务建议；变化检测和完成度模型对结果进行动态评估。每个阶段均应携带置信度、不确定性、数据时间戳和版本信息，并在高风险或证据不足时转人工复核。</w:t>
      </w:r>
    </w:p>
    <w:p>
      <w:pPr>
        <w:pStyle w:val="Heading2"/>
        <w:spacing w:after="160" w:before="160" w:line="360"/>
        <w:outlineLvl w:val="1"/>
      </w:pPr>
      <w:r>
        <w:rPr>
          <w:rFonts w:ascii="黑体" w:cs="黑体" w:eastAsia="黑体" w:hAnsi="黑体"/>
          <w:b/>
          <w:bCs/>
          <w:sz w:val="28"/>
          <w:szCs w:val="28"/>
        </w:rPr>
        <w:t>5.9 本章小结</w:t>
      </w:r>
    </w:p>
    <w:p>
      <w:pPr>
        <w:spacing w:after="180" w:line="360"/>
        <w:ind w:firstLine="480"/>
        <w:jc w:val="both"/>
      </w:pPr>
      <w:r>
        <w:rPr>
          <w:rFonts w:ascii="宋体" w:cs="宋体" w:eastAsia="宋体" w:hAnsi="宋体"/>
          <w:sz w:val="22"/>
          <w:szCs w:val="22"/>
        </w:rPr>
        <w:t>本章以 KC-01 至 KC-28 为统一功能标识，建立了二十类算法及其扩展实现与 OODA、F2T2EA 流程的映射关系。现有算法库已覆盖感知发现、分类识别、航迹维护、目标优先级、方案提名、规则校验、再任务和效果评价等关键能力；对需要多模型组合、尚未显式登记或属于外部受控系统边界的功能，明确了补齐与管控要求。下一章将基于模型类别、功能时效和部署形态，分析 Params、FLOPs、带宽、算力及节点部署适配策略。</w:t>
      </w:r>
    </w:p>
    <w:p>
      <w:pPr>
        <w:spacing w:after="180" w:line="360"/>
        <w:jc w:val="center"/>
      </w:pPr>
      <w:r>
        <w:rPr>
          <w:rFonts w:ascii="宋体" w:cs="宋体" w:eastAsia="宋体" w:hAnsi="宋体"/>
          <w:sz w:val="22"/>
          <w:szCs w:val="22"/>
        </w:rPr>
        <w:t>—— 第五章结束 ——</w:t>
      </w:r>
    </w:p>
    <w:p>
      <w:pPr>
        <w:pStyle w:val="Heading1"/>
        <w:pageBreakBefore/>
        <w:spacing w:after="240" w:before="240" w:line="360"/>
        <w:outlineLvl w:val="0"/>
      </w:pPr>
      <w:r>
        <w:rPr>
          <w:rFonts w:ascii="黑体" w:cs="黑体" w:eastAsia="黑体" w:hAnsi="黑体"/>
          <w:b/>
          <w:bCs/>
          <w:sz w:val="32"/>
          <w:szCs w:val="32"/>
        </w:rPr>
        <w:t>第6章 模型资源画像与部署适配</w:t>
      </w:r>
    </w:p>
    <w:p>
      <w:pPr>
        <w:spacing w:after="180" w:line="360"/>
        <w:ind w:firstLine="480"/>
        <w:jc w:val="both"/>
      </w:pPr>
      <w:r>
        <w:rPr>
          <w:rFonts w:ascii="宋体" w:cs="宋体" w:eastAsia="宋体" w:hAnsi="宋体"/>
          <w:sz w:val="22"/>
          <w:szCs w:val="22"/>
        </w:rPr>
        <w:t>本章面向算法库在边缘节点、机动节点、中心节点和离线内网环境中的运行需求，建立以模型形态、输入规模、显存占用、计算量、带宽占用、时延目标和运行依赖为核心的资源画像方法。资源画像用于部署前评估和运行时调度，不以单一参数量替代真实业务性能；同一算法在不同输入分辨率、批量、精度和硬件条件下的资源消耗应分别记录。</w:t>
      </w:r>
    </w:p>
    <w:p>
      <w:pPr>
        <w:pStyle w:val="Heading2"/>
        <w:spacing w:after="160" w:before="160" w:line="360"/>
        <w:outlineLvl w:val="1"/>
      </w:pPr>
      <w:r>
        <w:rPr>
          <w:rFonts w:ascii="黑体" w:cs="黑体" w:eastAsia="黑体" w:hAnsi="黑体"/>
          <w:b/>
          <w:bCs/>
          <w:sz w:val="28"/>
          <w:szCs w:val="28"/>
        </w:rPr>
        <w:t>6.1 资源画像指标体系</w:t>
      </w:r>
    </w:p>
    <w:p>
      <w:pPr>
        <w:spacing w:after="180" w:line="360"/>
        <w:ind w:firstLine="480"/>
        <w:jc w:val="both"/>
      </w:pPr>
      <w:r>
        <w:rPr>
          <w:rFonts w:ascii="宋体" w:cs="宋体" w:eastAsia="宋体" w:hAnsi="宋体"/>
          <w:sz w:val="22"/>
          <w:szCs w:val="22"/>
        </w:rPr>
        <w:t>每个算法版本应登记静态画像和动态画像。静态画像包括算法范式、模型文件大小、参数量、理论 FLOPs、运行后端、支持精度、依赖项、输入输出 Schema 与权重校验摘要；动态画像包括冷启动时间、稳态时延、峰值内存、显存、CPU 利用率、GPU 利用率、吞吐量和网络传输量。对于 HTTP 服务，还应记录健康检查耗时、服务并发上限和超时策略。</w:t>
      </w:r>
    </w:p>
    <w:p>
      <w:pPr>
        <w:spacing w:after="180" w:line="360"/>
        <w:ind w:firstLine="480"/>
        <w:jc w:val="both"/>
      </w:pPr>
      <w:r>
        <w:rPr>
          <w:rFonts w:ascii="宋体" w:cs="宋体" w:eastAsia="宋体" w:hAnsi="宋体"/>
          <w:sz w:val="22"/>
          <w:szCs w:val="22"/>
        </w:rPr>
        <w:t>资源指标应绑定基准环境、样本类型和测量方法。例如视觉模型必须标记图像分辨率、帧率和目标密度，时序模型必须标记窗口长度和预测步数，多模态模型必须标记模态数与嵌入维度。未经同一基准条件归一化的实测数据不得直接进行横向比较；未完成实测的字段应标记为待测，而非以估计值作为部署承诺。</w:t>
      </w:r>
    </w:p>
    <w:p>
      <w:pPr>
        <w:pStyle w:val="Heading2"/>
        <w:spacing w:after="160" w:before="160" w:line="360"/>
        <w:outlineLvl w:val="1"/>
      </w:pPr>
      <w:r>
        <w:rPr>
          <w:rFonts w:ascii="黑体" w:cs="黑体" w:eastAsia="黑体" w:hAnsi="黑体"/>
          <w:b/>
          <w:bCs/>
          <w:sz w:val="28"/>
          <w:szCs w:val="28"/>
        </w:rPr>
        <w:t>6.2 按算法类型的资源特征</w:t>
      </w:r>
    </w:p>
    <w:p>
      <w:pPr>
        <w:spacing w:after="180" w:line="360"/>
        <w:ind w:firstLine="480"/>
        <w:jc w:val="both"/>
      </w:pPr>
      <w:r>
        <w:rPr>
          <w:rFonts w:ascii="宋体" w:cs="宋体" w:eastAsia="宋体" w:hAnsi="宋体"/>
          <w:sz w:val="22"/>
          <w:szCs w:val="22"/>
        </w:rPr>
        <w:t>随机森林、朴素贝叶斯、线性预测、规则匹配、聚类和部分评分模型通常以 CPU 推理为主，模型体积和推理开销较低，适宜放置在边缘或机动节点。RT-DETR、变化检测、多目标跟踪、多模态融合、图神经网络和强化学习策略网络对 GPU、内存带宽或实时数据供给更敏感，应按任务时效和节点能力选择部署位置。检索增强、语义通信和大语言模型还需额外评估上下文长度、索引规模和模型加载时间。</w:t>
      </w:r>
    </w:p>
    <w:p>
      <w:pPr>
        <w:spacing w:after="180" w:line="360"/>
        <w:ind w:firstLine="480"/>
        <w:jc w:val="both"/>
      </w:pPr>
      <w:r>
        <w:rPr>
          <w:rFonts w:ascii="宋体" w:cs="宋体" w:eastAsia="宋体" w:hAnsi="宋体"/>
          <w:sz w:val="22"/>
          <w:szCs w:val="22"/>
        </w:rPr>
        <w:t>对于同一能力的 Python HTTP 服务和 ONNX 本地推理实现，应分别管理资源画像。ONNX 适合高频、低时延、依赖稳定的张量推理；Python HTTP 服务适合复杂预处理、模型链路较长或需要频繁迭代的算法。实际选择还应考虑进程隔离、升级便利性、故障域和安全审计，不能仅依据单次推理时延决定。</w:t>
      </w:r>
    </w:p>
    <w:p>
      <w:pPr>
        <w:pStyle w:val="Heading2"/>
        <w:spacing w:after="160" w:before="160" w:line="360"/>
        <w:outlineLvl w:val="1"/>
      </w:pPr>
      <w:r>
        <w:rPr>
          <w:rFonts w:ascii="黑体" w:cs="黑体" w:eastAsia="黑体" w:hAnsi="黑体"/>
          <w:b/>
          <w:bCs/>
          <w:sz w:val="28"/>
          <w:szCs w:val="28"/>
        </w:rPr>
        <w:t>6.3 分级部署档与节点适配</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2400"/>
        <w:gridCol w:w="1600"/>
        <w:gridCol w:w="2200"/>
      </w:tblGrid>
      <w:tr>
        <w:tc>
          <w:tcPr>
            <w:tcW w:type="dxa" w:w="1200"/>
            <w:tcBorders>
              <w:top w:val="single" w:color="A6A6A6" w:sz="4"/>
              <w:left w:val="single" w:color="A6A6A6" w:sz="4"/>
              <w:bottom w:val="single" w:color="A6A6A6" w:sz="4"/>
              <w:right w:val="single" w:color="A6A6A6" w:sz="4"/>
            </w:tcBorders>
            <w:shd w:fill="D9EAF7" w:val="clear"/>
            <w:tcMar>
              <w:top w:type="dxa" w:w="90"/>
              <w:left w:type="dxa" w:w="120"/>
              <w:bottom w:type="dxa" w:w="90"/>
              <w:right w:type="dxa" w:w="120"/>
            </w:tcMar>
            <w:vAlign w:val="center"/>
          </w:tcPr>
          <w:p>
            <w:pPr>
              <w:spacing w:after="0" w:line="280"/>
              <w:jc w:val="center"/>
            </w:pPr>
            <w:r>
              <w:rPr>
                <w:rFonts w:eastAsia="Arial"/>
                <w:sz w:val="20"/>
                <w:szCs w:val="20"/>
                <w:b/>
                <w:bCs/>
              </w:rPr>
              <w:t>计算档</w:t>
            </w:r>
          </w:p>
        </w:tc>
        <w:tc>
          <w:tcPr>
            <w:tcW w:type="dxa" w:w="2200"/>
            <w:tcBorders>
              <w:top w:val="single" w:color="A6A6A6" w:sz="4"/>
              <w:left w:val="single" w:color="A6A6A6" w:sz="4"/>
              <w:bottom w:val="single" w:color="A6A6A6" w:sz="4"/>
              <w:right w:val="single" w:color="A6A6A6" w:sz="4"/>
            </w:tcBorders>
            <w:shd w:fill="D9EAF7" w:val="clear"/>
            <w:tcMar>
              <w:top w:type="dxa" w:w="90"/>
              <w:left w:type="dxa" w:w="120"/>
              <w:bottom w:type="dxa" w:w="90"/>
              <w:right w:type="dxa" w:w="120"/>
            </w:tcMar>
            <w:vAlign w:val="center"/>
          </w:tcPr>
          <w:p>
            <w:pPr>
              <w:spacing w:after="0" w:line="280"/>
              <w:jc w:val="center"/>
            </w:pPr>
            <w:r>
              <w:rPr>
                <w:rFonts w:eastAsia="Arial"/>
                <w:sz w:val="20"/>
                <w:szCs w:val="20"/>
                <w:b/>
                <w:bCs/>
              </w:rPr>
              <w:t>典型资源</w:t>
            </w:r>
          </w:p>
        </w:tc>
        <w:tc>
          <w:tcPr>
            <w:tcW w:type="dxa" w:w="2400"/>
            <w:tcBorders>
              <w:top w:val="single" w:color="A6A6A6" w:sz="4"/>
              <w:left w:val="single" w:color="A6A6A6" w:sz="4"/>
              <w:bottom w:val="single" w:color="A6A6A6" w:sz="4"/>
              <w:right w:val="single" w:color="A6A6A6" w:sz="4"/>
            </w:tcBorders>
            <w:shd w:fill="D9EAF7" w:val="clear"/>
            <w:tcMar>
              <w:top w:type="dxa" w:w="90"/>
              <w:left w:type="dxa" w:w="120"/>
              <w:bottom w:type="dxa" w:w="90"/>
              <w:right w:type="dxa" w:w="120"/>
            </w:tcMar>
            <w:vAlign w:val="center"/>
          </w:tcPr>
          <w:p>
            <w:pPr>
              <w:spacing w:after="0" w:line="280"/>
              <w:jc w:val="center"/>
            </w:pPr>
            <w:r>
              <w:rPr>
                <w:rFonts w:eastAsia="Arial"/>
                <w:sz w:val="20"/>
                <w:szCs w:val="20"/>
                <w:b/>
                <w:bCs/>
              </w:rPr>
              <w:t>代表算法</w:t>
            </w:r>
          </w:p>
        </w:tc>
        <w:tc>
          <w:tcPr>
            <w:tcW w:type="dxa" w:w="1600"/>
            <w:tcBorders>
              <w:top w:val="single" w:color="A6A6A6" w:sz="4"/>
              <w:left w:val="single" w:color="A6A6A6" w:sz="4"/>
              <w:bottom w:val="single" w:color="A6A6A6" w:sz="4"/>
              <w:right w:val="single" w:color="A6A6A6" w:sz="4"/>
            </w:tcBorders>
            <w:shd w:fill="D9EAF7" w:val="clear"/>
            <w:tcMar>
              <w:top w:type="dxa" w:w="90"/>
              <w:left w:type="dxa" w:w="120"/>
              <w:bottom w:type="dxa" w:w="90"/>
              <w:right w:type="dxa" w:w="120"/>
            </w:tcMar>
            <w:vAlign w:val="center"/>
          </w:tcPr>
          <w:p>
            <w:pPr>
              <w:spacing w:after="0" w:line="280"/>
              <w:jc w:val="center"/>
            </w:pPr>
            <w:r>
              <w:rPr>
                <w:rFonts w:eastAsia="Arial"/>
                <w:sz w:val="20"/>
                <w:szCs w:val="20"/>
                <w:b/>
                <w:bCs/>
              </w:rPr>
              <w:t>部署节点</w:t>
            </w:r>
          </w:p>
        </w:tc>
        <w:tc>
          <w:tcPr>
            <w:tcW w:type="dxa" w:w="2200"/>
            <w:tcBorders>
              <w:top w:val="single" w:color="A6A6A6" w:sz="4"/>
              <w:left w:val="single" w:color="A6A6A6" w:sz="4"/>
              <w:bottom w:val="single" w:color="A6A6A6" w:sz="4"/>
              <w:right w:val="single" w:color="A6A6A6" w:sz="4"/>
            </w:tcBorders>
            <w:shd w:fill="D9EAF7" w:val="clear"/>
            <w:tcMar>
              <w:top w:type="dxa" w:w="90"/>
              <w:left w:type="dxa" w:w="120"/>
              <w:bottom w:type="dxa" w:w="90"/>
              <w:right w:type="dxa" w:w="120"/>
            </w:tcMar>
            <w:vAlign w:val="center"/>
          </w:tcPr>
          <w:p>
            <w:pPr>
              <w:spacing w:after="0" w:line="280"/>
              <w:jc w:val="center"/>
            </w:pPr>
            <w:r>
              <w:rPr>
                <w:rFonts w:eastAsia="Arial"/>
                <w:sz w:val="20"/>
                <w:szCs w:val="20"/>
                <w:b/>
                <w:bCs/>
              </w:rPr>
              <w:t>运行特征</w:t>
            </w:r>
          </w:p>
        </w:tc>
      </w:tr>
      <w:tr>
        <w:tc>
          <w:tcPr>
            <w:tcW w:type="dxa" w:w="12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center"/>
            </w:pPr>
            <w:r>
              <w:rPr>
                <w:rFonts w:eastAsia="Arial"/>
                <w:sz w:val="20"/>
                <w:szCs w:val="20"/>
              </w:rPr>
              <w:t>small</w:t>
            </w:r>
          </w:p>
        </w:tc>
        <w:tc>
          <w:tcPr>
            <w:tcW w:type="dxa" w:w="22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center"/>
            </w:pPr>
            <w:r>
              <w:rPr>
                <w:rFonts w:eastAsia="Arial"/>
                <w:sz w:val="20"/>
                <w:szCs w:val="20"/>
              </w:rPr>
              <w:t>8GB显存/边缘设备</w:t>
            </w:r>
          </w:p>
        </w:tc>
        <w:tc>
          <w:tcPr>
            <w:tcW w:type="dxa" w:w="24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center"/>
            </w:pPr>
            <w:r>
              <w:rPr>
                <w:rFonts w:eastAsia="Arial"/>
                <w:sz w:val="20"/>
                <w:szCs w:val="20"/>
              </w:rPr>
              <w:t>规则匹配、朴素贝叶斯、线性预测</w:t>
            </w:r>
          </w:p>
        </w:tc>
        <w:tc>
          <w:tcPr>
            <w:tcW w:type="dxa" w:w="16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center"/>
            </w:pPr>
            <w:r>
              <w:rPr>
                <w:rFonts w:eastAsia="Arial"/>
                <w:sz w:val="20"/>
                <w:szCs w:val="20"/>
              </w:rPr>
              <w:t>边缘节点</w:t>
            </w:r>
          </w:p>
        </w:tc>
        <w:tc>
          <w:tcPr>
            <w:tcW w:type="dxa" w:w="22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center"/>
            </w:pPr>
            <w:r>
              <w:rPr>
                <w:rFonts w:eastAsia="Arial"/>
                <w:sz w:val="20"/>
                <w:szCs w:val="20"/>
              </w:rPr>
              <w:t>低时延优先</w:t>
            </w:r>
          </w:p>
        </w:tc>
      </w:tr>
      <w:tr>
        <w:tc>
          <w:tcPr>
            <w:tcW w:type="dxa" w:w="12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center"/>
            </w:pPr>
            <w:r>
              <w:rPr>
                <w:rFonts w:eastAsia="Arial"/>
                <w:sz w:val="20"/>
                <w:szCs w:val="20"/>
              </w:rPr>
              <w:t>medium</w:t>
            </w:r>
          </w:p>
        </w:tc>
        <w:tc>
          <w:tcPr>
            <w:tcW w:type="dxa" w:w="22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center"/>
            </w:pPr>
            <w:r>
              <w:rPr>
                <w:rFonts w:eastAsia="Arial"/>
                <w:sz w:val="20"/>
                <w:szCs w:val="20"/>
              </w:rPr>
              <w:t>12–16GB GPU/标准</w:t>
            </w:r>
          </w:p>
        </w:tc>
        <w:tc>
          <w:tcPr>
            <w:tcW w:type="dxa" w:w="24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center"/>
            </w:pPr>
            <w:r>
              <w:rPr>
                <w:rFonts w:eastAsia="Arial"/>
                <w:sz w:val="20"/>
                <w:szCs w:val="20"/>
              </w:rPr>
              <w:t>检测、跟踪、时序、证据评估</w:t>
            </w:r>
          </w:p>
        </w:tc>
        <w:tc>
          <w:tcPr>
            <w:tcW w:type="dxa" w:w="16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center"/>
            </w:pPr>
            <w:r>
              <w:rPr>
                <w:rFonts w:eastAsia="Arial"/>
                <w:sz w:val="20"/>
                <w:szCs w:val="20"/>
              </w:rPr>
              <w:t>标准节点</w:t>
            </w:r>
          </w:p>
        </w:tc>
        <w:tc>
          <w:tcPr>
            <w:tcW w:type="dxa" w:w="22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center"/>
            </w:pPr>
            <w:r>
              <w:rPr>
                <w:rFonts w:eastAsia="Arial"/>
                <w:sz w:val="20"/>
                <w:szCs w:val="20"/>
              </w:rPr>
              <w:t>精度速度均衡</w:t>
            </w:r>
          </w:p>
        </w:tc>
      </w:tr>
      <w:tr>
        <w:tc>
          <w:tcPr>
            <w:tcW w:type="dxa" w:w="12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center"/>
            </w:pPr>
            <w:r>
              <w:rPr>
                <w:rFonts w:eastAsia="Arial"/>
                <w:sz w:val="20"/>
                <w:szCs w:val="20"/>
              </w:rPr>
              <w:t>large</w:t>
            </w:r>
          </w:p>
        </w:tc>
        <w:tc>
          <w:tcPr>
            <w:tcW w:type="dxa" w:w="22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center"/>
            </w:pPr>
            <w:r>
              <w:rPr>
                <w:rFonts w:eastAsia="Arial"/>
                <w:sz w:val="20"/>
                <w:szCs w:val="20"/>
              </w:rPr>
              <w:t>24GB+ GPU/高性能</w:t>
            </w:r>
          </w:p>
        </w:tc>
        <w:tc>
          <w:tcPr>
            <w:tcW w:type="dxa" w:w="24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center"/>
            </w:pPr>
            <w:r>
              <w:rPr>
                <w:rFonts w:eastAsia="Arial"/>
                <w:sz w:val="20"/>
                <w:szCs w:val="20"/>
              </w:rPr>
              <w:t>多模态融合、分割、图推理</w:t>
            </w:r>
          </w:p>
        </w:tc>
        <w:tc>
          <w:tcPr>
            <w:tcW w:type="dxa" w:w="16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center"/>
            </w:pPr>
            <w:r>
              <w:rPr>
                <w:rFonts w:eastAsia="Arial"/>
                <w:sz w:val="20"/>
                <w:szCs w:val="20"/>
              </w:rPr>
              <w:t>高性能节点</w:t>
            </w:r>
          </w:p>
        </w:tc>
        <w:tc>
          <w:tcPr>
            <w:tcW w:type="dxa" w:w="22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center"/>
            </w:pPr>
            <w:r>
              <w:rPr>
                <w:rFonts w:eastAsia="Arial"/>
                <w:sz w:val="20"/>
                <w:szCs w:val="20"/>
              </w:rPr>
              <w:t>大输入高精度</w:t>
            </w:r>
          </w:p>
        </w:tc>
      </w:tr>
      <w:tr>
        <w:tc>
          <w:tcPr>
            <w:tcW w:type="dxa" w:w="12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center"/>
            </w:pPr>
            <w:r>
              <w:rPr>
                <w:rFonts w:eastAsia="Arial"/>
                <w:sz w:val="20"/>
                <w:szCs w:val="20"/>
              </w:rPr>
              <w:t>offline</w:t>
            </w:r>
          </w:p>
        </w:tc>
        <w:tc>
          <w:tcPr>
            <w:tcW w:type="dxa" w:w="22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center"/>
            </w:pPr>
            <w:r>
              <w:rPr>
                <w:rFonts w:eastAsia="Arial"/>
                <w:sz w:val="20"/>
                <w:szCs w:val="20"/>
              </w:rPr>
              <w:t>同medium+本地权重</w:t>
            </w:r>
          </w:p>
        </w:tc>
        <w:tc>
          <w:tcPr>
            <w:tcW w:type="dxa" w:w="24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center"/>
            </w:pPr>
            <w:r>
              <w:rPr>
                <w:rFonts w:eastAsia="Arial"/>
                <w:sz w:val="20"/>
                <w:szCs w:val="20"/>
              </w:rPr>
              <w:t>联邦聚合、批量训练、全局治理</w:t>
            </w:r>
          </w:p>
        </w:tc>
        <w:tc>
          <w:tcPr>
            <w:tcW w:type="dxa" w:w="16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center"/>
            </w:pPr>
            <w:r>
              <w:rPr>
                <w:rFonts w:eastAsia="Arial"/>
                <w:sz w:val="20"/>
                <w:szCs w:val="20"/>
              </w:rPr>
              <w:t>中心/离线内网</w:t>
            </w:r>
          </w:p>
        </w:tc>
        <w:tc>
          <w:tcPr>
            <w:tcW w:type="dxa" w:w="22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center"/>
            </w:pPr>
            <w:r>
              <w:rPr>
                <w:rFonts w:eastAsia="Arial"/>
                <w:sz w:val="20"/>
                <w:szCs w:val="20"/>
              </w:rPr>
              <w:t>无外网依赖</w:t>
            </w:r>
          </w:p>
        </w:tc>
      </w:tr>
    </w:tbl>
    <w:p>
      <w:pPr>
        <w:spacing w:after="120" w:line="280" w:lineRule="auto"/>
        <w:jc w:val="center"/>
      </w:pPr>
      <w:r>
        <w:rPr>
          <w:rFonts w:eastAsia="Arial"/>
          <w:sz w:val="20"/>
          <w:szCs w:val="20"/>
        </w:rPr>
        <w:t>表 6-1  分级部署档与节点适配</w:t>
      </w:r>
    </w:p>
    <w:p>
      <w:pPr>
        <w:spacing w:after="180" w:line="360"/>
        <w:ind w:firstLine="480"/>
        <w:jc w:val="both"/>
      </w:pPr>
      <w:r>
        <w:rPr>
          <w:rFonts w:ascii="宋体" w:cs="宋体" w:eastAsia="宋体" w:hAnsi="宋体"/>
          <w:sz w:val="22"/>
          <w:szCs w:val="22"/>
        </w:rPr>
        <w:t>算法库定义 small、medium、large 与 offline 四类计算档。small 档面向 8GB 显存边缘设备，采用较小检测输入和 256 维嵌入，优先满足低时延；medium 档面向 12 至 16GB GPU，是精度与速度均衡的默认部署；large 档面向 24GB 以上工作站 GPU，采用更大输入尺寸和嵌入维度以提高精度；offline 档在 medium 档资源基础上引用本地权重和本地预训练目录，适配内网无外网场景。</w:t>
      </w:r>
    </w:p>
    <w:p>
      <w:pPr>
        <w:spacing w:after="180" w:line="360"/>
        <w:ind w:firstLine="480"/>
        <w:jc w:val="both"/>
      </w:pPr>
      <w:r>
        <w:rPr>
          <w:rFonts w:ascii="宋体" w:cs="宋体" w:eastAsia="宋体" w:hAnsi="宋体"/>
          <w:sz w:val="22"/>
          <w:szCs w:val="22"/>
        </w:rPr>
        <w:t>边缘节点宜承载初筛检测、轻量分类、航迹短时外推和数据摘要，减少原始数据回传；中心节点宜承载高分辨率变化检测、复杂融合、图推理、知识检索和批量评估；机动节点可作为按任务编组的临时算力池。节点资源不足时，调度器应优先降低输入分辨率、切换轻量模型或仅发送结构化结果，并在审计中记录降级原因、实际配置和可能影响。</w:t>
      </w:r>
    </w:p>
    <w:p>
      <w:pPr>
        <w:pStyle w:val="Heading2"/>
        <w:spacing w:after="160" w:before="160" w:line="360"/>
        <w:outlineLvl w:val="1"/>
      </w:pPr>
      <w:r>
        <w:rPr>
          <w:rFonts w:ascii="黑体" w:cs="黑体" w:eastAsia="黑体" w:hAnsi="黑体"/>
          <w:b/>
          <w:bCs/>
          <w:sz w:val="28"/>
          <w:szCs w:val="28"/>
        </w:rPr>
        <w:t>6.4 带宽、缓存与离线保障</w:t>
      </w:r>
    </w:p>
    <w:p>
      <w:pPr>
        <w:spacing w:after="180" w:line="360"/>
        <w:ind w:firstLine="480"/>
        <w:jc w:val="both"/>
      </w:pPr>
      <w:r>
        <w:rPr>
          <w:rFonts w:ascii="宋体" w:cs="宋体" w:eastAsia="宋体" w:hAnsi="宋体"/>
          <w:sz w:val="22"/>
          <w:szCs w:val="22"/>
        </w:rPr>
        <w:t>带宽资源应按原始数据、特征数据和结构化结果分层规划。图像、视频和点云等高带宽输入尽可能在采集侧或邻近节点完成感知处理；跨节点优先传输目标框、类别、航迹、置信度、证据引用和任务状态。对于需要回传原始证据的情形，应使用任务优先级、断点续传、缓存淘汰和完整性校验策略，避免低优先级数据挤占实时链路。</w:t>
      </w:r>
    </w:p>
    <w:p>
      <w:pPr>
        <w:spacing w:after="180" w:line="360"/>
        <w:ind w:firstLine="480"/>
        <w:jc w:val="both"/>
      </w:pPr>
      <w:r>
        <w:rPr>
          <w:rFonts w:ascii="宋体" w:cs="宋体" w:eastAsia="宋体" w:hAnsi="宋体"/>
          <w:sz w:val="22"/>
          <w:szCs w:val="22"/>
        </w:rPr>
        <w:t>离线部署采用有网环境打包、受控介质或专线传输、内网校验和本地加载的流程。模型权重、依赖快照和离线清单必须一并交付，并通过 SHA256 或等效校验机制验证；运行时应启用离线环境变量，禁止框架隐式联网下载。模型缺失时可进入接口联调模式，但必须在响应和验收结果中明确标记，不得将 Mock、fallback 或随机初始化结果作为真实模型能力。</w:t>
      </w:r>
    </w:p>
    <w:p>
      <w:pPr>
        <w:pStyle w:val="Heading2"/>
        <w:spacing w:after="160" w:before="160" w:line="360"/>
        <w:outlineLvl w:val="1"/>
      </w:pPr>
      <w:r>
        <w:rPr>
          <w:rFonts w:ascii="黑体" w:cs="黑体" w:eastAsia="黑体" w:hAnsi="黑体"/>
          <w:b/>
          <w:bCs/>
          <w:sz w:val="28"/>
          <w:szCs w:val="28"/>
        </w:rPr>
        <w:t>6.5 本章小结</w:t>
      </w:r>
    </w:p>
    <w:p>
      <w:pPr>
        <w:spacing w:after="180" w:line="360"/>
        <w:ind w:firstLine="480"/>
        <w:jc w:val="both"/>
      </w:pPr>
      <w:r>
        <w:rPr>
          <w:rFonts w:ascii="宋体" w:cs="宋体" w:eastAsia="宋体" w:hAnsi="宋体"/>
          <w:sz w:val="22"/>
          <w:szCs w:val="22"/>
        </w:rPr>
        <w:t>本章建立了覆盖计算、存储、带宽、依赖和部署环境的资源画像框架，提出按计算档、节点职责和数据传输层次进行部署适配。资源画像的最终目标是让运行编排能够在满足时效、可信和安全约束的前提下，选择可用且可解释的算法实例。</w:t>
      </w:r>
    </w:p>
    <w:p>
      <w:pPr>
        <w:pStyle w:val="Heading1"/>
        <w:pageBreakBefore/>
        <w:spacing w:after="240" w:before="240" w:line="360"/>
        <w:outlineLvl w:val="0"/>
      </w:pPr>
      <w:r>
        <w:rPr>
          <w:rFonts w:ascii="黑体" w:cs="黑体" w:eastAsia="黑体" w:hAnsi="黑体"/>
          <w:b/>
          <w:bCs/>
          <w:sz w:val="32"/>
          <w:szCs w:val="32"/>
        </w:rPr>
        <w:t>第7章 模型选择策略与编排机制</w:t>
      </w:r>
    </w:p>
    <w:p>
      <w:pPr>
        <w:spacing w:after="180" w:line="360"/>
        <w:ind w:firstLine="480"/>
        <w:jc w:val="both"/>
      </w:pPr>
      <w:r>
        <w:rPr>
          <w:rFonts w:ascii="宋体" w:cs="宋体" w:eastAsia="宋体" w:hAnsi="宋体"/>
          <w:sz w:val="22"/>
          <w:szCs w:val="22"/>
        </w:rPr>
        <w:t>模型选择不是按算法名称直接调用，而是以任务功能点、输入模态、时效目标、资源约束、可信要求、部署可达性和生命周期状态为条件的受控决策。编排机制负责把单模型输出组织为可验证的任务链，并在输入不完整、实例不可用或风险超过阈值时给出可审计的降级与人工复核路径。</w:t>
      </w:r>
    </w:p>
    <w:p>
      <w:pPr>
        <w:pStyle w:val="Heading2"/>
        <w:spacing w:after="160" w:before="160" w:line="360"/>
        <w:outlineLvl w:val="1"/>
      </w:pPr>
      <w:r>
        <w:rPr>
          <w:rFonts w:ascii="黑体" w:cs="黑体" w:eastAsia="黑体" w:hAnsi="黑体"/>
          <w:b/>
          <w:bCs/>
          <w:sz w:val="28"/>
          <w:szCs w:val="28"/>
        </w:rPr>
        <w:t>7.1 模型选择的目标与约束</w:t>
      </w:r>
    </w:p>
    <w:p>
      <w:pPr>
        <w:spacing w:after="180" w:line="360"/>
        <w:ind w:firstLine="480"/>
        <w:jc w:val="both"/>
      </w:pPr>
      <w:r>
        <w:rPr>
          <w:rFonts w:ascii="宋体" w:cs="宋体" w:eastAsia="宋体" w:hAnsi="宋体"/>
          <w:sz w:val="22"/>
          <w:szCs w:val="22"/>
        </w:rPr>
        <w:t>模型选择的目标是在给定功能点、任务时限和部署环境下，选取满足任务效果、资源可承受、运行可达、结果可信且可追溯的算法实例。选择对象不是抽象的算法类别，而是带有版本、后端、模型文件、配置、资源画像和验证状态的算法发布实例。系统应同时输出推荐理由、约束命中情况、候选集和淘汰原因，避免形成不可解释的黑盒路由。</w:t>
      </w:r>
    </w:p>
    <w:p>
      <w:pPr>
        <w:spacing w:after="180" w:line="360"/>
        <w:ind w:firstLine="480"/>
        <w:jc w:val="both"/>
      </w:pPr>
      <w:r>
        <w:rPr>
          <w:rFonts w:ascii="宋体" w:cs="宋体" w:eastAsia="宋体" w:hAnsi="宋体"/>
          <w:sz w:val="22"/>
          <w:szCs w:val="22"/>
        </w:rPr>
        <w:t>约束按硬约束和软约束两类管理。硬约束包括输入模态与 Schema 兼容、密级与授权范围、模型可用状态、节点可达性、依赖完整性、最大时延、显存或内存上限以及禁止使用的版本；任一硬约束不满足即从候选集中剔除。软约束包括精度、置信度、时延余量、资源余量、历史稳定性、解释性、数据新鲜度和复用优先级，用于候选排序和策略优化。</w:t>
      </w:r>
    </w:p>
    <w:p>
      <w:pPr>
        <w:pStyle w:val="Heading2"/>
        <w:spacing w:after="160" w:before="160" w:line="360"/>
        <w:outlineLvl w:val="1"/>
      </w:pPr>
      <w:r>
        <w:rPr>
          <w:rFonts w:ascii="黑体" w:cs="黑体" w:eastAsia="黑体" w:hAnsi="黑体"/>
          <w:b/>
          <w:bCs/>
          <w:sz w:val="28"/>
          <w:szCs w:val="28"/>
        </w:rPr>
        <w:t>7.2 候选集生成与准入校验</w:t>
      </w:r>
    </w:p>
    <w:p>
      <w:pPr>
        <w:spacing w:after="180" w:line="360"/>
        <w:ind w:firstLine="480"/>
        <w:jc w:val="both"/>
      </w:pPr>
      <w:r>
        <w:rPr>
          <w:rFonts w:ascii="宋体" w:cs="宋体" w:eastAsia="宋体" w:hAnsi="宋体"/>
          <w:sz w:val="22"/>
          <w:szCs w:val="22"/>
        </w:rPr>
        <w:t>编排器首先依据功能点编码、任务类型和输入模态从算法卡注册表召回候选实例。例如，KC-01 至 KC-10 的观察发现任务优先召回检测、变化检测、聚类和多模态融合能力；KC-11 至 KC-15 的判断与航迹任务优先召回关联推理、图神经网络、目标跟踪与时序预测能力；KC-16 至 KC-28 的决策、行动与评估任务则按规划、强化学习、知识检索、风险评分和效果评估能力筛选。</w:t>
      </w:r>
    </w:p>
    <w:p>
      <w:pPr>
        <w:spacing w:after="180" w:line="360"/>
        <w:ind w:firstLine="480"/>
        <w:jc w:val="both"/>
      </w:pPr>
      <w:r>
        <w:rPr>
          <w:rFonts w:ascii="宋体" w:cs="宋体" w:eastAsia="宋体" w:hAnsi="宋体"/>
          <w:sz w:val="22"/>
          <w:szCs w:val="22"/>
        </w:rPr>
        <w:t>准入校验应按“元数据—输入—运行—安全”四层执行：元数据层核验 algorithm_id、版本、成熟度和验收状态；输入层核验字段、单位、坐标系、时间范围、数据质量和样本数量；运行层核验后端类型、模型文件校验和、依赖、节点健康度和资源余量；安全层核验数据分级、调用方身份、可见范围和审计策略。校验结果应形成 machine-readable 的 rejection_reason，供上层工作流修正请求或转入替代路径。</w:t>
      </w:r>
    </w:p>
    <w:p>
      <w:pPr>
        <w:pStyle w:val="Heading2"/>
        <w:spacing w:after="160" w:before="160" w:line="360"/>
        <w:outlineLvl w:val="1"/>
      </w:pPr>
      <w:r>
        <w:rPr>
          <w:rFonts w:ascii="黑体" w:cs="黑体" w:eastAsia="黑体" w:hAnsi="黑体"/>
          <w:b/>
          <w:bCs/>
          <w:sz w:val="28"/>
          <w:szCs w:val="28"/>
        </w:rPr>
        <w:t>7.3 多维评分与选择策略</w:t>
      </w:r>
    </w:p>
    <w:p>
      <w:pPr>
        <w:spacing w:after="120" w:line="280" w:lineRule="auto"/>
        <w:jc w:val="center"/>
      </w:pPr>
      <w:r>
        <w:drawing>
          <wp:inline distT="0" distB="0" distL="0" distR="0">
            <wp:extent cx="5500000" cy="2612500"/>
            <wp:effectExtent l="0" t="0" r="0" b="0"/>
            <wp:docPr id="105" name="Figure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image.png"/>
                    <pic:cNvPicPr/>
                  </pic:nvPicPr>
                  <pic:blipFill>
                    <a:blip r:embed="rId12"/>
                    <a:stretch>
                      <a:fillRect/>
                    </a:stretch>
                  </pic:blipFill>
                  <pic:spPr>
                    <a:xfrm>
                      <a:off x="0" y="0"/>
                      <a:ext cx="5500000" cy="2612500"/>
                    </a:xfrm>
                    <a:prstGeom prst="rect">
                      <a:avLst/>
                    </a:prstGeom>
                  </pic:spPr>
                </pic:pic>
              </a:graphicData>
            </a:graphic>
          </wp:inline>
        </w:drawing>
      </w:r>
    </w:p>
    <w:p>
      <w:pPr>
        <w:spacing w:after="120" w:line="280" w:lineRule="auto"/>
        <w:jc w:val="center"/>
      </w:pPr>
      <w:r>
        <w:rPr>
          <w:rFonts w:eastAsia="Arial"/>
          <w:sz w:val="20"/>
          <w:szCs w:val="20"/>
        </w:rPr>
        <w:t>图 7-1  模型选择流程</w:t>
      </w:r>
    </w:p>
    <w:p>
      <w:pPr>
        <w:spacing w:after="180" w:line="360"/>
        <w:ind w:firstLine="480"/>
        <w:jc w:val="both"/>
      </w:pPr>
      <w:r>
        <w:rPr>
          <w:rFonts w:ascii="宋体" w:cs="宋体" w:eastAsia="宋体" w:hAnsi="宋体"/>
          <w:sz w:val="22"/>
          <w:szCs w:val="22"/>
        </w:rPr>
        <w:t>通过硬约束的候选实例采用可配置的加权评分排序。建议综合评分 S 由任务匹配度、质量得分、时效得分、资源适配度、运行可靠度、数据适配度和可解释性得分构成；各指标标准化到 0 至 1，权重随任务等级、节点类型和业务策略变化。对实时预警任务可提高时效和可靠度权重；对离线研判任务可提高质量、可解释性和可复现性权重。</w:t>
      </w:r>
    </w:p>
    <w:p>
      <w:pPr>
        <w:spacing w:after="180" w:line="360"/>
        <w:ind w:firstLine="480"/>
        <w:jc w:val="both"/>
      </w:pPr>
      <w:r>
        <w:rPr>
          <w:rFonts w:ascii="宋体" w:cs="宋体" w:eastAsia="宋体" w:hAnsi="宋体"/>
          <w:sz w:val="22"/>
          <w:szCs w:val="22"/>
        </w:rPr>
        <w:t>评分配置必须版本化并与任务记录关联，禁止在运行中通过未审计的隐式规则修改结果。对于分数接近的候选，可采用主备并行、A/B 评估或人工确认；对于高风险任务，应设置最低质量阈值和置信度下限，而不是仅选择总分最高的模型。模型历史表现应以黄金用例、线上健康度、失败率和数据漂移检测结果为依据，防止过期模型因静态配置而被持续优先选择。</w:t>
      </w:r>
    </w:p>
    <w:p>
      <w:pPr>
        <w:pStyle w:val="Heading2"/>
        <w:spacing w:after="160" w:before="160" w:line="360"/>
        <w:outlineLvl w:val="1"/>
      </w:pPr>
      <w:r>
        <w:rPr>
          <w:rFonts w:ascii="黑体" w:cs="黑体" w:eastAsia="黑体" w:hAnsi="黑体"/>
          <w:b/>
          <w:bCs/>
          <w:sz w:val="28"/>
          <w:szCs w:val="28"/>
        </w:rPr>
        <w:t>7.4 任务链编排与依赖控制</w:t>
      </w:r>
    </w:p>
    <w:p>
      <w:pPr>
        <w:spacing w:after="120" w:line="280" w:lineRule="auto"/>
        <w:jc w:val="center"/>
      </w:pPr>
      <w:r>
        <w:drawing>
          <wp:inline distT="0" distB="0" distL="0" distR="0">
            <wp:extent cx="5500000" cy="2406250"/>
            <wp:effectExtent l="0" t="0" r="0" b="0"/>
            <wp:docPr id="106" name="Figure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image.png"/>
                    <pic:cNvPicPr/>
                  </pic:nvPicPr>
                  <pic:blipFill>
                    <a:blip r:embed="rId16"/>
                    <a:stretch>
                      <a:fillRect/>
                    </a:stretch>
                  </pic:blipFill>
                  <pic:spPr>
                    <a:xfrm>
                      <a:off x="0" y="0"/>
                      <a:ext cx="5500000" cy="2406250"/>
                    </a:xfrm>
                    <a:prstGeom prst="rect">
                      <a:avLst/>
                    </a:prstGeom>
                  </pic:spPr>
                </pic:pic>
              </a:graphicData>
            </a:graphic>
          </wp:inline>
        </w:drawing>
      </w:r>
    </w:p>
    <w:p>
      <w:pPr>
        <w:spacing w:after="120" w:line="280" w:lineRule="auto"/>
        <w:jc w:val="center"/>
      </w:pPr>
      <w:r>
        <w:rPr>
          <w:rFonts w:eastAsia="Arial"/>
          <w:sz w:val="20"/>
          <w:szCs w:val="20"/>
        </w:rPr>
        <w:t>图 7-2  任务链编排与异常降级</w:t>
      </w:r>
    </w:p>
    <w:p>
      <w:pPr>
        <w:spacing w:after="180" w:line="360"/>
        <w:ind w:firstLine="480"/>
        <w:jc w:val="both"/>
      </w:pPr>
      <w:r>
        <w:rPr>
          <w:rFonts w:ascii="宋体" w:cs="宋体" w:eastAsia="宋体" w:hAnsi="宋体"/>
          <w:sz w:val="22"/>
          <w:szCs w:val="22"/>
        </w:rPr>
        <w:t>编排以有向无环图描述任务步骤、输入输出绑定、前置条件、并行分支和汇聚条件。每个节点应声明 input_schema、output_schema、超时、重试次数、资源档、失败策略和人工复核条件；边应明确传递字段、转换规则、数据保留期限与敏感信息处理方式。运行时生成 trace_id，将每个模型调用的 request_id、版本、参数摘要和输出摘要关联到同一任务链。</w:t>
      </w:r>
    </w:p>
    <w:p>
      <w:pPr>
        <w:spacing w:after="180" w:line="360"/>
        <w:ind w:firstLine="480"/>
        <w:jc w:val="both"/>
      </w:pPr>
      <w:r>
        <w:rPr>
          <w:rFonts w:ascii="宋体" w:cs="宋体" w:eastAsia="宋体" w:hAnsi="宋体"/>
          <w:sz w:val="22"/>
          <w:szCs w:val="22"/>
        </w:rPr>
        <w:t>典型链路可按照“数据质检—检测或融合—目标关联—航迹更新—态势研判—方案推荐—效果评估”组织。独立的数据预处理、目标检测和多源特征提取可并行执行；关联、跟踪和决策节点必须等待必要证据满足后再触发；对时间窗内未到达的数据，应记录缺失状态并按策略选择等待、使用历史值、降级计算或停止执行。禁止将未通过 Schema 校验的中间结果直接传递给下游高风险决策节点。</w:t>
      </w:r>
    </w:p>
    <w:p>
      <w:pPr>
        <w:pStyle w:val="Heading2"/>
        <w:spacing w:after="160" w:before="160" w:line="360"/>
        <w:outlineLvl w:val="1"/>
      </w:pPr>
      <w:r>
        <w:rPr>
          <w:rFonts w:ascii="黑体" w:cs="黑体" w:eastAsia="黑体" w:hAnsi="黑体"/>
          <w:b/>
          <w:bCs/>
          <w:sz w:val="28"/>
          <w:szCs w:val="28"/>
        </w:rPr>
        <w:t>7.5 资源感知调度与后端路由</w:t>
      </w:r>
    </w:p>
    <w:p>
      <w:pPr>
        <w:spacing w:after="180" w:line="360"/>
        <w:ind w:firstLine="480"/>
        <w:jc w:val="both"/>
      </w:pPr>
      <w:r>
        <w:rPr>
          <w:rFonts w:ascii="宋体" w:cs="宋体" w:eastAsia="宋体" w:hAnsi="宋体"/>
          <w:sz w:val="22"/>
          <w:szCs w:val="22"/>
        </w:rPr>
        <w:t>调度器依据第六章资源画像和节点实时遥测选择执行位置与后端。具备 ONNX 工件且满足本地算力、内存和驱动要求的轻量模型优先在节点内本地推理，以降低链路时延和数据外传风险；需要复杂依赖、动态批处理或大模型推理的能力可经受控 Python HTTP 服务调用。路由决策应同时考虑排队长度、GPU/CPU 利用率、显存余量、网络时延、模型预热状态和数据所在位置。</w:t>
      </w:r>
    </w:p>
    <w:p>
      <w:pPr>
        <w:spacing w:after="180" w:line="360"/>
        <w:ind w:firstLine="480"/>
        <w:jc w:val="both"/>
      </w:pPr>
      <w:r>
        <w:rPr>
          <w:rFonts w:ascii="宋体" w:cs="宋体" w:eastAsia="宋体" w:hAnsi="宋体"/>
          <w:sz w:val="22"/>
          <w:szCs w:val="22"/>
        </w:rPr>
        <w:t>资源不足时应遵循保关键、限非关键、可回退的原则：优先保障高优先级功能点和正在闭环的任务链；对可延迟任务进入队列或转离线档；对同一能力的不同规格模型，依次选择大、中、小模型或规则基线。资源调度不得突破算法卡标注的最大并发、显存、时间窗和数据安全边界，并应将资源拒绝与排队事件写入审计日志。</w:t>
      </w:r>
    </w:p>
    <w:p>
      <w:pPr>
        <w:pStyle w:val="Heading2"/>
        <w:spacing w:after="160" w:before="160" w:line="360"/>
        <w:outlineLvl w:val="1"/>
      </w:pPr>
      <w:r>
        <w:rPr>
          <w:rFonts w:ascii="黑体" w:cs="黑体" w:eastAsia="黑体" w:hAnsi="黑体"/>
          <w:b/>
          <w:bCs/>
          <w:sz w:val="28"/>
          <w:szCs w:val="28"/>
        </w:rPr>
        <w:t>7.6 异常处理、降级与人工复核</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1600"/>
        <w:gridCol w:w="1800"/>
        <w:gridCol w:w="2400"/>
      </w:tblGrid>
      <w:tr>
        <w:tc>
          <w:tcPr>
            <w:tcW w:type="dxa" w:w="1400"/>
            <w:tcBorders>
              <w:top w:val="single" w:color="A6A6A6" w:sz="4"/>
              <w:left w:val="single" w:color="A6A6A6" w:sz="4"/>
              <w:bottom w:val="single" w:color="A6A6A6" w:sz="4"/>
              <w:right w:val="single" w:color="A6A6A6" w:sz="4"/>
            </w:tcBorders>
            <w:shd w:fill="D9EAF7" w:val="clear"/>
            <w:tcMar>
              <w:top w:type="dxa" w:w="90"/>
              <w:left w:type="dxa" w:w="120"/>
              <w:bottom w:type="dxa" w:w="90"/>
              <w:right w:type="dxa" w:w="120"/>
            </w:tcMar>
            <w:vAlign w:val="center"/>
          </w:tcPr>
          <w:p>
            <w:pPr>
              <w:spacing w:after="0" w:line="280"/>
              <w:jc w:val="center"/>
            </w:pPr>
            <w:r>
              <w:rPr>
                <w:rFonts w:eastAsia="Arial"/>
                <w:sz w:val="20"/>
                <w:szCs w:val="20"/>
                <w:b/>
                <w:bCs/>
              </w:rPr>
              <w:t>异常类别</w:t>
            </w:r>
          </w:p>
        </w:tc>
        <w:tc>
          <w:tcPr>
            <w:tcW w:type="dxa" w:w="2400"/>
            <w:tcBorders>
              <w:top w:val="single" w:color="A6A6A6" w:sz="4"/>
              <w:left w:val="single" w:color="A6A6A6" w:sz="4"/>
              <w:bottom w:val="single" w:color="A6A6A6" w:sz="4"/>
              <w:right w:val="single" w:color="A6A6A6" w:sz="4"/>
            </w:tcBorders>
            <w:shd w:fill="D9EAF7" w:val="clear"/>
            <w:tcMar>
              <w:top w:type="dxa" w:w="90"/>
              <w:left w:type="dxa" w:w="120"/>
              <w:bottom w:type="dxa" w:w="90"/>
              <w:right w:type="dxa" w:w="120"/>
            </w:tcMar>
            <w:vAlign w:val="center"/>
          </w:tcPr>
          <w:p>
            <w:pPr>
              <w:spacing w:after="0" w:line="280"/>
              <w:jc w:val="center"/>
            </w:pPr>
            <w:r>
              <w:rPr>
                <w:rFonts w:eastAsia="Arial"/>
                <w:sz w:val="20"/>
                <w:szCs w:val="20"/>
                <w:b/>
                <w:bCs/>
              </w:rPr>
              <w:t>典型表现</w:t>
            </w:r>
          </w:p>
        </w:tc>
        <w:tc>
          <w:tcPr>
            <w:tcW w:type="dxa" w:w="1600"/>
            <w:tcBorders>
              <w:top w:val="single" w:color="A6A6A6" w:sz="4"/>
              <w:left w:val="single" w:color="A6A6A6" w:sz="4"/>
              <w:bottom w:val="single" w:color="A6A6A6" w:sz="4"/>
              <w:right w:val="single" w:color="A6A6A6" w:sz="4"/>
            </w:tcBorders>
            <w:shd w:fill="D9EAF7" w:val="clear"/>
            <w:tcMar>
              <w:top w:type="dxa" w:w="90"/>
              <w:left w:type="dxa" w:w="120"/>
              <w:bottom w:type="dxa" w:w="90"/>
              <w:right w:type="dxa" w:w="120"/>
            </w:tcMar>
            <w:vAlign w:val="center"/>
          </w:tcPr>
          <w:p>
            <w:pPr>
              <w:spacing w:after="0" w:line="280"/>
              <w:jc w:val="center"/>
            </w:pPr>
            <w:r>
              <w:rPr>
                <w:rFonts w:eastAsia="Arial"/>
                <w:sz w:val="20"/>
                <w:szCs w:val="20"/>
                <w:b/>
                <w:bCs/>
              </w:rPr>
              <w:t>错误码</w:t>
            </w:r>
          </w:p>
        </w:tc>
        <w:tc>
          <w:tcPr>
            <w:tcW w:type="dxa" w:w="1800"/>
            <w:tcBorders>
              <w:top w:val="single" w:color="A6A6A6" w:sz="4"/>
              <w:left w:val="single" w:color="A6A6A6" w:sz="4"/>
              <w:bottom w:val="single" w:color="A6A6A6" w:sz="4"/>
              <w:right w:val="single" w:color="A6A6A6" w:sz="4"/>
            </w:tcBorders>
            <w:shd w:fill="D9EAF7" w:val="clear"/>
            <w:tcMar>
              <w:top w:type="dxa" w:w="90"/>
              <w:left w:type="dxa" w:w="120"/>
              <w:bottom w:type="dxa" w:w="90"/>
              <w:right w:type="dxa" w:w="120"/>
            </w:tcMar>
            <w:vAlign w:val="center"/>
          </w:tcPr>
          <w:p>
            <w:pPr>
              <w:spacing w:after="0" w:line="280"/>
              <w:jc w:val="center"/>
            </w:pPr>
            <w:r>
              <w:rPr>
                <w:rFonts w:eastAsia="Arial"/>
                <w:sz w:val="20"/>
                <w:szCs w:val="20"/>
                <w:b/>
                <w:bCs/>
              </w:rPr>
              <w:t>处置策略</w:t>
            </w:r>
          </w:p>
        </w:tc>
        <w:tc>
          <w:tcPr>
            <w:tcW w:type="dxa" w:w="2400"/>
            <w:tcBorders>
              <w:top w:val="single" w:color="A6A6A6" w:sz="4"/>
              <w:left w:val="single" w:color="A6A6A6" w:sz="4"/>
              <w:bottom w:val="single" w:color="A6A6A6" w:sz="4"/>
              <w:right w:val="single" w:color="A6A6A6" w:sz="4"/>
            </w:tcBorders>
            <w:shd w:fill="D9EAF7" w:val="clear"/>
            <w:tcMar>
              <w:top w:type="dxa" w:w="90"/>
              <w:left w:type="dxa" w:w="120"/>
              <w:bottom w:type="dxa" w:w="90"/>
              <w:right w:type="dxa" w:w="120"/>
            </w:tcMar>
            <w:vAlign w:val="center"/>
          </w:tcPr>
          <w:p>
            <w:pPr>
              <w:spacing w:after="0" w:line="280"/>
              <w:jc w:val="center"/>
            </w:pPr>
            <w:r>
              <w:rPr>
                <w:rFonts w:eastAsia="Arial"/>
                <w:sz w:val="20"/>
                <w:szCs w:val="20"/>
                <w:b/>
                <w:bCs/>
              </w:rPr>
              <w:t>降级路径</w:t>
            </w:r>
          </w:p>
        </w:tc>
      </w:tr>
      <w:tr>
        <w:tc>
          <w:tcPr>
            <w:tcW w:type="dxa" w:w="14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center"/>
            </w:pPr>
            <w:r>
              <w:rPr>
                <w:rFonts w:eastAsia="Arial"/>
                <w:sz w:val="20"/>
                <w:szCs w:val="20"/>
              </w:rPr>
              <w:t>输入异常</w:t>
            </w:r>
          </w:p>
        </w:tc>
        <w:tc>
          <w:tcPr>
            <w:tcW w:type="dxa" w:w="24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center"/>
            </w:pPr>
            <w:r>
              <w:rPr>
                <w:rFonts w:eastAsia="Arial"/>
                <w:sz w:val="20"/>
                <w:szCs w:val="20"/>
              </w:rPr>
              <w:t>缺字段、时间戳失效、坐标系不一致</w:t>
            </w:r>
          </w:p>
        </w:tc>
        <w:tc>
          <w:tcPr>
            <w:tcW w:type="dxa" w:w="16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center"/>
            </w:pPr>
            <w:r>
              <w:rPr>
                <w:rFonts w:eastAsia="Arial"/>
                <w:sz w:val="20"/>
                <w:szCs w:val="20"/>
              </w:rPr>
              <w:t>INPUT_INVALID</w:t>
            </w:r>
          </w:p>
        </w:tc>
        <w:tc>
          <w:tcPr>
            <w:tcW w:type="dxa" w:w="18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center"/>
            </w:pPr>
            <w:r>
              <w:rPr>
                <w:rFonts w:eastAsia="Arial"/>
                <w:sz w:val="20"/>
                <w:szCs w:val="20"/>
              </w:rPr>
              <w:t>返回修正建议</w:t>
            </w:r>
          </w:p>
        </w:tc>
        <w:tc>
          <w:tcPr>
            <w:tcW w:type="dxa" w:w="24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center"/>
            </w:pPr>
            <w:r>
              <w:rPr>
                <w:rFonts w:eastAsia="Arial"/>
                <w:sz w:val="20"/>
                <w:szCs w:val="20"/>
              </w:rPr>
              <w:t>历史值/规则基线</w:t>
            </w:r>
          </w:p>
        </w:tc>
      </w:tr>
      <w:tr>
        <w:tc>
          <w:tcPr>
            <w:tcW w:type="dxa" w:w="14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center"/>
            </w:pPr>
            <w:r>
              <w:rPr>
                <w:rFonts w:eastAsia="Arial"/>
                <w:sz w:val="20"/>
                <w:szCs w:val="20"/>
              </w:rPr>
              <w:t>模型异常</w:t>
            </w:r>
          </w:p>
        </w:tc>
        <w:tc>
          <w:tcPr>
            <w:tcW w:type="dxa" w:w="24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center"/>
            </w:pPr>
            <w:r>
              <w:rPr>
                <w:rFonts w:eastAsia="Arial"/>
                <w:sz w:val="20"/>
                <w:szCs w:val="20"/>
              </w:rPr>
              <w:t>加载失败、Schema不符、置信度不足</w:t>
            </w:r>
          </w:p>
        </w:tc>
        <w:tc>
          <w:tcPr>
            <w:tcW w:type="dxa" w:w="16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center"/>
            </w:pPr>
            <w:r>
              <w:rPr>
                <w:rFonts w:eastAsia="Arial"/>
                <w:sz w:val="20"/>
                <w:szCs w:val="20"/>
              </w:rPr>
              <w:t>MODEL_ERROR</w:t>
            </w:r>
          </w:p>
        </w:tc>
        <w:tc>
          <w:tcPr>
            <w:tcW w:type="dxa" w:w="18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center"/>
            </w:pPr>
            <w:r>
              <w:rPr>
                <w:rFonts w:eastAsia="Arial"/>
                <w:sz w:val="20"/>
                <w:szCs w:val="20"/>
              </w:rPr>
              <w:t>切换备模/降级</w:t>
            </w:r>
          </w:p>
        </w:tc>
        <w:tc>
          <w:tcPr>
            <w:tcW w:type="dxa" w:w="24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center"/>
            </w:pPr>
            <w:r>
              <w:rPr>
                <w:rFonts w:eastAsia="Arial"/>
                <w:sz w:val="20"/>
                <w:szCs w:val="20"/>
              </w:rPr>
              <w:t>规则过滤→人工判读</w:t>
            </w:r>
          </w:p>
        </w:tc>
      </w:tr>
      <w:tr>
        <w:tc>
          <w:tcPr>
            <w:tcW w:type="dxa" w:w="14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center"/>
            </w:pPr>
            <w:r>
              <w:rPr>
                <w:rFonts w:eastAsia="Arial"/>
                <w:sz w:val="20"/>
                <w:szCs w:val="20"/>
              </w:rPr>
              <w:t>服务异常</w:t>
            </w:r>
          </w:p>
        </w:tc>
        <w:tc>
          <w:tcPr>
            <w:tcW w:type="dxa" w:w="24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center"/>
            </w:pPr>
            <w:r>
              <w:rPr>
                <w:rFonts w:eastAsia="Arial"/>
                <w:sz w:val="20"/>
                <w:szCs w:val="20"/>
              </w:rPr>
              <w:t>超时、健康检查失败、并发超限</w:t>
            </w:r>
          </w:p>
        </w:tc>
        <w:tc>
          <w:tcPr>
            <w:tcW w:type="dxa" w:w="16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center"/>
            </w:pPr>
            <w:r>
              <w:rPr>
                <w:rFonts w:eastAsia="Arial"/>
                <w:sz w:val="20"/>
                <w:szCs w:val="20"/>
              </w:rPr>
              <w:t>SERVICE_UNAVAILABLE</w:t>
            </w:r>
          </w:p>
        </w:tc>
        <w:tc>
          <w:tcPr>
            <w:tcW w:type="dxa" w:w="18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center"/>
            </w:pPr>
            <w:r>
              <w:rPr>
                <w:rFonts w:eastAsia="Arial"/>
                <w:sz w:val="20"/>
                <w:szCs w:val="20"/>
              </w:rPr>
              <w:t>重试/熔断/切换节点</w:t>
            </w:r>
          </w:p>
        </w:tc>
        <w:tc>
          <w:tcPr>
            <w:tcW w:type="dxa" w:w="24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center"/>
            </w:pPr>
            <w:r>
              <w:rPr>
                <w:rFonts w:eastAsia="Arial"/>
                <w:sz w:val="20"/>
                <w:szCs w:val="20"/>
              </w:rPr>
              <w:t>轻量ONNX/规则</w:t>
            </w:r>
          </w:p>
        </w:tc>
      </w:tr>
      <w:tr>
        <w:tc>
          <w:tcPr>
            <w:tcW w:type="dxa" w:w="14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center"/>
            </w:pPr>
            <w:r>
              <w:rPr>
                <w:rFonts w:eastAsia="Arial"/>
                <w:sz w:val="20"/>
                <w:szCs w:val="20"/>
              </w:rPr>
              <w:t>资源异常</w:t>
            </w:r>
          </w:p>
        </w:tc>
        <w:tc>
          <w:tcPr>
            <w:tcW w:type="dxa" w:w="24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center"/>
            </w:pPr>
            <w:r>
              <w:rPr>
                <w:rFonts w:eastAsia="Arial"/>
                <w:sz w:val="20"/>
                <w:szCs w:val="20"/>
              </w:rPr>
              <w:t>显存不足、内存超限、排队过长</w:t>
            </w:r>
          </w:p>
        </w:tc>
        <w:tc>
          <w:tcPr>
            <w:tcW w:type="dxa" w:w="16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center"/>
            </w:pPr>
            <w:r>
              <w:rPr>
                <w:rFonts w:eastAsia="Arial"/>
                <w:sz w:val="20"/>
                <w:szCs w:val="20"/>
              </w:rPr>
              <w:t>RESOURCE_EXHAUSTED</w:t>
            </w:r>
          </w:p>
        </w:tc>
        <w:tc>
          <w:tcPr>
            <w:tcW w:type="dxa" w:w="18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center"/>
            </w:pPr>
            <w:r>
              <w:rPr>
                <w:rFonts w:eastAsia="Arial"/>
                <w:sz w:val="20"/>
                <w:szCs w:val="20"/>
              </w:rPr>
              <w:t>降分辨率/降档/队列</w:t>
            </w:r>
          </w:p>
        </w:tc>
        <w:tc>
          <w:tcPr>
            <w:tcW w:type="dxa" w:w="24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center"/>
            </w:pPr>
            <w:r>
              <w:rPr>
                <w:rFonts w:eastAsia="Arial"/>
                <w:sz w:val="20"/>
                <w:szCs w:val="20"/>
              </w:rPr>
              <w:t>更小模型/离线</w:t>
            </w:r>
          </w:p>
        </w:tc>
      </w:tr>
      <w:tr>
        <w:tc>
          <w:tcPr>
            <w:tcW w:type="dxa" w:w="14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center"/>
            </w:pPr>
            <w:r>
              <w:rPr>
                <w:rFonts w:eastAsia="Arial"/>
                <w:sz w:val="20"/>
                <w:szCs w:val="20"/>
              </w:rPr>
              <w:t>结果异常</w:t>
            </w:r>
          </w:p>
        </w:tc>
        <w:tc>
          <w:tcPr>
            <w:tcW w:type="dxa" w:w="24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center"/>
            </w:pPr>
            <w:r>
              <w:rPr>
                <w:rFonts w:eastAsia="Arial"/>
                <w:sz w:val="20"/>
                <w:szCs w:val="20"/>
              </w:rPr>
              <w:t>跨源冲突、超物理约束、历史突变</w:t>
            </w:r>
          </w:p>
        </w:tc>
        <w:tc>
          <w:tcPr>
            <w:tcW w:type="dxa" w:w="16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center"/>
            </w:pPr>
            <w:r>
              <w:rPr>
                <w:rFonts w:eastAsia="Arial"/>
                <w:sz w:val="20"/>
                <w:szCs w:val="20"/>
              </w:rPr>
              <w:t>RESULT_INCONSISTENT</w:t>
            </w:r>
          </w:p>
        </w:tc>
        <w:tc>
          <w:tcPr>
            <w:tcW w:type="dxa" w:w="18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center"/>
            </w:pPr>
            <w:r>
              <w:rPr>
                <w:rFonts w:eastAsia="Arial"/>
                <w:sz w:val="20"/>
                <w:szCs w:val="20"/>
              </w:rPr>
              <w:t>标记不确定性</w:t>
            </w:r>
          </w:p>
        </w:tc>
        <w:tc>
          <w:tcPr>
            <w:tcW w:type="dxa" w:w="24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center"/>
            </w:pPr>
            <w:r>
              <w:rPr>
                <w:rFonts w:eastAsia="Arial"/>
                <w:sz w:val="20"/>
                <w:szCs w:val="20"/>
              </w:rPr>
              <w:t>人工复核/再采样</w:t>
            </w:r>
          </w:p>
        </w:tc>
      </w:tr>
    </w:tbl>
    <w:p>
      <w:pPr>
        <w:spacing w:after="120" w:line="280" w:lineRule="auto"/>
        <w:jc w:val="center"/>
      </w:pPr>
      <w:r>
        <w:rPr>
          <w:rFonts w:eastAsia="Arial"/>
          <w:sz w:val="20"/>
          <w:szCs w:val="20"/>
        </w:rPr>
        <w:t>表 7-1  异常处理与降级策略</w:t>
      </w:r>
    </w:p>
    <w:p>
      <w:pPr>
        <w:spacing w:after="180" w:line="360"/>
        <w:ind w:firstLine="480"/>
        <w:jc w:val="both"/>
      </w:pPr>
      <w:r>
        <w:rPr>
          <w:rFonts w:ascii="宋体" w:cs="宋体" w:eastAsia="宋体" w:hAnsi="宋体"/>
          <w:sz w:val="22"/>
          <w:szCs w:val="22"/>
        </w:rPr>
        <w:t>异常分为输入异常、模型异常、服务异常、资源异常和结果异常。输入异常包括缺字段、时间戳失效、坐标系不一致和质量低于阈值；模型或服务异常包括加载失败、超时、返回 Schema 不符和健康检查失败；结果异常包括置信度不足、跨源结论冲突、超出物理约束或相对历史突变。不同异常必须使用结构化错误码，区分可重试、可降级、必须中止和必须人工复核的处置类型。</w:t>
      </w:r>
    </w:p>
    <w:p>
      <w:pPr>
        <w:spacing w:after="180" w:line="360"/>
        <w:ind w:firstLine="480"/>
        <w:jc w:val="both"/>
      </w:pPr>
      <w:r>
        <w:rPr>
          <w:rFonts w:ascii="宋体" w:cs="宋体" w:eastAsia="宋体" w:hAnsi="宋体"/>
          <w:sz w:val="22"/>
          <w:szCs w:val="22"/>
        </w:rPr>
        <w:t>降级链应在算法卡中预先登记，例如“多模态融合→单模态检测→规则过滤→人工判读”。降级后必须在输出中显式标记 degraded、fallback_algorithm_id、原因和影响范围，禁止把低规格结果伪装为主路径结论。涉及目标确认、行动建议或高风险资源分配的任务，当关键证据不足、模型置信度低于下限或主备结论冲突时，应阻断自动闭环并提交人工复核。</w:t>
      </w:r>
    </w:p>
    <w:p>
      <w:pPr>
        <w:pStyle w:val="Heading2"/>
        <w:spacing w:after="160" w:before="160" w:line="360"/>
        <w:outlineLvl w:val="1"/>
      </w:pPr>
      <w:r>
        <w:rPr>
          <w:rFonts w:ascii="黑体" w:cs="黑体" w:eastAsia="黑体" w:hAnsi="黑体"/>
          <w:b/>
          <w:bCs/>
          <w:sz w:val="28"/>
          <w:szCs w:val="28"/>
        </w:rPr>
        <w:t>7.7 审计、评估与策略治理</w:t>
      </w:r>
    </w:p>
    <w:p>
      <w:pPr>
        <w:spacing w:after="180" w:line="360"/>
        <w:ind w:firstLine="480"/>
        <w:jc w:val="both"/>
      </w:pPr>
      <w:r>
        <w:rPr>
          <w:rFonts w:ascii="宋体" w:cs="宋体" w:eastAsia="宋体" w:hAnsi="宋体"/>
          <w:sz w:val="22"/>
          <w:szCs w:val="22"/>
        </w:rPr>
        <w:t>每次选择与编排都应记录任务上下文、候选列表、硬约束过滤结果、评分明细、最终版本、后端、节点、参数摘要、资源消耗、异常及降级路径。审计记录既用于安全追责，也用于复盘算法选择是否合理。对关键任务应保留必要的输入数据指纹、输出摘要和模型文件校验和，以支持离线复现，同时按数据分级要求控制原始数据留存范围。</w:t>
      </w:r>
    </w:p>
    <w:p>
      <w:pPr>
        <w:spacing w:after="180" w:line="360"/>
        <w:ind w:firstLine="480"/>
        <w:jc w:val="both"/>
      </w:pPr>
      <w:r>
        <w:rPr>
          <w:rFonts w:ascii="宋体" w:cs="宋体" w:eastAsia="宋体" w:hAnsi="宋体"/>
          <w:sz w:val="22"/>
          <w:szCs w:val="22"/>
        </w:rPr>
        <w:t>策略治理采用“离线评估、灰度发布、在线观测、定期复核”的闭环。权重、阈值、候选白名单、降级规则和工作流模板均应通过配置版本管理，并经过测试集验证后才可发布。应监测成功率、端到端时延、资源占用、人工复核率、回退率、任务质量和模型漂移等指标；当核心指标劣化时，自动暂停异常版本并回滚到最近稳定策略。</w:t>
      </w:r>
    </w:p>
    <w:p>
      <w:pPr>
        <w:pStyle w:val="Heading2"/>
        <w:spacing w:after="160" w:before="160" w:line="360"/>
        <w:outlineLvl w:val="1"/>
      </w:pPr>
      <w:r>
        <w:rPr>
          <w:rFonts w:ascii="黑体" w:cs="黑体" w:eastAsia="黑体" w:hAnsi="黑体"/>
          <w:b/>
          <w:bCs/>
          <w:sz w:val="28"/>
          <w:szCs w:val="28"/>
        </w:rPr>
        <w:t>7.8 本章小结</w:t>
      </w:r>
    </w:p>
    <w:p>
      <w:pPr>
        <w:spacing w:after="180" w:line="360"/>
        <w:ind w:firstLine="480"/>
        <w:jc w:val="both"/>
      </w:pPr>
      <w:r>
        <w:rPr>
          <w:rFonts w:ascii="宋体" w:cs="宋体" w:eastAsia="宋体" w:hAnsi="宋体"/>
          <w:sz w:val="22"/>
          <w:szCs w:val="22"/>
        </w:rPr>
        <w:t>本章建立了从候选召回、准入校验、多维评分到任务链编排、资源路由、异常降级和策略治理的完整机制。该机制以算法卡、资源画像、功能点映射和统一运行接口为基础，使算法模型从静态资产转变为能够按任务条件被受控选择、组合、执行和持续优化的工程能力。</w:t>
      </w:r>
    </w:p>
    <w:p>
      <w:pPr>
        <w:pStyle w:val="Heading1"/>
        <w:pageBreakBefore/>
        <w:spacing w:after="240" w:before="240" w:line="360"/>
        <w:outlineLvl w:val="0"/>
      </w:pPr>
      <w:r>
        <w:rPr>
          <w:rFonts w:ascii="黑体" w:cs="黑体" w:eastAsia="黑体" w:hAnsi="黑体"/>
          <w:b/>
          <w:bCs/>
          <w:sz w:val="32"/>
          <w:szCs w:val="32"/>
        </w:rPr>
        <w:t>第8章 模型调用方式与运行机制</w:t>
      </w:r>
    </w:p>
    <w:p>
      <w:pPr>
        <w:pStyle w:val="Heading2"/>
        <w:spacing w:after="180" w:before="180" w:line="360"/>
        <w:outlineLvl w:val="1"/>
      </w:pPr>
      <w:r>
        <w:rPr>
          <w:rFonts w:ascii="黑体" w:cs="黑体" w:eastAsia="黑体" w:hAnsi="黑体"/>
          <w:b/>
          <w:bCs/>
          <w:sz w:val="28"/>
          <w:szCs w:val="28"/>
        </w:rPr>
        <w:t>8.1 统一调用契约</w:t>
      </w:r>
    </w:p>
    <w:p>
      <w:pPr>
        <w:spacing w:after="180" w:line="360"/>
        <w:ind w:firstLine="480"/>
        <w:jc w:val="both"/>
      </w:pPr>
      <w:r>
        <w:rPr>
          <w:rFonts w:ascii="宋体" w:cs="宋体" w:eastAsia="宋体" w:hAnsi="宋体"/>
          <w:sz w:val="22"/>
          <w:szCs w:val="22"/>
        </w:rPr>
        <w:t>算法库对外提供与后端实现解耦的统一执行契约。请求由 request_id、trace_id、algorithm_id、version、backend_type、function_context、deploy_id、inputs、params 和运行约束组成；运行约束包括超时时间、优先级、期望精度、最大资源占用及是否允许降级。调用方可显式指定算法版本，也可仅提交功能点和任务条件，由选择器解析为首选、备选和降级候选。</w:t>
      </w:r>
    </w:p>
    <w:p>
      <w:pPr>
        <w:spacing w:after="180" w:line="360"/>
        <w:ind w:firstLine="480"/>
        <w:jc w:val="both"/>
      </w:pPr>
      <w:r>
        <w:rPr>
          <w:rFonts w:ascii="宋体" w:cs="宋体" w:eastAsia="宋体" w:hAnsi="宋体"/>
          <w:sz w:val="22"/>
          <w:szCs w:val="22"/>
        </w:rPr>
        <w:t>统一响应采用结果信封，至少包含 ok、outputs、error、usage、latency_ms、model_version、function_execution、audit_id 和 result_ref。小尺寸结构化结果可直接返回；图像、视频片段、特征张量等大结果通过受控文件引用或对象标识传递。响应中的功能执行信息应记录功能点、覆盖级别、置信度和是否需要人工复核，保障结果能被后续任务可靠消费。</w:t>
      </w:r>
    </w:p>
    <w:p>
      <w:pPr>
        <w:pStyle w:val="Heading2"/>
        <w:spacing w:after="180" w:before="180" w:line="360"/>
        <w:outlineLvl w:val="1"/>
      </w:pPr>
      <w:r>
        <w:rPr>
          <w:rFonts w:ascii="黑体" w:cs="黑体" w:eastAsia="黑体" w:hAnsi="黑体"/>
          <w:b/>
          <w:bCs/>
          <w:sz w:val="28"/>
          <w:szCs w:val="28"/>
        </w:rPr>
        <w:t>8.2 ONNX 本地推理机制</w:t>
      </w:r>
    </w:p>
    <w:p>
      <w:pPr>
        <w:spacing w:after="180" w:line="360"/>
        <w:ind w:firstLine="480"/>
        <w:jc w:val="both"/>
      </w:pPr>
      <w:r>
        <w:rPr>
          <w:rFonts w:ascii="宋体" w:cs="宋体" w:eastAsia="宋体" w:hAnsi="宋体"/>
          <w:sz w:val="22"/>
          <w:szCs w:val="22"/>
        </w:rPr>
        <w:t>ONNX 后端适用于时延敏感、网络受限或需在节点侧闭环处理的任务。运行器依据算法卡定位模型文件、预处理配置和输入输出 Schema，完成文件哈希校验、会话创建、张量名称及维度核验、预处理、ONNX Runtime 推理、后处理和结果归一化。执行前必须校验数据类型、形状、取值范围与批量大小，避免因输入契约不一致造成隐性错误。</w:t>
      </w:r>
    </w:p>
    <w:p>
      <w:pPr>
        <w:spacing w:after="180" w:line="360"/>
        <w:ind w:firstLine="480"/>
        <w:jc w:val="both"/>
      </w:pPr>
      <w:r>
        <w:rPr>
          <w:rFonts w:ascii="宋体" w:cs="宋体" w:eastAsia="宋体" w:hAnsi="宋体"/>
          <w:sz w:val="22"/>
          <w:szCs w:val="22"/>
        </w:rPr>
        <w:t>节点侧维护会话缓存与显存预算。常用模型按照优先级预热，低优先级或长期未访问模型可被安全卸载；版本切换采用先加载、健康检查、原子切换、延迟回收旧会话的方式，避免任务执行期间产生不可用窗口。若本地模型不可用，应按照第七章策略回退至兼容的轻量模型、规则模型或经授权的远程服务。</w:t>
      </w:r>
    </w:p>
    <w:p>
      <w:pPr>
        <w:pStyle w:val="Heading2"/>
        <w:spacing w:after="180" w:before="180" w:line="360"/>
        <w:outlineLvl w:val="1"/>
      </w:pPr>
      <w:r>
        <w:rPr>
          <w:rFonts w:ascii="黑体" w:cs="黑体" w:eastAsia="黑体" w:hAnsi="黑体"/>
          <w:b/>
          <w:bCs/>
          <w:sz w:val="28"/>
          <w:szCs w:val="28"/>
        </w:rPr>
        <w:t>8.3 Python HTTP 服务调用机制</w:t>
      </w:r>
    </w:p>
    <w:p>
      <w:pPr>
        <w:spacing w:after="180" w:line="360"/>
        <w:ind w:firstLine="480"/>
        <w:jc w:val="both"/>
      </w:pPr>
      <w:r>
        <w:rPr>
          <w:rFonts w:ascii="宋体" w:cs="宋体" w:eastAsia="宋体" w:hAnsi="宋体"/>
          <w:sz w:val="22"/>
          <w:szCs w:val="22"/>
        </w:rPr>
        <w:t>Python HTTP 服务后端面向复杂推理、编排型算法和需要依赖专用运行环境的模型。协调器在调用前执行健康检查与元数据校验，确认服务支持的模型版本、输入 Schema 和最大并发；随后以受控超时、连接池、熔断和有限重试策略访问 predict 或 run 类接口。服务端应将领域异常、参数错误、资源不足和内部故障转化为标准错误码，不将框架堆栈直接暴露给调用方。</w:t>
      </w:r>
    </w:p>
    <w:p>
      <w:pPr>
        <w:spacing w:after="180" w:line="360"/>
        <w:ind w:firstLine="480"/>
        <w:jc w:val="both"/>
      </w:pPr>
      <w:r>
        <w:rPr>
          <w:rFonts w:ascii="宋体" w:cs="宋体" w:eastAsia="宋体" w:hAnsi="宋体"/>
          <w:sz w:val="22"/>
          <w:szCs w:val="22"/>
        </w:rPr>
        <w:t>对于耗时较长的训练、批量评估和复杂规划任务，统一执行接口返回任务标识并转入异步队列；调用方可查询状态、获取阶段性进度和最终结果引用。服务实例扩缩容应结合队列长度、GPU 利用率、P95 时延和错误率进行控制，关键模型保留最小热备实例，并在异常时触发候选服务切换。</w:t>
      </w:r>
    </w:p>
    <w:p>
      <w:pPr>
        <w:pStyle w:val="Heading2"/>
        <w:spacing w:after="180" w:before="180" w:line="360"/>
        <w:outlineLvl w:val="1"/>
      </w:pPr>
      <w:r>
        <w:rPr>
          <w:rFonts w:ascii="黑体" w:cs="黑体" w:eastAsia="黑体" w:hAnsi="黑体"/>
          <w:b/>
          <w:bCs/>
          <w:sz w:val="28"/>
          <w:szCs w:val="28"/>
        </w:rPr>
        <w:t>8.4 分发、加载与可观测性</w:t>
      </w:r>
    </w:p>
    <w:p>
      <w:pPr>
        <w:spacing w:after="180" w:line="360"/>
        <w:ind w:firstLine="480"/>
        <w:jc w:val="both"/>
      </w:pPr>
      <w:r>
        <w:rPr>
          <w:rFonts w:ascii="宋体" w:cs="宋体" w:eastAsia="宋体" w:hAnsi="宋体"/>
          <w:sz w:val="22"/>
          <w:szCs w:val="22"/>
        </w:rPr>
        <w:t>模型包采用中心登记、节点拉取的分发模式。节点按部署计划获取算法卡、模型文件、预后处理配置和签名信息，完成完整性校验后写入本地受控目录，并向中心回写下载、验证、加载和激活状态。模型文件、配置与算法卡必须保持同一版本集合，禁止以不匹配的 Schema 启动推理。</w:t>
      </w:r>
    </w:p>
    <w:p>
      <w:pPr>
        <w:spacing w:after="180" w:line="360"/>
        <w:ind w:firstLine="480"/>
        <w:jc w:val="both"/>
      </w:pPr>
      <w:r>
        <w:rPr>
          <w:rFonts w:ascii="宋体" w:cs="宋体" w:eastAsia="宋体" w:hAnsi="宋体"/>
          <w:sz w:val="22"/>
          <w:szCs w:val="22"/>
        </w:rPr>
        <w:t>全链路记录请求追踪、算法标识、版本、节点、资源使用、时延、错误码、结果引用和审批状态。监控侧重点关注可用率、成功率、P50及P95时延、吞吐量、缓存命中率、显存占用和模型漂移告警；审计记录应支持按任务、模型、节点和时间范围追溯。对于需外部移交的执行建议，系统仅输出结构化、可审计的决策支持信息并保留人工确认关口。</w:t>
      </w:r>
    </w:p>
    <w:p>
      <w:pPr>
        <w:pStyle w:val="Heading1"/>
        <w:pageBreakBefore/>
        <w:spacing w:after="240" w:before="240" w:line="360"/>
        <w:outlineLvl w:val="0"/>
      </w:pPr>
      <w:r>
        <w:rPr>
          <w:rFonts w:ascii="黑体" w:cs="黑体" w:eastAsia="黑体" w:hAnsi="黑体"/>
          <w:b/>
          <w:bCs/>
          <w:sz w:val="32"/>
          <w:szCs w:val="32"/>
        </w:rPr>
        <w:t>第9章 算法库接口设计</w:t>
      </w:r>
    </w:p>
    <w:p>
      <w:pPr>
        <w:pStyle w:val="Heading2"/>
        <w:spacing w:after="180" w:before="180" w:line="360"/>
        <w:outlineLvl w:val="1"/>
      </w:pPr>
      <w:r>
        <w:rPr>
          <w:rFonts w:ascii="黑体" w:cs="黑体" w:eastAsia="黑体" w:hAnsi="黑体"/>
          <w:b/>
          <w:bCs/>
          <w:sz w:val="28"/>
          <w:szCs w:val="28"/>
        </w:rPr>
        <w:t>9.1 接口设计原则</w:t>
      </w:r>
    </w:p>
    <w:p>
      <w:pPr>
        <w:spacing w:after="180" w:line="360"/>
        <w:ind w:firstLine="480"/>
        <w:jc w:val="both"/>
      </w:pPr>
      <w:r>
        <w:rPr>
          <w:rFonts w:ascii="宋体" w:cs="宋体" w:eastAsia="宋体" w:hAnsi="宋体"/>
          <w:sz w:val="22"/>
          <w:szCs w:val="22"/>
        </w:rPr>
        <w:t>接口采用资源化、版本化和契约优先的设计原则，以 JSON 作为控制面数据交换格式，以 Schema 约束业务输入输出。接口需满足幂等、可追踪、向后兼容、同步异步兼容和大结果引用传递要求；所有写操作携带调用方身份、请求标识和审计上下文。接口参数禁止依赖调用方私有约定，字段含义、可选性、默认值及错误语义均应在算法卡和接口规范中明确。</w:t>
      </w:r>
    </w:p>
    <w:p>
      <w:pPr>
        <w:pStyle w:val="Heading2"/>
        <w:spacing w:after="180" w:before="180" w:line="360"/>
        <w:outlineLvl w:val="1"/>
      </w:pPr>
      <w:r>
        <w:rPr>
          <w:rFonts w:ascii="黑体" w:cs="黑体" w:eastAsia="黑体" w:hAnsi="黑体"/>
          <w:b/>
          <w:bCs/>
          <w:sz w:val="28"/>
          <w:szCs w:val="28"/>
        </w:rPr>
        <w:t>9.2 算法注册、查询与生命周期接口</w:t>
      </w:r>
    </w:p>
    <w:p>
      <w:pPr>
        <w:spacing w:after="180" w:line="360"/>
        <w:ind w:firstLine="480"/>
        <w:jc w:val="both"/>
      </w:pPr>
      <w:r>
        <w:rPr>
          <w:rFonts w:ascii="宋体" w:cs="宋体" w:eastAsia="宋体" w:hAnsi="宋体"/>
          <w:sz w:val="22"/>
          <w:szCs w:val="22"/>
        </w:rPr>
        <w:t>管理面提供 algorithms/register、algorithms/{id}/{version}/{backend}/validate、activate、disable 和详情查询等能力，用于完成算法包登记、静态校验、验收激活、禁用和退役。注册时校验算法卡完整性、唯一标识、版本语义、模型文件清单、输入输出 Schema、资源画像和签名摘要；激活操作仅允许处于已验证状态且通过授权审批的版本执行。</w:t>
      </w:r>
    </w:p>
    <w:p>
      <w:pPr>
        <w:spacing w:after="180" w:line="360"/>
        <w:ind w:firstLine="480"/>
        <w:jc w:val="both"/>
      </w:pPr>
      <w:r>
        <w:rPr>
          <w:rFonts w:ascii="宋体" w:cs="宋体" w:eastAsia="宋体" w:hAnsi="宋体"/>
          <w:sz w:val="22"/>
          <w:szCs w:val="22"/>
        </w:rPr>
        <w:t>发现接口支持按算法类别、功能点、技能标签、输入模态、后端类型、资源约束、节点部署状态和可信等级组合检索，并输出面向 Agent 的精简候选视图。候选视图应包含算法标识、版本、支持功能、适用输入、资源下限、状态、预计时延和降级关系，不应暴露无关的内部实现细节。</w:t>
      </w:r>
    </w:p>
    <w:p>
      <w:pPr>
        <w:pStyle w:val="Heading2"/>
        <w:spacing w:after="180" w:before="180" w:line="360"/>
        <w:outlineLvl w:val="1"/>
      </w:pPr>
      <w:r>
        <w:rPr>
          <w:rFonts w:ascii="黑体" w:cs="黑体" w:eastAsia="黑体" w:hAnsi="黑体"/>
          <w:b/>
          <w:bCs/>
          <w:sz w:val="28"/>
          <w:szCs w:val="28"/>
        </w:rPr>
        <w:t>9.3 部署与统一执行接口</w:t>
      </w:r>
    </w:p>
    <w:p>
      <w:pPr>
        <w:spacing w:after="180" w:line="360"/>
        <w:ind w:firstLine="480"/>
        <w:jc w:val="both"/>
      </w:pPr>
      <w:r>
        <w:rPr>
          <w:rFonts w:ascii="宋体" w:cs="宋体" w:eastAsia="宋体" w:hAnsi="宋体"/>
          <w:sz w:val="22"/>
          <w:szCs w:val="22"/>
        </w:rPr>
        <w:t>部署面提供 deployments 的创建、状态查询、加载、卸载、热更新和节点可用模型查询能力。部署请求必须声明目标节点、算法版本、后端类型、资源配额和生效策略；节点上报下载、校验、加载、预热、激活和失败原因。中心根据回写状态维护部署实例的期望状态和实际状态，并支持灰度发布与一键回滚。</w:t>
      </w:r>
    </w:p>
    <w:p>
      <w:pPr>
        <w:spacing w:after="180" w:line="360"/>
        <w:ind w:firstLine="480"/>
        <w:jc w:val="both"/>
      </w:pPr>
      <w:r>
        <w:rPr>
          <w:rFonts w:ascii="宋体" w:cs="宋体" w:eastAsia="宋体" w:hAnsi="宋体"/>
          <w:sz w:val="22"/>
          <w:szCs w:val="22"/>
        </w:rPr>
        <w:t>当前实现以同步 run 为核心，适用于短时推理：调用方提交 request_id、trace_id、算法标识、版本、后端与 inputs 后直接获得标准结果信封。异步任务、批量和流式调用属于后续扩展能力，需在保持同一结果信封、错误码和审计标识的前提下分别增加 task_id、逐项结果和会话背压字段；在未落地前，调用方不应假定上述端点已可用。</w:t>
      </w:r>
    </w:p>
    <w:p>
      <w:pPr>
        <w:pStyle w:val="Heading2"/>
        <w:spacing w:after="180" w:before="180" w:line="360"/>
        <w:outlineLvl w:val="1"/>
      </w:pPr>
      <w:r>
        <w:rPr>
          <w:rFonts w:ascii="黑体" w:cs="黑体" w:eastAsia="黑体" w:hAnsi="黑体"/>
          <w:b/>
          <w:bCs/>
          <w:sz w:val="28"/>
          <w:szCs w:val="28"/>
        </w:rPr>
        <w:t>9.4 文件、健康、监控与安全接口</w:t>
      </w:r>
    </w:p>
    <w:p>
      <w:pPr>
        <w:spacing w:after="180" w:line="360"/>
        <w:ind w:firstLine="480"/>
        <w:jc w:val="both"/>
      </w:pPr>
      <w:r>
        <w:rPr>
          <w:rFonts w:ascii="宋体" w:cs="宋体" w:eastAsia="宋体" w:hAnsi="宋体"/>
          <w:sz w:val="22"/>
          <w:szCs w:val="22"/>
        </w:rPr>
        <w:t>文件服务提供模型包、算法卡、Schema、预处理配置和后处理配置的受控获取能力，并以摘要、版本和访问令牌保障文件一致性。健康与监控接口提供服务健康、模型加载、运行器缓存、节点资源和性能指标查询；审计接口支持按任务、调用方、模型版本、节点和时间范围检索。大文件下载与敏感结果获取需采用短期授权、最小权限和访问留痕机制。</w:t>
      </w:r>
    </w:p>
    <w:p>
      <w:pPr>
        <w:spacing w:after="180" w:line="360"/>
        <w:ind w:firstLine="480"/>
        <w:jc w:val="both"/>
      </w:pPr>
      <w:r>
        <w:rPr>
          <w:rFonts w:ascii="宋体" w:cs="宋体" w:eastAsia="宋体" w:hAnsi="宋体"/>
          <w:sz w:val="22"/>
          <w:szCs w:val="22"/>
        </w:rPr>
        <w:t>安全设计覆盖身份认证、接口授权、传输保护、输入边界校验、模型包完整性校验和敏感输出分级。关键管理操作采用双人复核或审批流；高风险推理结果携带人工复核标识。接口应实施限流、配额和异常访问检测，防止资源耗尽与未授权批量调用。</w:t>
      </w:r>
    </w:p>
    <w:p>
      <w:pPr>
        <w:pStyle w:val="Heading2"/>
        <w:spacing w:after="180" w:before="180" w:line="360"/>
        <w:outlineLvl w:val="1"/>
      </w:pPr>
      <w:r>
        <w:rPr>
          <w:rFonts w:ascii="黑体" w:cs="黑体" w:eastAsia="黑体" w:hAnsi="黑体"/>
          <w:b/>
          <w:bCs/>
          <w:sz w:val="28"/>
          <w:szCs w:val="28"/>
        </w:rPr>
        <w:t>9.5 已实现接口与 JSON 调用指令</w:t>
      </w:r>
    </w:p>
    <w:p>
      <w:pPr>
        <w:spacing w:after="180" w:line="360"/>
        <w:ind w:firstLine="480"/>
        <w:jc w:val="both"/>
      </w:pPr>
      <w:r>
        <w:rPr>
          <w:rFonts w:ascii="宋体" w:cs="宋体" w:eastAsia="宋体" w:hAnsi="宋体"/>
          <w:sz w:val="22"/>
          <w:szCs w:val="22"/>
        </w:rPr>
        <w:t>本节以当前 C++ HTTP Server 与运行时源码为准，说明已落地的管理面、部署面和统一执行面接口。服务默认以 JSON 承载控制数据，算法发布实例由 algorithm_id、version 和 backend_type 三元组唯一定位；请求示例仅保留业务载荷，生产环境应由网关补充身份认证、权限范围与审计上下文。调用方应同时检查 HTTP 状态码和响应中的 ok 字段：HTTP 状态反映传输与服务处理结果，ok 反映业务调用是否成功。</w:t>
      </w:r>
    </w:p>
    <w:p>
      <w:pPr>
        <w:pStyle w:val="Heading3"/>
        <w:spacing w:after="120" w:before="120" w:line="360"/>
        <w:outlineLvl w:val="2"/>
      </w:pPr>
      <w:r>
        <w:rPr>
          <w:rFonts w:ascii="黑体" w:cs="黑体" w:eastAsia="黑体" w:hAnsi="黑体"/>
          <w:b/>
          <w:bCs/>
          <w:sz w:val="24"/>
          <w:szCs w:val="24"/>
        </w:rPr>
        <w:t>9.5.1 接口分层与通用约定</w:t>
      </w:r>
    </w:p>
    <w:p>
      <w:pPr>
        <w:spacing w:after="180" w:line="360"/>
        <w:ind w:firstLine="480"/>
        <w:jc w:val="both"/>
      </w:pPr>
      <w:r>
        <w:rPr>
          <w:rFonts w:ascii="宋体" w:cs="宋体" w:eastAsia="宋体" w:hAnsi="宋体"/>
          <w:sz w:val="22"/>
          <w:szCs w:val="22"/>
        </w:rPr>
        <w:t>接口可划分为三层：管理层负责算法登记、校验、激活、禁用和删除；部署层维护节点部署记录、加载状态和模型生命周期；执行层提供同步运行、功能目录和链路审计。管理层与部署层围绕算法唯一键组织资源，执行层在此基础上接受 inputs、params、deploy_id 和可选 function_context。function_context 至少包含 function_id 或 function_code 之一，可附带 workflow_instance_id、step_instance_id，以实现功能点与工作流级追溯。</w:t>
      </w:r>
    </w:p>
    <w:p>
      <w:pPr>
        <w:spacing w:after="180" w:line="360"/>
        <w:ind w:firstLine="480"/>
        <w:jc w:val="both"/>
      </w:pPr>
      <w:r>
        <w:rPr>
          <w:rFonts w:ascii="宋体" w:cs="宋体" w:eastAsia="宋体" w:hAnsi="宋体"/>
          <w:sz w:val="22"/>
          <w:szCs w:val="22"/>
        </w:rPr>
        <w:t>统一错误响应采用 {"ok":false,"error_code":"…","message":"…"} 结构。典型状态映射包括：参数或 JSON 不合法返回 400，算法不存在返回 404，状态冲突或未激活返回 409，输入或输出 Schema 不符合约束返回 422，后端服务不可用或超时分别返回 503、504。调用方不得仅以网络连通性判断推理成功，应以 ok、error_code 和输出 Schema 校验结果共同决定后续处理。</w:t>
      </w:r>
    </w:p>
    <w:p>
      <w:pPr>
        <w:pStyle w:val="Heading3"/>
        <w:spacing w:after="120" w:before="120" w:line="360"/>
        <w:outlineLvl w:val="2"/>
      </w:pPr>
      <w:r>
        <w:rPr>
          <w:rFonts w:ascii="黑体" w:cs="黑体" w:eastAsia="黑体" w:hAnsi="黑体"/>
          <w:b/>
          <w:bCs/>
          <w:sz w:val="24"/>
          <w:szCs w:val="24"/>
        </w:rPr>
        <w:t>9.5.2 算法登记与生命周期管理</w:t>
      </w:r>
    </w:p>
    <w:p>
      <w:pPr>
        <w:spacing w:after="100" w:line="300"/>
      </w:pPr>
      <w:r>
        <w:rPr>
          <w:rFonts w:ascii="Consolas" w:cs="宋体" w:eastAsia="宋体" w:hAnsi="Consolas"/>
          <w:b/>
          <w:bCs/>
          <w:sz w:val="20"/>
          <w:szCs w:val="20"/>
        </w:rPr>
        <w:t>POST /algorithms/register</w:t>
      </w:r>
    </w:p>
    <w:p>
      <w:pPr>
        <w:spacing w:after="180" w:line="300"/>
        <w:ind w:left="480"/>
      </w:pPr>
      <w:r>
        <w:rPr>
          <w:rFonts w:ascii="Consolas" w:cs="宋体" w:eastAsia="宋体" w:hAnsi="Consolas"/>
          <w:sz w:val="18"/>
          <w:szCs w:val="18"/>
        </w:rPr>
        <w:t xml:space="preserve">{"package_or_card_path":"/opt/algorithms/onnx_text_classifier/1.0.0"}</w:t>
      </w:r>
    </w:p>
    <w:p>
      <w:pPr>
        <w:spacing w:after="120" w:line="360"/>
        <w:ind w:firstLine="480"/>
        <w:jc w:val="both"/>
      </w:pPr>
      <w:r>
        <w:rPr>
          <w:rFonts w:ascii="宋体" w:cs="宋体" w:eastAsia="宋体" w:hAnsi="宋体"/>
          <w:sz w:val="22"/>
          <w:szCs w:val="22"/>
        </w:rPr>
        <w:t>注册成功返回 HTTP 201，以及 algorithm_id、version、backend_type、status 和 agent_view。新登记条目初始为 draft；须依次调用 POST /algorithms/{id}/{version}/{backend}/validate 与 POST /algorithms/{id}/{version}/{backend}/activate，完成静态校验和激活后才可进入执行面。需要暂停服务时调用 disable，删除操作使用 DELETE /algorithms/{id}/{version}/{backend}，其语义为将条目标记为 deleted。</w:t>
      </w:r>
    </w:p>
    <w:p>
      <w:pPr>
        <w:pStyle w:val="Heading3"/>
        <w:spacing w:after="100" w:before="120" w:line="360"/>
        <w:outlineLvl w:val="2"/>
      </w:pPr>
      <w:r>
        <w:rPr>
          <w:rFonts w:ascii="黑体" w:cs="黑体" w:eastAsia="黑体" w:hAnsi="黑体"/>
          <w:b/>
          <w:bCs/>
          <w:sz w:val="24"/>
          <w:szCs w:val="24"/>
        </w:rPr>
        <w:t>9.5.3 算法发现、详情与功能目录</w:t>
      </w:r>
    </w:p>
    <w:p>
      <w:pPr>
        <w:spacing w:after="100" w:line="300"/>
      </w:pPr>
      <w:r>
        <w:rPr>
          <w:rFonts w:ascii="Consolas" w:cs="宋体" w:eastAsia="宋体" w:hAnsi="Consolas"/>
          <w:b/>
          <w:bCs/>
          <w:sz w:val="20"/>
          <w:szCs w:val="20"/>
        </w:rPr>
        <w:t>GET /algorithms?task_family=text_classification&amp;backend=onnx&amp;capability=confidence_score&amp;max_memory=2048</w:t>
      </w:r>
    </w:p>
    <w:p>
      <w:pPr>
        <w:spacing w:after="180" w:line="300"/>
        <w:ind w:left="480"/>
      </w:pPr>
      <w:r>
        <w:rPr>
          <w:rFonts w:ascii="Consolas" w:cs="宋体" w:eastAsia="宋体" w:hAnsi="Consolas"/>
          <w:sz w:val="18"/>
          <w:szCs w:val="18"/>
        </w:rPr>
        <w:t xml:space="preserve">{"ok":true,"count":1,"filter":{"active_only":true,"task_family":"text_classification","backend":"onnx"},"algorithms":[{"algorithm_id":"onnx_text_classifier","version":"1.0.0"}]}</w:t>
      </w:r>
    </w:p>
    <w:p>
      <w:pPr>
        <w:spacing w:after="120" w:line="300"/>
      </w:pPr>
      <w:r>
        <w:rPr>
          <w:rFonts w:ascii="宋体" w:cs="宋体" w:eastAsia="宋体" w:hAnsi="宋体"/>
          <w:sz w:val="22"/>
          <w:szCs w:val="22"/>
        </w:rPr>
        <w:t>发现接口还支持 function_id、function_code、node、status、max_vram、max_memory 和 max_cpu_cores 等组合条件，多个条件按 AND 关系筛选。GET /operational-functions 获取功能目录；GET /algorithms/{id}/{version}/{backend} 返回 entry 与 agent_view。</w:t>
      </w:r>
    </w:p>
    <w:p>
      <w:pPr>
        <w:pStyle w:val="Heading3"/>
        <w:spacing w:after="100" w:before="120" w:line="360"/>
        <w:outlineLvl w:val="2"/>
      </w:pPr>
      <w:r>
        <w:rPr>
          <w:rFonts w:ascii="黑体" w:cs="黑体" w:eastAsia="黑体" w:hAnsi="黑体"/>
          <w:b/>
          <w:bCs/>
          <w:sz w:val="24"/>
          <w:szCs w:val="24"/>
        </w:rPr>
        <w:t>9.5.4 部署登记、状态回写与模型加载</w:t>
      </w:r>
    </w:p>
    <w:p>
      <w:pPr>
        <w:spacing w:after="100" w:line="300"/>
      </w:pPr>
      <w:r>
        <w:rPr>
          <w:rFonts w:ascii="Consolas" w:cs="宋体" w:eastAsia="宋体" w:hAnsi="Consolas"/>
          <w:b/>
          <w:bCs/>
          <w:sz w:val="20"/>
          <w:szCs w:val="20"/>
        </w:rPr>
        <w:t>POST /algorithms/onnx_text_classifier/1.0.0/onnx/deployments</w:t>
      </w:r>
    </w:p>
    <w:p>
      <w:pPr>
        <w:spacing w:after="180" w:line="300"/>
        <w:ind w:left="480"/>
      </w:pPr>
      <w:r>
        <w:rPr>
          <w:rFonts w:ascii="Consolas" w:cs="宋体" w:eastAsia="宋体" w:hAnsi="Consolas"/>
          <w:sz w:val="18"/>
          <w:szCs w:val="18"/>
        </w:rPr>
        <w:t xml:space="preserve">{"deploy_id":"node-a-onnx-01","node_id":"node-a","endpoint":"http://node-a:8088","deploy_status":"unloaded"}</w:t>
      </w:r>
    </w:p>
    <w:p>
      <w:pPr>
        <w:spacing w:after="120" w:line="300"/>
      </w:pPr>
      <w:r>
        <w:rPr>
          <w:rFonts w:ascii="宋体" w:cs="宋体" w:eastAsia="宋体" w:hAnsi="宋体"/>
          <w:sz w:val="22"/>
          <w:szCs w:val="22"/>
        </w:rPr>
        <w:t>服务端自动填充 deployed_at。通过 PATCH /algorithms/onnx_text_classifier/1.0.0/onnx/deployments/node-a-onnx-01/status 发送 {"deploy_status":"ready","status_message":"model warmed up"} 可更新状态；合法状态为 unloaded、loading、ready、error。</w:t>
      </w:r>
    </w:p>
    <w:p>
      <w:pPr>
        <w:spacing w:after="100" w:line="300"/>
      </w:pPr>
      <w:r>
        <w:rPr>
          <w:rFonts w:ascii="Consolas" w:cs="宋体" w:eastAsia="宋体" w:hAnsi="Consolas"/>
          <w:b/>
          <w:bCs/>
          <w:sz w:val="20"/>
          <w:szCs w:val="20"/>
        </w:rPr>
        <w:t>POST /load</w:t>
      </w:r>
    </w:p>
    <w:p>
      <w:pPr>
        <w:spacing w:after="180" w:line="300"/>
        <w:ind w:left="480"/>
      </w:pPr>
      <w:r>
        <w:rPr>
          <w:rFonts w:ascii="Consolas" w:cs="宋体" w:eastAsia="宋体" w:hAnsi="Consolas"/>
          <w:sz w:val="18"/>
          <w:szCs w:val="18"/>
        </w:rPr>
        <w:t xml:space="preserve">{"algorithm_id":"onnx_text_classifier","version":"1.0.0","backend_type":"onnx","deploy_id":"node-a-onnx-01","transfer_mode":"none"}</w:t>
      </w:r>
    </w:p>
    <w:p>
      <w:pPr>
        <w:spacing w:after="120" w:line="360"/>
        <w:ind w:firstLine="480"/>
        <w:jc w:val="both"/>
      </w:pPr>
      <w:r>
        <w:rPr>
          <w:rFonts w:ascii="宋体" w:cs="宋体" w:eastAsia="宋体" w:hAnsi="宋体"/>
          <w:sz w:val="22"/>
          <w:szCs w:val="22"/>
        </w:rPr>
        <w:t>加载响应统一返回 ok、algorithm_id、version、backend_type、deploy_id、load_status、message，以及可选的 health_ok、health_status、health_message。重复加载同一算法和部署实例时 load_status 为 already_loaded；加载成功后部署记录更新为 ready。跨节点加载时将 transfer_mode 设为 http_pull，并补充 source_base_url、target_local_dir、files_to_pull，使节点从中心文件服务下载所需模型与配置文件。</w:t>
      </w:r>
    </w:p>
    <w:p>
      <w:pPr>
        <w:pStyle w:val="Heading3"/>
        <w:spacing w:after="100" w:before="120" w:line="360"/>
        <w:outlineLvl w:val="2"/>
      </w:pPr>
      <w:r>
        <w:rPr>
          <w:rFonts w:ascii="黑体" w:cs="黑体" w:eastAsia="黑体" w:hAnsi="黑体"/>
          <w:b/>
          <w:bCs/>
          <w:sz w:val="24"/>
          <w:szCs w:val="24"/>
        </w:rPr>
        <w:t>9.5.5 统一同步推理调用</w:t>
      </w:r>
    </w:p>
    <w:p>
      <w:pPr>
        <w:spacing w:after="100" w:line="300"/>
      </w:pPr>
      <w:r>
        <w:rPr>
          <w:rFonts w:ascii="Consolas" w:cs="宋体" w:eastAsia="宋体" w:hAnsi="Consolas"/>
          <w:b/>
          <w:bCs/>
          <w:sz w:val="20"/>
          <w:szCs w:val="20"/>
        </w:rPr>
        <w:t>POST /run</w:t>
      </w:r>
    </w:p>
    <w:p>
      <w:pPr>
        <w:spacing w:after="180" w:line="300"/>
        <w:ind w:left="480"/>
      </w:pPr>
      <w:r>
        <w:rPr>
          <w:rFonts w:ascii="Consolas" w:cs="宋体" w:eastAsia="宋体" w:hAnsi="Consolas"/>
          <w:sz w:val="18"/>
          <w:szCs w:val="18"/>
        </w:rPr>
        <w:t xml:space="preserve">{"request_id":"req-20260828-001","trace_id":"trace-mission-001","algorithm_id":"onnx_text_classifier","version":"1.0.0","backend_type":"onnx","deploy_id":"node-a-onnx-01","inputs":{"text":"Classify this task text."}}</w:t>
      </w:r>
    </w:p>
    <w:p>
      <w:pPr>
        <w:spacing w:after="180" w:line="300"/>
        <w:ind w:left="480"/>
      </w:pPr>
      <w:r>
        <w:rPr>
          <w:rFonts w:ascii="Consolas" w:cs="宋体" w:eastAsia="宋体" w:hAnsi="Consolas"/>
          <w:sz w:val="18"/>
          <w:szCs w:val="18"/>
        </w:rPr>
        <w:t xml:space="preserve">{"ok":true,"request_id":"req-20260828-001","trace_id":"trace-mission-001","outputs":{"label":"task","confidence":0.96},"usage":{"execution_provider":"cpu","latency_ms":20},"error":null}</w:t>
      </w:r>
    </w:p>
    <w:p>
      <w:pPr>
        <w:spacing w:after="120" w:line="360"/>
        <w:ind w:firstLine="480"/>
        <w:jc w:val="both"/>
      </w:pPr>
      <w:r>
        <w:rPr>
          <w:rFonts w:ascii="宋体" w:cs="宋体" w:eastAsia="宋体" w:hAnsi="宋体"/>
          <w:sz w:val="22"/>
          <w:szCs w:val="22"/>
        </w:rPr>
        <w:t>run 请求必须提供 algorithm_id、version、backend_type 和 inputs；request_id、trace_id、params、deploy_id 为可选字段。执行协调器完成算法激活状态检查、输入 Schema 校验、Runner 获取或创建、后端调用、输出 Schema 校验和审计写入。若请求携带 function_context，结果会额外返回 function_execution，说明功能点匹配、覆盖级别和执行状态。outputs 的具体字段受算法包 output.schema.json 约束，示例中的 label 与 confidence 仅适用于该文本分类算法。</w:t>
      </w:r>
    </w:p>
    <w:p>
      <w:pPr>
        <w:pStyle w:val="Heading3"/>
        <w:spacing w:after="100" w:before="120" w:line="360"/>
        <w:outlineLvl w:val="2"/>
      </w:pPr>
      <w:r>
        <w:rPr>
          <w:rFonts w:ascii="黑体" w:cs="黑体" w:eastAsia="黑体" w:hAnsi="黑体"/>
          <w:b/>
          <w:bCs/>
          <w:sz w:val="24"/>
          <w:szCs w:val="24"/>
        </w:rPr>
        <w:t>9.5.6 Python 服务池、文件分发与审计</w:t>
      </w:r>
    </w:p>
    <w:p>
      <w:pPr>
        <w:spacing w:after="100" w:line="300"/>
      </w:pPr>
      <w:r>
        <w:rPr>
          <w:rFonts w:ascii="Consolas" w:cs="宋体" w:eastAsia="宋体" w:hAnsi="Consolas"/>
          <w:b/>
          <w:bCs/>
          <w:sz w:val="20"/>
          <w:szCs w:val="20"/>
        </w:rPr>
        <w:t>POST /load（Python HTTP 服务连接池）</w:t>
      </w:r>
    </w:p>
    <w:p>
      <w:pPr>
        <w:spacing w:after="180" w:line="300"/>
        <w:ind w:left="480"/>
      </w:pPr>
      <w:r>
        <w:rPr>
          <w:rFonts w:ascii="Consolas" w:cs="宋体" w:eastAsia="宋体" w:hAnsi="Consolas"/>
          <w:sz w:val="18"/>
          <w:szCs w:val="18"/>
        </w:rPr>
        <w:t>{"algorithm_id":"llm_rule_explainer","version":"1.0.0","backend_type":"python_http_service","pool_size":3,"pool_checkout_timeout_ms":5000}</w:t>
      </w:r>
    </w:p>
    <w:p>
      <w:pPr>
        <w:spacing w:after="120" w:line="360"/>
        <w:ind w:firstLine="480"/>
        <w:jc w:val="both"/>
      </w:pPr>
      <w:r>
        <w:rPr>
          <w:rFonts w:ascii="宋体" w:cs="宋体" w:eastAsia="宋体" w:hAnsi="宋体"/>
          <w:sz w:val="22"/>
          <w:szCs w:val="22"/>
        </w:rPr>
        <w:t>对 python_http_service 后端，POST /load 可配置 pool_size 和 pool_checkout_timeout_ms，以为各 Runner 建立独立 HTTP Client 并控制获取超时；在峰值负载下，调用方应按服务不可用错误实施有限重试和降级。模型文件可由 GET /algorithms/{id}/{version}/{backend}/files/{relative_path} 供 http_pull 模式拉取，服务端拒绝含 .. 的路径并在规范化后再次确认文件仍位于算法包根目录内。GET /health 用于查询服务就绪状态与 runner_cache_size；POST /unload 按算法键和可选 deploy_id 释放运行资源；GET /traces/{trace_id}/function-executions 返回同一链路下的功能执行审计记录。</w:t>
      </w:r>
    </w:p>
    <w:p>
      <w:pPr>
        <w:pStyle w:val="Heading1"/>
        <w:pageBreakBefore/>
        <w:spacing w:after="240" w:before="240" w:line="360"/>
        <w:outlineLvl w:val="0"/>
      </w:pPr>
      <w:r>
        <w:rPr>
          <w:rFonts w:ascii="黑体" w:cs="黑体" w:eastAsia="黑体" w:hAnsi="黑体"/>
          <w:b/>
          <w:bCs/>
          <w:sz w:val="32"/>
          <w:szCs w:val="32"/>
        </w:rPr>
        <w:t>第10章 验证方案、部署建议与建设路线</w:t>
      </w:r>
    </w:p>
    <w:p>
      <w:pPr>
        <w:pStyle w:val="Heading2"/>
        <w:spacing w:after="180" w:before="180" w:line="360"/>
        <w:outlineLvl w:val="1"/>
      </w:pPr>
      <w:r>
        <w:rPr>
          <w:rFonts w:ascii="黑体" w:cs="黑体" w:eastAsia="黑体" w:hAnsi="黑体"/>
          <w:b/>
          <w:bCs/>
          <w:sz w:val="28"/>
          <w:szCs w:val="28"/>
        </w:rPr>
        <w:t>10.1 验证目标与分层方法</w:t>
      </w:r>
    </w:p>
    <w:p>
      <w:pPr>
        <w:spacing w:after="180" w:line="360"/>
        <w:ind w:firstLine="480"/>
        <w:jc w:val="both"/>
      </w:pPr>
      <w:r>
        <w:rPr>
          <w:rFonts w:ascii="宋体" w:cs="宋体" w:eastAsia="宋体" w:hAnsi="宋体"/>
          <w:sz w:val="22"/>
          <w:szCs w:val="22"/>
        </w:rPr>
        <w:t>验证工作以“可注册、可部署、可调用、可追溯、可降级”为目标，覆盖算法包静态检查、Schema 契约检查、功能正确性、性能资源、可靠性、安全性和业务链路适配。验证应分为组件级、服务级、节点级、中心节点协同级和场景级五个层次，既验证单模型的输出质量，也验证模型选择、版本管理、分发加载与异常回退的端到端闭环。</w:t>
      </w:r>
    </w:p>
    <w:p>
      <w:pPr>
        <w:pStyle w:val="Heading2"/>
        <w:spacing w:after="180" w:before="180" w:line="360"/>
        <w:outlineLvl w:val="1"/>
      </w:pPr>
      <w:r>
        <w:rPr>
          <w:rFonts w:ascii="黑体" w:cs="黑体" w:eastAsia="黑体" w:hAnsi="黑体"/>
          <w:b/>
          <w:bCs/>
          <w:sz w:val="28"/>
          <w:szCs w:val="28"/>
        </w:rPr>
        <w:t>10.2 算法验收与回归验证</w:t>
      </w:r>
    </w:p>
    <w:p>
      <w:pPr>
        <w:spacing w:after="180" w:line="360"/>
        <w:ind w:firstLine="480"/>
        <w:jc w:val="both"/>
      </w:pPr>
      <w:r>
        <w:rPr>
          <w:rFonts w:ascii="宋体" w:cs="宋体" w:eastAsia="宋体" w:hAnsi="宋体"/>
          <w:sz w:val="22"/>
          <w:szCs w:val="22"/>
        </w:rPr>
        <w:t>每个算法版本提交时执行自动验收：检查 algorithm_card.yaml 的字段完整性和跨文件引用，验证输入输出样例、依赖清单、模型摘要和资源画像，运行黄金样例并比对结构、范围和关键质量指标。对于 ONNX 模型，还应验证会话加载、张量名、维度、数值类型和目标运行提供者兼容性；对于 HTTP 服务，还应验证健康检查、超时处理、并发行为和标准错误响应。</w:t>
      </w:r>
    </w:p>
    <w:p>
      <w:pPr>
        <w:spacing w:after="180" w:line="360"/>
        <w:ind w:firstLine="480"/>
        <w:jc w:val="both"/>
      </w:pPr>
      <w:r>
        <w:rPr>
          <w:rFonts w:ascii="宋体" w:cs="宋体" w:eastAsia="宋体" w:hAnsi="宋体"/>
          <w:sz w:val="22"/>
          <w:szCs w:val="22"/>
        </w:rPr>
        <w:t>基线版本建立后，所有算法卡、接口、运行器和依赖升级均触发回归验证。回归集应包含正常输入、边界输入、异常输入、资源受限和服务失效等场景，并记录准确率或任务质量、P95时延、峰值内存、显存占用、吞吐量和错误率。指标超过预设阈值时禁止自动升级，并保留可回滚版本。</w:t>
      </w:r>
    </w:p>
    <w:p>
      <w:pPr>
        <w:pStyle w:val="Heading2"/>
        <w:spacing w:after="180" w:before="180" w:line="360"/>
        <w:outlineLvl w:val="1"/>
      </w:pPr>
      <w:r>
        <w:rPr>
          <w:rFonts w:ascii="黑体" w:cs="黑体" w:eastAsia="黑体" w:hAnsi="黑体"/>
          <w:b/>
          <w:bCs/>
          <w:sz w:val="28"/>
          <w:szCs w:val="28"/>
        </w:rPr>
        <w:t>10.3 部署建议与运行保障</w:t>
      </w:r>
    </w:p>
    <w:p>
      <w:pPr>
        <w:spacing w:after="180" w:line="360"/>
        <w:ind w:firstLine="480"/>
        <w:jc w:val="both"/>
      </w:pPr>
      <w:r>
        <w:rPr>
          <w:rFonts w:ascii="宋体" w:cs="宋体" w:eastAsia="宋体" w:hAnsi="宋体"/>
          <w:sz w:val="22"/>
          <w:szCs w:val="22"/>
        </w:rPr>
        <w:t>部署遵循中心管理与节点执行相结合的原则。轻量边缘节点优先部署规则、统计学习、轻量 ONNX 分类和预测模型；标准节点部署检测、跟踪、时序和证据评估模型；高性能节点承载多模态融合、分割、图推理等计算密集任务；中心智能节点承载大语言模型、检索增强、复杂规划、联邦聚合、批量训练和全局治理能力。各节点按资源档位建立准入清单，禁止超配加载。</w:t>
      </w:r>
    </w:p>
    <w:p>
      <w:pPr>
        <w:spacing w:after="180" w:line="360"/>
        <w:ind w:firstLine="480"/>
        <w:jc w:val="both"/>
      </w:pPr>
      <w:r>
        <w:rPr>
          <w:rFonts w:ascii="宋体" w:cs="宋体" w:eastAsia="宋体" w:hAnsi="宋体"/>
          <w:sz w:val="22"/>
          <w:szCs w:val="22"/>
        </w:rPr>
        <w:t>运行保障应配置版本仓库、签名校验、镜像或模型缓存、监控告警、备份恢复和应急回滚机制。对关键能力配置主备模型和容量余量，定期演练节点失联、模型损坏、服务过载和网络降级场景。对于不确定性过高或涉及外部处置的结果，必须转入人工复核或受控移交流程，不以算法输出替代必要的授权与确认。</w:t>
      </w:r>
    </w:p>
    <w:p>
      <w:pPr>
        <w:pStyle w:val="Heading2"/>
        <w:spacing w:after="180" w:before="180" w:line="360"/>
        <w:outlineLvl w:val="1"/>
      </w:pPr>
      <w:r>
        <w:rPr>
          <w:rFonts w:ascii="黑体" w:cs="黑体" w:eastAsia="黑体" w:hAnsi="黑体"/>
          <w:b/>
          <w:bCs/>
          <w:sz w:val="28"/>
          <w:szCs w:val="28"/>
        </w:rPr>
        <w:t>10.4 分阶段建设路线</w:t>
      </w:r>
    </w:p>
    <w:p>
      <w:pPr>
        <w:spacing w:after="120" w:line="280" w:lineRule="auto"/>
        <w:jc w:val="center"/>
      </w:pPr>
      <w:r>
        <w:drawing>
          <wp:inline distT="0" distB="0" distL="0" distR="0">
            <wp:extent cx="5500000" cy="1890625"/>
            <wp:effectExtent l="0" t="0" r="0" b="0"/>
            <wp:docPr id="107" name="Figure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image.png"/>
                    <pic:cNvPicPr/>
                  </pic:nvPicPr>
                  <pic:blipFill>
                    <a:blip r:embed="rId17"/>
                    <a:stretch>
                      <a:fillRect/>
                    </a:stretch>
                  </pic:blipFill>
                  <pic:spPr>
                    <a:xfrm>
                      <a:off x="0" y="0"/>
                      <a:ext cx="5500000" cy="1890625"/>
                    </a:xfrm>
                    <a:prstGeom prst="rect">
                      <a:avLst/>
                    </a:prstGeom>
                  </pic:spPr>
                </pic:pic>
              </a:graphicData>
            </a:graphic>
          </wp:inline>
        </w:drawing>
      </w:r>
    </w:p>
    <w:p>
      <w:pPr>
        <w:spacing w:after="120" w:line="280" w:lineRule="auto"/>
        <w:jc w:val="center"/>
      </w:pPr>
      <w:r>
        <w:rPr>
          <w:rFonts w:eastAsia="Arial"/>
          <w:sz w:val="20"/>
          <w:szCs w:val="20"/>
        </w:rPr>
        <w:t>图 10-1  分阶段建设路线</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3200"/>
        <w:gridCol w:w="2400"/>
        <w:gridCol w:w="2400"/>
      </w:tblGrid>
      <w:tr>
        <w:tc>
          <w:tcPr>
            <w:tcW w:type="dxa" w:w="1200"/>
            <w:tcBorders>
              <w:top w:val="single" w:color="A6A6A6" w:sz="4"/>
              <w:left w:val="single" w:color="A6A6A6" w:sz="4"/>
              <w:bottom w:val="single" w:color="A6A6A6" w:sz="4"/>
              <w:right w:val="single" w:color="A6A6A6" w:sz="4"/>
            </w:tcBorders>
            <w:shd w:fill="D9EAF7" w:val="clear"/>
            <w:tcMar>
              <w:top w:type="dxa" w:w="90"/>
              <w:left w:type="dxa" w:w="120"/>
              <w:bottom w:type="dxa" w:w="90"/>
              <w:right w:type="dxa" w:w="120"/>
            </w:tcMar>
            <w:vAlign w:val="center"/>
          </w:tcPr>
          <w:p>
            <w:pPr>
              <w:spacing w:after="0" w:line="280"/>
              <w:jc w:val="center"/>
            </w:pPr>
            <w:r>
              <w:rPr>
                <w:rFonts w:eastAsia="Arial"/>
                <w:sz w:val="20"/>
                <w:szCs w:val="20"/>
                <w:b/>
                <w:bCs/>
              </w:rPr>
              <w:t>阶段</w:t>
            </w:r>
          </w:p>
        </w:tc>
        <w:tc>
          <w:tcPr>
            <w:tcW w:type="dxa" w:w="1000"/>
            <w:tcBorders>
              <w:top w:val="single" w:color="A6A6A6" w:sz="4"/>
              <w:left w:val="single" w:color="A6A6A6" w:sz="4"/>
              <w:bottom w:val="single" w:color="A6A6A6" w:sz="4"/>
              <w:right w:val="single" w:color="A6A6A6" w:sz="4"/>
            </w:tcBorders>
            <w:shd w:fill="D9EAF7" w:val="clear"/>
            <w:tcMar>
              <w:top w:type="dxa" w:w="90"/>
              <w:left w:type="dxa" w:w="120"/>
              <w:bottom w:type="dxa" w:w="90"/>
              <w:right w:type="dxa" w:w="120"/>
            </w:tcMar>
            <w:vAlign w:val="center"/>
          </w:tcPr>
          <w:p>
            <w:pPr>
              <w:spacing w:after="0" w:line="280"/>
              <w:jc w:val="center"/>
            </w:pPr>
            <w:r>
              <w:rPr>
                <w:rFonts w:eastAsia="Arial"/>
                <w:sz w:val="20"/>
                <w:szCs w:val="20"/>
                <w:b/>
                <w:bCs/>
              </w:rPr>
              <w:t>周期</w:t>
            </w:r>
          </w:p>
        </w:tc>
        <w:tc>
          <w:tcPr>
            <w:tcW w:type="dxa" w:w="3200"/>
            <w:tcBorders>
              <w:top w:val="single" w:color="A6A6A6" w:sz="4"/>
              <w:left w:val="single" w:color="A6A6A6" w:sz="4"/>
              <w:bottom w:val="single" w:color="A6A6A6" w:sz="4"/>
              <w:right w:val="single" w:color="A6A6A6" w:sz="4"/>
            </w:tcBorders>
            <w:shd w:fill="D9EAF7" w:val="clear"/>
            <w:tcMar>
              <w:top w:type="dxa" w:w="90"/>
              <w:left w:type="dxa" w:w="120"/>
              <w:bottom w:type="dxa" w:w="90"/>
              <w:right w:type="dxa" w:w="120"/>
            </w:tcMar>
            <w:vAlign w:val="center"/>
          </w:tcPr>
          <w:p>
            <w:pPr>
              <w:spacing w:after="0" w:line="280"/>
              <w:jc w:val="center"/>
            </w:pPr>
            <w:r>
              <w:rPr>
                <w:rFonts w:eastAsia="Arial"/>
                <w:sz w:val="20"/>
                <w:szCs w:val="20"/>
                <w:b/>
                <w:bCs/>
              </w:rPr>
              <w:t>关键任务</w:t>
            </w:r>
          </w:p>
        </w:tc>
        <w:tc>
          <w:tcPr>
            <w:tcW w:type="dxa" w:w="2400"/>
            <w:tcBorders>
              <w:top w:val="single" w:color="A6A6A6" w:sz="4"/>
              <w:left w:val="single" w:color="A6A6A6" w:sz="4"/>
              <w:bottom w:val="single" w:color="A6A6A6" w:sz="4"/>
              <w:right w:val="single" w:color="A6A6A6" w:sz="4"/>
            </w:tcBorders>
            <w:shd w:fill="D9EAF7" w:val="clear"/>
            <w:tcMar>
              <w:top w:type="dxa" w:w="90"/>
              <w:left w:type="dxa" w:w="120"/>
              <w:bottom w:type="dxa" w:w="90"/>
              <w:right w:type="dxa" w:w="120"/>
            </w:tcMar>
            <w:vAlign w:val="center"/>
          </w:tcPr>
          <w:p>
            <w:pPr>
              <w:spacing w:after="0" w:line="280"/>
              <w:jc w:val="center"/>
            </w:pPr>
            <w:r>
              <w:rPr>
                <w:rFonts w:eastAsia="Arial"/>
                <w:sz w:val="20"/>
                <w:szCs w:val="20"/>
                <w:b/>
                <w:bCs/>
              </w:rPr>
              <w:t>交付物</w:t>
            </w:r>
          </w:p>
        </w:tc>
        <w:tc>
          <w:tcPr>
            <w:tcW w:type="dxa" w:w="2400"/>
            <w:tcBorders>
              <w:top w:val="single" w:color="A6A6A6" w:sz="4"/>
              <w:left w:val="single" w:color="A6A6A6" w:sz="4"/>
              <w:bottom w:val="single" w:color="A6A6A6" w:sz="4"/>
              <w:right w:val="single" w:color="A6A6A6" w:sz="4"/>
            </w:tcBorders>
            <w:shd w:fill="D9EAF7" w:val="clear"/>
            <w:tcMar>
              <w:top w:type="dxa" w:w="90"/>
              <w:left w:type="dxa" w:w="120"/>
              <w:bottom w:type="dxa" w:w="90"/>
              <w:right w:type="dxa" w:w="120"/>
            </w:tcMar>
            <w:vAlign w:val="center"/>
          </w:tcPr>
          <w:p>
            <w:pPr>
              <w:spacing w:after="0" w:line="280"/>
              <w:jc w:val="center"/>
            </w:pPr>
            <w:r>
              <w:rPr>
                <w:rFonts w:eastAsia="Arial"/>
                <w:sz w:val="20"/>
                <w:szCs w:val="20"/>
                <w:b/>
                <w:bCs/>
              </w:rPr>
              <w:t>出口准则</w:t>
            </w:r>
          </w:p>
        </w:tc>
      </w:tr>
      <w:tr>
        <w:tc>
          <w:tcPr>
            <w:tcW w:type="dxa" w:w="12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center"/>
            </w:pPr>
            <w:r>
              <w:rPr>
                <w:rFonts w:eastAsia="Arial"/>
                <w:sz w:val="20"/>
                <w:szCs w:val="20"/>
              </w:rPr>
              <w:t>第一阶段</w:t>
            </w:r>
          </w:p>
        </w:tc>
        <w:tc>
          <w:tcPr>
            <w:tcW w:type="dxa" w:w="10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center"/>
            </w:pPr>
            <w:r>
              <w:rPr>
                <w:rFonts w:eastAsia="Arial"/>
                <w:sz w:val="20"/>
                <w:szCs w:val="20"/>
              </w:rPr>
              <w:t>0–2月</w:t>
            </w:r>
          </w:p>
        </w:tc>
        <w:tc>
          <w:tcPr>
            <w:tcW w:type="dxa" w:w="32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center"/>
            </w:pPr>
            <w:r>
              <w:rPr>
                <w:rFonts w:eastAsia="Arial"/>
                <w:sz w:val="20"/>
                <w:szCs w:val="20"/>
              </w:rPr>
              <w:t>算法卡规范、注册中心、基础文件服务、统一运行接口</w:t>
            </w:r>
          </w:p>
        </w:tc>
        <w:tc>
          <w:tcPr>
            <w:tcW w:type="dxa" w:w="24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center"/>
            </w:pPr>
            <w:r>
              <w:rPr>
                <w:rFonts w:eastAsia="Arial"/>
                <w:sz w:val="20"/>
                <w:szCs w:val="20"/>
              </w:rPr>
              <w:t>可登记/可检索/可调用的最小闭环</w:t>
            </w:r>
          </w:p>
        </w:tc>
        <w:tc>
          <w:tcPr>
            <w:tcW w:type="dxa" w:w="24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center"/>
            </w:pPr>
            <w:r>
              <w:rPr>
                <w:rFonts w:eastAsia="Arial"/>
                <w:sz w:val="20"/>
                <w:szCs w:val="20"/>
              </w:rPr>
              <w:t>重点模型可执行样例通过验收</w:t>
            </w:r>
          </w:p>
        </w:tc>
      </w:tr>
      <w:tr>
        <w:tc>
          <w:tcPr>
            <w:tcW w:type="dxa" w:w="12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center"/>
            </w:pPr>
            <w:r>
              <w:rPr>
                <w:rFonts w:eastAsia="Arial"/>
                <w:sz w:val="20"/>
                <w:szCs w:val="20"/>
              </w:rPr>
              <w:t>第二阶段</w:t>
            </w:r>
          </w:p>
        </w:tc>
        <w:tc>
          <w:tcPr>
            <w:tcW w:type="dxa" w:w="10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center"/>
            </w:pPr>
            <w:r>
              <w:rPr>
                <w:rFonts w:eastAsia="Arial"/>
                <w:sz w:val="20"/>
                <w:szCs w:val="20"/>
              </w:rPr>
              <w:t>2–6月</w:t>
            </w:r>
          </w:p>
        </w:tc>
        <w:tc>
          <w:tcPr>
            <w:tcW w:type="dxa" w:w="32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center"/>
            </w:pPr>
            <w:r>
              <w:rPr>
                <w:rFonts w:eastAsia="Arial"/>
                <w:sz w:val="20"/>
                <w:szCs w:val="20"/>
              </w:rPr>
              <w:t>节点部署、双后端运行器、资源画像、自动验收、监控审计</w:t>
            </w:r>
          </w:p>
        </w:tc>
        <w:tc>
          <w:tcPr>
            <w:tcW w:type="dxa" w:w="24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center"/>
            </w:pPr>
            <w:r>
              <w:rPr>
                <w:rFonts w:eastAsia="Arial"/>
                <w:sz w:val="20"/>
                <w:szCs w:val="20"/>
              </w:rPr>
              <w:t>中心到节点受控分发与运行保障</w:t>
            </w:r>
          </w:p>
        </w:tc>
        <w:tc>
          <w:tcPr>
            <w:tcW w:type="dxa" w:w="24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center"/>
            </w:pPr>
            <w:r>
              <w:rPr>
                <w:rFonts w:eastAsia="Arial"/>
                <w:sz w:val="20"/>
                <w:szCs w:val="20"/>
              </w:rPr>
              <w:t>自动验收通过率&gt;95%，监控覆盖核心链路</w:t>
            </w:r>
          </w:p>
        </w:tc>
      </w:tr>
      <w:tr>
        <w:tc>
          <w:tcPr>
            <w:tcW w:type="dxa" w:w="12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center"/>
            </w:pPr>
            <w:r>
              <w:rPr>
                <w:rFonts w:eastAsia="Arial"/>
                <w:sz w:val="20"/>
                <w:szCs w:val="20"/>
              </w:rPr>
              <w:t>第三阶段</w:t>
            </w:r>
          </w:p>
        </w:tc>
        <w:tc>
          <w:tcPr>
            <w:tcW w:type="dxa" w:w="10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center"/>
            </w:pPr>
            <w:r>
              <w:rPr>
                <w:rFonts w:eastAsia="Arial"/>
                <w:sz w:val="20"/>
                <w:szCs w:val="20"/>
              </w:rPr>
              <w:t>6–12月</w:t>
            </w:r>
          </w:p>
        </w:tc>
        <w:tc>
          <w:tcPr>
            <w:tcW w:type="dxa" w:w="32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center"/>
            </w:pPr>
            <w:r>
              <w:rPr>
                <w:rFonts w:eastAsia="Arial"/>
                <w:sz w:val="20"/>
                <w:szCs w:val="20"/>
              </w:rPr>
              <w:t>场景化选择编排、灰度发布、质量评估、跨节点协同</w:t>
            </w:r>
          </w:p>
        </w:tc>
        <w:tc>
          <w:tcPr>
            <w:tcW w:type="dxa" w:w="24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center"/>
            </w:pPr>
            <w:r>
              <w:rPr>
                <w:rFonts w:eastAsia="Arial"/>
                <w:sz w:val="20"/>
                <w:szCs w:val="20"/>
              </w:rPr>
              <w:t>功能点覆盖扩大与自动化运维</w:t>
            </w:r>
          </w:p>
        </w:tc>
        <w:tc>
          <w:tcPr>
            <w:tcW w:type="dxa" w:w="24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center"/>
            </w:pPr>
            <w:r>
              <w:rPr>
                <w:rFonts w:eastAsia="Arial"/>
                <w:sz w:val="20"/>
                <w:szCs w:val="20"/>
              </w:rPr>
              <w:t>灰度成功率&gt;99%，端到端时延达标</w:t>
            </w:r>
          </w:p>
        </w:tc>
      </w:tr>
      <w:tr>
        <w:tc>
          <w:tcPr>
            <w:tcW w:type="dxa" w:w="12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center"/>
            </w:pPr>
            <w:r>
              <w:rPr>
                <w:rFonts w:eastAsia="Arial"/>
                <w:sz w:val="20"/>
                <w:szCs w:val="20"/>
              </w:rPr>
              <w:t>持续建设</w:t>
            </w:r>
          </w:p>
        </w:tc>
        <w:tc>
          <w:tcPr>
            <w:tcW w:type="dxa" w:w="10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center"/>
            </w:pPr>
            <w:r>
              <w:rPr>
                <w:rFonts w:eastAsia="Arial"/>
                <w:sz w:val="20"/>
                <w:szCs w:val="20"/>
              </w:rPr>
              <w:t>长期</w:t>
            </w:r>
          </w:p>
        </w:tc>
        <w:tc>
          <w:tcPr>
            <w:tcW w:type="dxa" w:w="32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center"/>
            </w:pPr>
            <w:r>
              <w:rPr>
                <w:rFonts w:eastAsia="Arial"/>
                <w:sz w:val="20"/>
                <w:szCs w:val="20"/>
              </w:rPr>
              <w:t>质量治理、数据闭环、能力复用、安全合规、标准接口</w:t>
            </w:r>
          </w:p>
        </w:tc>
        <w:tc>
          <w:tcPr>
            <w:tcW w:type="dxa" w:w="24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center"/>
            </w:pPr>
            <w:r>
              <w:rPr>
                <w:rFonts w:eastAsia="Arial"/>
                <w:sz w:val="20"/>
                <w:szCs w:val="20"/>
              </w:rPr>
              <w:t>可审计/可扩展的算法能力底座</w:t>
            </w:r>
          </w:p>
        </w:tc>
        <w:tc>
          <w:tcPr>
            <w:tcW w:type="dxa" w:w="24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center"/>
            </w:pPr>
            <w:r>
              <w:rPr>
                <w:rFonts w:eastAsia="Arial"/>
                <w:sz w:val="20"/>
                <w:szCs w:val="20"/>
              </w:rPr>
              <w:t>定期复核指标无劣化</w:t>
            </w:r>
          </w:p>
        </w:tc>
      </w:tr>
    </w:tbl>
    <w:p>
      <w:pPr>
        <w:spacing w:after="120" w:line="280" w:lineRule="auto"/>
        <w:jc w:val="center"/>
      </w:pPr>
      <w:r>
        <w:rPr>
          <w:rFonts w:eastAsia="Arial"/>
          <w:sz w:val="20"/>
          <w:szCs w:val="20"/>
        </w:rPr>
        <w:t>表 10-1  分阶段建设路线详表</w:t>
      </w:r>
    </w:p>
    <w:p>
      <w:pPr>
        <w:spacing w:after="180" w:line="360"/>
        <w:ind w:firstLine="480"/>
        <w:jc w:val="both"/>
      </w:pPr>
      <w:r>
        <w:rPr>
          <w:rFonts w:ascii="宋体" w:cs="宋体" w:eastAsia="宋体" w:hAnsi="宋体"/>
          <w:sz w:val="22"/>
          <w:szCs w:val="22"/>
        </w:rPr>
        <w:t>第一阶段建设算法卡规范、注册中心、基础文件服务、统一运行接口和重点模型的可执行样例，形成可登记、可检索、可调用的最小闭环。第二阶段完善节点部署、双后端运行器、资源画像、自动验收和监控审计，实现中心到节点的受控分发与运行保障。第三阶段引入场景化选择编排、灰度发布、模型质量评估和跨节点协同能力，扩大功能点覆盖与自动化运维范围。</w:t>
      </w:r>
    </w:p>
    <w:p>
      <w:pPr>
        <w:spacing w:after="180" w:line="360"/>
        <w:ind w:firstLine="480"/>
        <w:jc w:val="both"/>
      </w:pPr>
      <w:r>
        <w:rPr>
          <w:rFonts w:ascii="宋体" w:cs="宋体" w:eastAsia="宋体" w:hAnsi="宋体"/>
          <w:sz w:val="22"/>
          <w:szCs w:val="22"/>
        </w:rPr>
        <w:t>后续持续建设以模型质量治理、数据闭环、能力复用和安全合规为主线：定期复核算法性能与数据漂移，完善功能点到算法、算法到技能、技能到任务的可追溯关系，沉淀可复用的测试资产和部署模板，并通过标准接口支持新模型和新节点平滑接入。至此，算法库能够为上层智能体、任务工作流和仿真评估系统提供稳定、可审计、可扩展的算法能力底座。</w:t>
      </w:r>
    </w:p>
    <w:p>
      <w:pPr>
        <w:spacing w:after="180" w:line="360"/>
        <w:jc w:val="center"/>
      </w:pPr>
      <w:r>
        <w:rPr>
          <w:rFonts w:ascii="宋体" w:cs="宋体" w:eastAsia="宋体" w:hAnsi="宋体"/>
          <w:sz w:val="22"/>
          <w:szCs w:val="22"/>
        </w:rPr>
        <w:t>—— 第十章结束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宋体" w:cs="宋体" w:eastAsia="宋体" w:hAnsi="宋体"/>
        <w:color w:val="666666"/>
        <w:sz w:val="18"/>
        <w:szCs w:val="18"/>
      </w:rPr>
      <w:t xml:space="preserve">第 </w:t>
    </w:r>
    <w:r>
      <w:rPr>
        <w:rFonts w:ascii="宋体" w:cs="宋体" w:eastAsia="宋体" w:hAnsi="宋体"/>
        <w:color w:val="666666"/>
        <w:sz w:val="18"/>
        <w:szCs w:val="18"/>
      </w:rPr>
      <w:fldChar w:fldCharType="begin"/>
      <w:instrText xml:space="preserve">PAGE</w:instrText>
      <w:fldChar w:fldCharType="separate"/>
      <w:fldChar w:fldCharType="end"/>
    </w:r>
    <w:r>
      <w:rPr>
        <w:rFonts w:ascii="宋体" w:cs="宋体" w:eastAsia="宋体" w:hAnsi="宋体"/>
        <w:color w:val="666666"/>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1"/>
      </w:pBdr>
    </w:pPr>
    <w:r>
      <w:rPr>
        <w:rFonts w:ascii="宋体" w:cs="宋体" w:eastAsia="宋体" w:hAnsi="宋体"/>
        <w:color w:val="666666"/>
        <w:sz w:val="18"/>
        <w:szCs w:val="18"/>
      </w:rPr>
      <w:t xml:space="preserve">智能算法模型库设计报告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宋体" w:cs="宋体" w:eastAsia="宋体" w:hAnsi="宋体"/>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黑体" w:cs="黑体" w:eastAsia="黑体" w:hAnsi="黑体"/>
      <w:b/>
      <w:bCs/>
      <w:color w:val="1F4E79"/>
      <w:sz w:val="32"/>
      <w:szCs w:val="32"/>
    </w:rPr>
  </w:style>
  <w:style w:type="paragraph" w:styleId="Heading2">
    <w:name w:val="Heading 2"/>
    <w:basedOn w:val="Normal"/>
    <w:next w:val="Normal"/>
    <w:qFormat/>
    <w:pPr>
      <w:spacing w:after="160" w:before="200"/>
      <w:outlineLvl w:val="1"/>
    </w:pPr>
    <w:rPr>
      <w:rFonts w:ascii="黑体" w:cs="黑体" w:eastAsia="黑体" w:hAnsi="黑体"/>
      <w:b/>
      <w:bCs/>
      <w:sz w:val="28"/>
      <w:szCs w:val="28"/>
    </w:rPr>
  </w:style>
  <w:style w:type="paragraph" w:styleId="Heading3">
    <w:name w:val="Heading 3"/>
    <w:basedOn w:val="Normal"/>
    <w:next w:val="Normal"/>
    <w:qFormat/>
    <w:pPr>
      <w:spacing w:after="120" w:before="160"/>
      <w:outlineLvl w:val="2"/>
    </w:pPr>
    <w:rPr>
      <w:rFonts w:ascii="黑体" w:cs="黑体" w:eastAsia="黑体" w:hAnsi="黑体"/>
      <w:b/>
      <w:bCs/>
      <w:sz w:val="24"/>
      <w:szCs w:val="24"/>
    </w:rPr>
  </w:style>
</w:styles>
</file>

<file path=word/_rels/comments.xml.rels><?xml version="1.0" encoding="utf-8"?>
<Relationships xmlns="http://schemas.openxmlformats.org/package/2006/relationships"/>

</file>

<file path=word/_rels/document.xml.rels><?xml version="1.0" encoding="utf-8"?>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footnotes" Target="footnotes.xml"/>
  
  
  <Relationship Id="rId4" Type="http://schemas.openxmlformats.org/officeDocument/2006/relationships/endnotes" Target="endnotes.xml"/>
  
  
  <Relationship Id="rId5" Type="http://schemas.openxmlformats.org/officeDocument/2006/relationships/settings" Target="settings.xml"/>
  
  
  <Relationship Id="rId6" Type="http://schemas.openxmlformats.org/officeDocument/2006/relationships/comments" Target="comments.xml"/>
  
  
  <Relationship Id="rId7" Type="http://schemas.openxmlformats.org/officeDocument/2006/relationships/header" Target="header1.xml"/>
  
  
  <Relationship Id="rId8" Type="http://schemas.openxmlformats.org/officeDocument/2006/relationships/footer" Target="footer1.xml"/>
  
  
  <Relationship Id="rId9" Type="http://schemas.openxmlformats.org/officeDocument/2006/relationships/fontTable" Target="fontTable.xml"/>
  

  <Relationship Id="rId10" Type="http://schemas.openxmlformats.org/officeDocument/2006/relationships/image" Target="media/image1.png"/>
  <Relationship Id="rId11" Type="http://schemas.openxmlformats.org/officeDocument/2006/relationships/image" Target="media/image2.png"/>
  <Relationship Id="rId12" Type="http://schemas.openxmlformats.org/officeDocument/2006/relationships/image" Target="media/image3.png"/>
  <Relationship Id="rId13" Type="http://schemas.openxmlformats.org/officeDocument/2006/relationships/image" Target="media/fig_lifecycle.png"/>
  <Relationship Id="rId14" Type="http://schemas.openxmlformats.org/officeDocument/2006/relationships/image" Target="media/fig_dual_backend.png"/>
  <Relationship Id="rId15" Type="http://schemas.openxmlformats.org/officeDocument/2006/relationships/image" Target="media/fig_ooda.png"/>
  <Relationship Id="rId16" Type="http://schemas.openxmlformats.org/officeDocument/2006/relationships/image" Target="media/fig_chain.png"/>
  <Relationship Id="rId17" Type="http://schemas.openxmlformats.org/officeDocument/2006/relationships/image" Target="media/fig_roadmap.png"/>
</Relationships>

</file>

<file path=word/_rels/endnotes.xml.rels><?xml version="1.0" encoding="utf-8"?>
<Relationships xmlns="http://schemas.openxmlformats.org/package/2006/relationships"/>

</file>

<file path=word/_rels/fontTable.xml.rels><?xml version="1.0" encoding="utf-8"?>
<Relationships xmlns="http://schemas.openxmlformats.org/package/2006/relationships"/>

</file>

<file path=word/_rels/footer1.xml.rels><?xml version="1.0" encoding="utf-8"?>
<Relationships xmlns="http://schemas.openxmlformats.org/package/2006/relationships"/>

</file>

<file path=word/_rels/footnotes.xml.rels><?xml version="1.0" encoding="utf-8"?>
<Relationships xmlns="http://schemas.openxmlformats.org/package/2006/relationships"/>

</file>

<file path=word/_rels/header1.xml.rels><?xml version="1.0" encoding="utf-8"?>
<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智能算法模型库设计报告</dc:title>
  <dc:creator>CatPaw</dc:creator>
  <dc:description>面向20类算法模型的算法库设计报告，含第一至十章</dc:description>
  <cp:lastModifiedBy>Un-named</cp:lastModifiedBy>
  <cp:revision>1</cp:revision>
  <dcterms:created xsi:type="dcterms:W3CDTF">2026-08-27T12:17:22.470Z</dcterms:created>
  <dcterms:modified xsi:type="dcterms:W3CDTF">2026-08-27T12:17:22.474Z</dcterms:modified>
</cp:coreProperties>
</file>

<file path=docProps/custom.xml><?xml version="1.0" encoding="utf-8"?>
<Properties xmlns="http://schemas.openxmlformats.org/officeDocument/2006/custom-properties" xmlns:vt="http://schemas.openxmlformats.org/officeDocument/2006/docPropsVTypes"/>
</file>