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p14">
  <w:body>
    <w:p>
      <w:pPr>
        <w:spacing w:before="400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4285F4"/>
          <w:sz w:val="72"/>
          <w:szCs w:val="72"/>
        </w:rPr>
        <w:t xml:space="preserve">PhoneBiz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202124"/>
          <w:sz w:val="40"/>
          <w:szCs w:val="40"/>
        </w:rPr>
        <w:t xml:space="preserve">金融级开发架构文档</w:t>
      </w:r>
    </w:p>
    <w:p>
      <w:pPr>
        <w:spacing w:after="20" w:before="40"/>
        <w:jc w:val="center"/>
      </w:pPr>
      <w:r>
        <w:rPr>
          <w:rFonts w:ascii="Arial" w:cs="Arial" w:eastAsia="Arial" w:hAnsi="Arial"/>
          <w:i/>
          <w:iCs/>
          <w:color w:val="80868B"/>
          <w:sz w:val="24"/>
          <w:szCs w:val="24"/>
        </w:rPr>
        <w:t xml:space="preserve">Enterprise Internal Phone Management Platform</w:t>
      </w:r>
    </w:p>
    <w:p>
      <w:pPr>
        <w:spacing w:before="1200"/>
        <w:jc w:val="center"/>
      </w:pPr>
      <w:r>
        <w:rPr>
          <w:color w:val="E0E0E0"/>
          <w:sz w:val="20"/>
          <w:szCs w:val="20"/>
        </w:rPr>
        <w:t xml:space="preserve">──────────────────────────────</w:t>
      </w:r>
    </w:p>
    <w:p>
      <w:pPr>
        <w:spacing w:after="60" w:before="40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基于《PhoneBiz 金融级开发规范 v3》生成</w:t>
      </w:r>
    </w:p>
    <w:p>
      <w:pPr>
        <w:spacing w:before="60"/>
        <w:jc w:val="center"/>
      </w:pPr>
      <w:r>
        <w:rPr>
          <w:rFonts w:ascii="Arial" w:cs="Arial" w:eastAsia="Arial" w:hAnsi="Arial"/>
          <w:color w:val="5F6368"/>
          <w:sz w:val="22"/>
          <w:szCs w:val="22"/>
        </w:rPr>
        <w:t xml:space="preserve">27 模块 · 3 阶段 · 契约驱动 + 后端先行</w:t>
      </w:r>
    </w:p>
    <w:p>
      <w:pPr>
        <w:spacing w:before="60"/>
        <w:jc w:val="center"/>
      </w:pPr>
      <w:r>
        <w:rPr>
          <w:rFonts w:ascii="Arial" w:cs="Arial" w:eastAsia="Arial" w:hAnsi="Arial"/>
          <w:color w:val="80868B"/>
          <w:sz w:val="20"/>
          <w:szCs w:val="20"/>
        </w:rPr>
        <w:t xml:space="preserve">生成日期：2026-05-19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200"/>
      </w:pPr>
      <w:r>
        <w:rPr>
          <w:rFonts w:ascii="Arial" w:cs="Arial" w:eastAsia="Arial" w:hAnsi="Arial"/>
          <w:b/>
          <w:bCs/>
          <w:color w:val="202124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pPr>
            <w:pStyle w:val="TOC1"/>
          </w:pPr>
          <w:hyperlink w:anchor="toc_auto_0" w:history="1">
            <w:r>
              <w:rPr>
                <w:rStyle w:val="Hyperlink"/>
              </w:rPr>
              <w:t>1. 项目概述</w:t>
            </w:r>
          </w:hyperlink>
        </w:p>
        <w:p>
          <w:pPr>
            <w:pStyle w:val="TOC2"/>
          </w:pPr>
          <w:hyperlink w:anchor="toc_auto_1" w:history="1">
            <w:r>
              <w:rPr>
                <w:rStyle w:val="Hyperlink"/>
              </w:rPr>
              <w:t>1.1 项目背景</w:t>
            </w:r>
          </w:hyperlink>
        </w:p>
        <w:p>
          <w:pPr>
            <w:pStyle w:val="TOC2"/>
          </w:pPr>
          <w:hyperlink w:anchor="toc_auto_2" w:history="1">
            <w:r>
              <w:rPr>
                <w:rStyle w:val="Hyperlink"/>
              </w:rPr>
              <w:t>1.2 核心设计理念</w:t>
            </w:r>
          </w:hyperlink>
        </w:p>
        <w:p>
          <w:pPr>
            <w:pStyle w:val="TOC2"/>
          </w:pPr>
          <w:hyperlink w:anchor="toc_auto_3" w:history="1">
            <w:r>
              <w:rPr>
                <w:rStyle w:val="Hyperlink"/>
              </w:rPr>
              <w:t>1.3 技术栈</w:t>
            </w:r>
          </w:hyperlink>
        </w:p>
        <w:p>
          <w:pPr>
            <w:pStyle w:val="TOC1"/>
          </w:pPr>
          <w:hyperlink w:anchor="toc_auto_4" w:history="1">
            <w:r>
              <w:rPr>
                <w:rStyle w:val="Hyperlink"/>
              </w:rPr>
              <w:t>2. 系统架构</w:t>
            </w:r>
          </w:hyperlink>
        </w:p>
        <w:p>
          <w:pPr>
            <w:pStyle w:val="TOC2"/>
          </w:pPr>
          <w:hyperlink w:anchor="toc_auto_5" w:history="1">
            <w:r>
              <w:rPr>
                <w:rStyle w:val="Hyperlink"/>
              </w:rPr>
              <w:t>2.1 分层架构</w:t>
            </w:r>
          </w:hyperlink>
        </w:p>
        <w:p>
          <w:pPr>
            <w:pStyle w:val="TOC3"/>
          </w:pPr>
          <w:hyperlink w:anchor="toc_auto_6" w:history="1">
            <w:r>
              <w:rPr>
                <w:rStyle w:val="Hyperlink"/>
              </w:rPr>
              <w:t>2.1.1 前端层</w:t>
            </w:r>
          </w:hyperlink>
        </w:p>
        <w:p>
          <w:pPr>
            <w:pStyle w:val="TOC3"/>
          </w:pPr>
          <w:hyperlink w:anchor="toc_auto_7" w:history="1">
            <w:r>
              <w:rPr>
                <w:rStyle w:val="Hyperlink"/>
              </w:rPr>
              <w:t>2.1.2 API 网关层</w:t>
            </w:r>
          </w:hyperlink>
        </w:p>
        <w:p>
          <w:pPr>
            <w:pStyle w:val="TOC3"/>
          </w:pPr>
          <w:hyperlink w:anchor="toc_auto_8" w:history="1">
            <w:r>
              <w:rPr>
                <w:rStyle w:val="Hyperlink"/>
              </w:rPr>
              <w:t>2.1.3 业务模块层</w:t>
            </w:r>
          </w:hyperlink>
        </w:p>
        <w:p>
          <w:pPr>
            <w:pStyle w:val="TOC3"/>
          </w:pPr>
          <w:hyperlink w:anchor="toc_auto_9" w:history="1">
            <w:r>
              <w:rPr>
                <w:rStyle w:val="Hyperlink"/>
              </w:rPr>
              <w:t>2.1.4 基础设施层</w:t>
            </w:r>
          </w:hyperlink>
        </w:p>
        <w:p>
          <w:pPr>
            <w:pStyle w:val="TOC3"/>
          </w:pPr>
          <w:hyperlink w:anchor="toc_auto_10" w:history="1">
            <w:r>
              <w:rPr>
                <w:rStyle w:val="Hyperlink"/>
              </w:rPr>
              <w:t>2.1.5 数据层</w:t>
            </w:r>
          </w:hyperlink>
        </w:p>
        <w:p>
          <w:pPr>
            <w:pStyle w:val="TOC1"/>
          </w:pPr>
          <w:hyperlink w:anchor="toc_auto_11" w:history="1">
            <w:r>
              <w:rPr>
                <w:rStyle w:val="Hyperlink"/>
              </w:rPr>
              <w:t>3. 27 模块开发计划</w:t>
            </w:r>
          </w:hyperlink>
        </w:p>
        <w:p>
          <w:pPr>
            <w:pStyle w:val="TOC2"/>
          </w:pPr>
          <w:hyperlink w:anchor="toc_auto_12" w:history="1">
            <w:r>
              <w:rPr>
                <w:rStyle w:val="Hyperlink"/>
              </w:rPr>
              <w:t>3.1 依赖关系概览</w:t>
            </w:r>
          </w:hyperlink>
        </w:p>
        <w:p>
          <w:pPr>
            <w:pStyle w:val="TOC2"/>
          </w:pPr>
          <w:hyperlink w:anchor="toc_auto_13" w:history="1">
            <w:r>
              <w:rPr>
                <w:rStyle w:val="Hyperlink"/>
              </w:rPr>
              <w:t>3.2 执行策略</w:t>
            </w:r>
          </w:hyperlink>
        </w:p>
        <w:p>
          <w:pPr>
            <w:pStyle w:val="TOC2"/>
          </w:pPr>
          <w:hyperlink w:anchor="toc_auto_14" w:history="1">
            <w:r>
              <w:rPr>
                <w:rStyle w:val="Hyperlink"/>
              </w:rPr>
              <w:t>3.3 并发关键模块</w:t>
            </w:r>
          </w:hyperlink>
        </w:p>
        <w:p>
          <w:pPr>
            <w:pStyle w:val="TOC2"/>
          </w:pPr>
          <w:hyperlink w:anchor="toc_auto_15" w:history="1">
            <w:r>
              <w:rPr>
                <w:rStyle w:val="Hyperlink"/>
              </w:rPr>
              <w:t>3.4 Flyway 版本号规划</w:t>
            </w:r>
          </w:hyperlink>
        </w:p>
        <w:p>
          <w:pPr>
            <w:pStyle w:val="TOC1"/>
          </w:pPr>
          <w:hyperlink w:anchor="toc_auto_16" w:history="1">
            <w:r>
              <w:rPr>
                <w:rStyle w:val="Hyperlink"/>
              </w:rPr>
              <w:t>4. 数据库设计</w:t>
            </w:r>
          </w:hyperlink>
        </w:p>
        <w:p>
          <w:pPr>
            <w:pStyle w:val="TOC2"/>
          </w:pPr>
          <w:hyperlink w:anchor="toc_auto_17" w:history="1">
            <w:r>
              <w:rPr>
                <w:rStyle w:val="Hyperlink"/>
              </w:rPr>
              <w:t>4.1 核心业务表（24张）</w:t>
            </w:r>
          </w:hyperlink>
        </w:p>
        <w:p>
          <w:pPr>
            <w:pStyle w:val="TOC1"/>
          </w:pPr>
          <w:hyperlink w:anchor="toc_auto_18" w:history="1">
            <w:r>
              <w:rPr>
                <w:rStyle w:val="Hyperlink"/>
              </w:rPr>
              <w:t>5. 安全架构</w:t>
            </w:r>
          </w:hyperlink>
        </w:p>
        <w:p>
          <w:pPr>
            <w:pStyle w:val="TOC2"/>
          </w:pPr>
          <w:hyperlink w:anchor="toc_auto_19" w:history="1">
            <w:r>
              <w:rPr>
                <w:rStyle w:val="Hyperlink"/>
              </w:rPr>
              <w:t>5.1 数据分级</w:t>
            </w:r>
          </w:hyperlink>
        </w:p>
        <w:p>
          <w:pPr>
            <w:pStyle w:val="TOC2"/>
          </w:pPr>
          <w:hyperlink w:anchor="toc_auto_20" w:history="1">
            <w:r>
              <w:rPr>
                <w:rStyle w:val="Hyperlink"/>
              </w:rPr>
              <w:t>5.2 角色权限体系</w:t>
            </w:r>
          </w:hyperlink>
        </w:p>
        <w:p>
          <w:pPr>
            <w:pStyle w:val="TOC2"/>
          </w:pPr>
          <w:hyperlink w:anchor="toc_auto_21" w:history="1">
            <w:r>
              <w:rPr>
                <w:rStyle w:val="Hyperlink"/>
              </w:rPr>
              <w:t>5.3 错误码体系</w:t>
            </w:r>
          </w:hyperlink>
        </w:p>
        <w:p>
          <w:pPr>
            <w:pStyle w:val="TOC1"/>
          </w:pPr>
          <w:hyperlink w:anchor="toc_auto_22" w:history="1">
            <w:r>
              <w:rPr>
                <w:rStyle w:val="Hyperlink"/>
              </w:rPr>
              <w:t>6. 质量门禁体系</w:t>
            </w:r>
          </w:hyperlink>
        </w:p>
        <w:p>
          <w:pPr>
            <w:pStyle w:val="TOC2"/>
          </w:pPr>
          <w:hyperlink w:anchor="toc_auto_23" w:history="1">
            <w:r>
              <w:rPr>
                <w:rStyle w:val="Hyperlink"/>
              </w:rPr>
              <w:t>6.1 四层门禁架构</w:t>
            </w:r>
          </w:hyperlink>
        </w:p>
        <w:p>
          <w:pPr>
            <w:pStyle w:val="TOC3"/>
          </w:pPr>
          <w:hyperlink w:anchor="toc_auto_24" w:history="1">
            <w:r>
              <w:rPr>
                <w:rStyle w:val="Hyperlink"/>
              </w:rPr>
              <w:t>6.1.1 模块级 G1-G5（每个 Module）</w:t>
            </w:r>
          </w:hyperlink>
        </w:p>
        <w:p>
          <w:pPr>
            <w:pStyle w:val="TOC3"/>
          </w:pPr>
          <w:hyperlink w:anchor="toc_auto_25" w:history="1">
            <w:r>
              <w:rPr>
                <w:rStyle w:val="Hyperlink"/>
              </w:rPr>
              <w:t>6.1.2 集成级 I1-I5（每 3 个 Module）</w:t>
            </w:r>
          </w:hyperlink>
        </w:p>
        <w:p>
          <w:pPr>
            <w:pStyle w:val="TOC3"/>
          </w:pPr>
          <w:hyperlink w:anchor="toc_auto_26" w:history="1">
            <w:r>
              <w:rPr>
                <w:rStyle w:val="Hyperlink"/>
              </w:rPr>
              <w:t>6.1.3 Phase 级门禁</w:t>
            </w:r>
          </w:hyperlink>
        </w:p>
        <w:p>
          <w:pPr>
            <w:pStyle w:val="TOC3"/>
          </w:pPr>
          <w:hyperlink w:anchor="toc_auto_27" w:history="1">
            <w:r>
              <w:rPr>
                <w:rStyle w:val="Hyperlink"/>
              </w:rPr>
              <w:t>6.1.4 发布级 R1-R5</w:t>
            </w:r>
          </w:hyperlink>
        </w:p>
        <w:p>
          <w:pPr>
            <w:pStyle w:val="TOC1"/>
          </w:pPr>
          <w:hyperlink w:anchor="toc_auto_28" w:history="1">
            <w:r>
              <w:rPr>
                <w:rStyle w:val="Hyperlink"/>
              </w:rPr>
              <w:t>7. 每个 Module 的 6 步开发流程</w:t>
            </w:r>
          </w:hyperlink>
        </w:p>
        <w:p>
          <w:pPr>
            <w:pStyle w:val="TOC2"/>
          </w:pPr>
          <w:hyperlink w:anchor="toc_auto_29" w:history="1">
            <w:r>
              <w:rPr>
                <w:rStyle w:val="Hyperlink"/>
              </w:rPr>
              <w:t>7.1 铁律</w:t>
            </w:r>
          </w:hyperlink>
        </w:p>
        <w:p>
          <w:pPr>
            <w:pStyle w:val="TOC1"/>
          </w:pPr>
          <w:hyperlink w:anchor="toc_auto_30" w:history="1">
            <w:r>
              <w:rPr>
                <w:rStyle w:val="Hyperlink"/>
              </w:rPr>
              <w:t>8. 环境与部署</w:t>
            </w:r>
          </w:hyperlink>
        </w:p>
        <w:p>
          <w:pPr>
            <w:pStyle w:val="TOC2"/>
          </w:pPr>
          <w:hyperlink w:anchor="toc_auto_31" w:history="1">
            <w:r>
              <w:rPr>
                <w:rStyle w:val="Hyperlink"/>
              </w:rPr>
              <w:t>8.1 三环境隔离</w:t>
            </w:r>
          </w:hyperlink>
        </w:p>
        <w:p>
          <w:pPr>
            <w:pStyle w:val="TOC2"/>
          </w:pPr>
          <w:hyperlink w:anchor="toc_auto_32" w:history="1">
            <w:r>
              <w:rPr>
                <w:rStyle w:val="Hyperlink"/>
              </w:rPr>
              <w:t>8.2 CI/CD 流程</w:t>
            </w:r>
          </w:hyperlink>
        </w:p>
        <w:p>
          <w:pPr>
            <w:pStyle w:val="TOC2"/>
          </w:pPr>
          <w:hyperlink w:anchor="toc_auto_33" w:history="1">
            <w:r>
              <w:rPr>
                <w:rStyle w:val="Hyperlink"/>
              </w:rPr>
              <w:t>8.3 Git 分支规范</w:t>
            </w:r>
          </w:hyperlink>
        </w:p>
        <w:p>
          <w:pPr>
            <w:pStyle w:val="TOC1"/>
          </w:pPr>
          <w:hyperlink w:anchor="toc_auto_34" w:history="1">
            <w:r>
              <w:rPr>
                <w:rStyle w:val="Hyperlink"/>
              </w:rPr>
              <w:t>9. 关键设计决策</w:t>
            </w:r>
          </w:hyperlink>
        </w:p>
        <w:p>
          <w:pPr>
            <w:pStyle w:val="TOC2"/>
          </w:pPr>
          <w:hyperlink w:anchor="toc_auto_35" w:history="1">
            <w:r>
              <w:rPr>
                <w:rStyle w:val="Hyperlink"/>
              </w:rPr>
              <w:t>9.1 金融标准适配</w:t>
            </w:r>
          </w:hyperlink>
        </w:p>
        <w:p>
          <w:pPr>
            <w:pStyle w:val="TOC2"/>
          </w:pPr>
          <w:hyperlink w:anchor="toc_auto_36" w:history="1">
            <w:r>
              <w:rPr>
                <w:rStyle w:val="Hyperlink"/>
              </w:rPr>
              <w:t>9.2 设计决策记录</w:t>
            </w:r>
          </w:hyperlink>
        </w:p>
      </w:sdtContent>
    </w:sdt>
    <w:p>
      <w:r>
        <w:br w:type="page"/>
      </w:r>
    </w:p>
    <w:p>
      <w:pPr>
        <w:pStyle w:val="Heading1"/>
        <w:spacing w:after="200" w:before="360"/>
      </w:pPr>
      <w:bookmarkStart w:id="0" w:name="toc_auto_0"/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1. 项目概述</w:t>
      </w:r>
      <w:bookmarkEnd w:id="0"/>
    </w:p>
    <w:p>
      <w:pPr>
        <w:pStyle w:val="Heading2"/>
        <w:spacing w:after="160" w:before="280"/>
      </w:pPr>
      <w:bookmarkStart w:id="1" w:name="toc_auto_1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1.1 项目背景</w:t>
      </w:r>
      <w:bookmarkEnd w:id="1"/>
    </w:p>
    <w:p>
      <w:pPr>
        <w:spacing w:after="60" w:before="60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PhoneBiz 是一套企业内线电话管理平台，采用金融级研发标准，覆盖号码全生命周期管理、话机设备管理、工单流转、账单分摊、发票处理及报表分析等全链路能力。系统采用“四阶研发 + 双轨治理”模式，共规划 27 个功能模块，分 3 个 Phase 交付。</w:t>
      </w:r>
    </w:p>
    <w:p>
      <w:pPr>
        <w:pStyle w:val="Heading2"/>
        <w:spacing w:after="160" w:before="280"/>
      </w:pPr>
      <w:bookmarkStart w:id="2" w:name="toc_auto_2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1.2 核心设计理念</w:t>
      </w:r>
      <w:bookmarkEnd w:id="2"/>
    </w:p>
    <w:p>
      <w:pPr>
        <w:spacing w:after="40" w:before="4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契约驱动：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每个 Module 第一步定义 DTO（Java + TS），前后端以 DTO 为唯一真源，消除契约漂移风险。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后端先行：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DB → 后端 API → curl 验证通过后才开始前端开发，避免前后端独立正确但拼接不对的问题。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同 PR 提交：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前后端契约必须同一 PR 合并，Review 时对照检查。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新会话验证：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每 3 个 Module 后用新对话加载 KB + v3 执行回归测试，防止上下文断裂。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文档驱动：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规范不靠 AI 记忆，靠每次对话加载 v3；版本以 build.gradle / package.json 为唯一真源。</w:t>
      </w:r>
    </w:p>
    <w:p>
      <w:pPr>
        <w:pStyle w:val="Heading2"/>
        <w:spacing w:after="160" w:before="280"/>
      </w:pPr>
      <w:bookmarkStart w:id="3" w:name="toc_auto_3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1.3 技术栈</w:t>
      </w:r>
      <w:bookmarkEnd w:id="3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层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技术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版本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前端框架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React + Vite + Ant Design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18.3.1 + 5.4.11 + 5.22.3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前端状态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React Query + Zustand + Axios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5.62.0 + 5.0.1 + 1.7.9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后端框架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Spring Boot + JPA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3.2.5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运行时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OpenJDK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17 LTS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MySQL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8.0.36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数据库迁移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Flyway (Spring 托管)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自动管理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构建工具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Gradle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8.7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部署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Docker Compose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2.24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代码质量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CheckStyle + ESLint + OWASP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10.17.0 + 9.15.0 + 9.2.0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测试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JUnit 5 + Mockito + JaCoCo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Spring 托管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5.6.3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id="4" w:name="toc_auto_4"/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2. 系统架构</w:t>
      </w:r>
      <w:bookmarkEnd w:id="4"/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2.1 模块依赖关系图</w:t>
      </w:r>
    </w:p>
    <w:p>
      <w:pPr>
        <w:spacing w:after="100" w:before="60"/>
        <w:jc w:val="center"/>
      </w:pPr>
      <w:r>
        <w:drawing>
          <ns2:inline distT="0" distB="0" distL="0" distR="0">
            <ns2:extent cx="5524500" cy="3524250"/>
            <ns2:effectExtent t="0" r="0" b="0" l="0"/>
            <ns2:docPr id="1" name="module-dep" descr="27模块依赖关系" title="模块依赖图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9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524500" cy="352425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2"/>
        <w:spacing w:after="160" w:before="280"/>
      </w:pPr>
      <w:bookmarkStart w:id="5" w:name="toc_auto_5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2.1 分层架构</w:t>
      </w:r>
      <w:bookmarkEnd w:id="5"/>
    </w:p>
    <w:p>
      <w:pPr>
        <w:spacing w:after="60" w:before="60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PhoneBiz 采用模块化单体架构，通过 module.{domain} 包隔离实现高内聚低耦合。整体分为五层：</w:t>
      </w:r>
    </w:p>
    <w:p>
      <w:pPr>
        <w:pStyle w:val="Heading3"/>
        <w:spacing w:after="120" w:before="200"/>
      </w:pPr>
      <w:bookmarkStart w:id="6" w:name="toc_auto_6"/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2.1.1 前端层</w:t>
      </w:r>
      <w:bookmarkEnd w:id="6"/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React 18 + Vite 5 构建 SPA 单页应用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Ant Design 5 提供 UI 组件库，ProTable 做列表页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React Query (TanStack Query) 管理服务端状态（缓存/去重/后台刷新）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Zustand 管理客户端状态（authStore + uiStore）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Axios 实例统一 API 调用，401 拦截器自动处理 Token 过期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组件拆分规则：≤150 行单文件 | 150-300 行抽子组件 | &gt;300 行必须拆分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三态处理强制：每个数据展示组件必须处理 loading/empty/error</w:t>
      </w:r>
    </w:p>
    <w:p>
      <w:pPr>
        <w:pStyle w:val="Heading3"/>
        <w:spacing w:after="120" w:before="200"/>
      </w:pPr>
      <w:bookmarkStart w:id="7" w:name="toc_auto_7"/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2.1.2 API 网关层</w:t>
      </w:r>
      <w:bookmarkEnd w:id="7"/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Spring Security + JWT (HMAC-SHA256) 无状态认证，30 分钟过期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JwtFilter 拦截所有请求进行 Token 验证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PermissionEvaluator 按 scope 裁剪数据访问范围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@PreAuthorize 注解在每个 Controller 端点上声明权限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CORS 配置仅允许前端域名访问</w:t>
      </w:r>
    </w:p>
    <w:p>
      <w:pPr>
        <w:pStyle w:val="Heading3"/>
        <w:spacing w:after="120" w:before="200"/>
      </w:pPr>
      <w:bookmarkStart w:id="8" w:name="toc_auto_8"/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2.1.3 业务模块层</w:t>
      </w:r>
      <w:bookmarkEnd w:id="8"/>
    </w:p>
    <w:p>
      <w:pPr>
        <w:spacing w:after="60" w:before="60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核心架构层，按业务域包隔离：module.auth / module.org / module.phone / module.device / module.workorder / module.bill / module.invoice 等。每个模块内部结构：Controller → Service → Repository → Entity。</w:t>
      </w:r>
    </w:p>
    <w:p>
      <w:pPr>
        <w:pStyle w:val="Heading3"/>
        <w:spacing w:after="120" w:before="200"/>
      </w:pPr>
      <w:bookmarkStart w:id="9" w:name="toc_auto_9"/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2.1.4 基础设施层</w:t>
      </w:r>
      <w:bookmarkEnd w:id="9"/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GlobalExceptionHandler：统一异常处理，BusinessException(ErrorCode) 统一错误码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AuditLogger：审计日志（独立于业务 history 表）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NotificationPublisher：通知发布接口（M01 空实现，M15 接入真实实现）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DataMasking：数据脱敏（号码 138****1234 格式）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Flyway：数据库版本迁移，版本号按 Phase 分配并预留余量</w:t>
      </w:r>
    </w:p>
    <w:p>
      <w:pPr>
        <w:pStyle w:val="ListParagraph"/>
        <w:numPr>
          <w:ilvl w:val="0"/>
          <w:numId w:val="4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FeatureFlag：功能开关（@ConditionalOnFeatureFlag），支持灰度发布</w:t>
      </w:r>
    </w:p>
    <w:p>
      <w:pPr>
        <w:pStyle w:val="Heading3"/>
        <w:spacing w:after="120" w:before="200"/>
      </w:pPr>
      <w:bookmarkStart w:id="10" w:name="toc_auto_10"/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2.1.5 数据层</w:t>
      </w:r>
      <w:bookmarkEnd w:id="10"/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MySQL 8 单库 + 定时备份（内部系统，无需读写分离）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24 张核心业务表 + history 永久表 + 系统配置表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悲观锁 PESSIMISTIC_WRITE + @QueryHints 超时 5s（M09/M11 并发关键）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乐观锁 @Version 作为二道防线</w:t>
      </w:r>
    </w:p>
    <w:p>
      <w:pPr>
        <w:pStyle w:val="ListParagraph"/>
        <w:numPr>
          <w:ilvl w:val="0"/>
          <w:numId w:val="5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JPA 参数化查询防 SQL 注入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分层架构图</w:t>
      </w:r>
    </w:p>
    <w:p>
      <w:pPr>
        <w:spacing w:after="100" w:before="60"/>
        <w:jc w:val="center"/>
      </w:pPr>
      <w:r>
        <w:drawing>
          <ns2:inline distT="0" distB="0" distL="0" distR="0">
            <ns2:extent cx="5334000" cy="3429000"/>
            <ns2:effectExtent t="0" r="0" b="0" l="0"/>
            <ns2:docPr id="1" name="layered-arch" descr="五层分层架构" title="分层架构图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0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334000" cy="3429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r>
        <w:br w:type="page"/>
      </w:r>
    </w:p>
    <w:p>
      <w:pPr>
        <w:pStyle w:val="Heading1"/>
        <w:spacing w:after="200" w:before="360"/>
      </w:pPr>
      <w:bookmarkStart w:id="11" w:name="toc_auto_11"/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3. 27 模块开发计划</w:t>
      </w:r>
      <w:bookmarkEnd w:id="11"/>
    </w:p>
    <w:p>
      <w:pPr>
        <w:pStyle w:val="Heading2"/>
        <w:spacing w:after="160" w:before="280"/>
      </w:pPr>
      <w:bookmarkStart w:id="12" w:name="toc_auto_12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3.1 依赖关系概览</w:t>
      </w:r>
      <w:bookmarkEnd w:id="12"/>
    </w:p>
    <w:p>
      <w:pPr>
        <w:spacing w:after="60" w:before="60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所有模块严格按数据依赖自底向上交付，共分 3 个 Phase：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Phase 1 基础平台：M01-M17（骨架 + 组织 + 员工 + 认证 + 号码全链路 + 话机 + 通知 + 权限 + 仪表盘）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Phase 2 工单系统：M18-M22（工单基础 + 流转拆单 + 操作迁移 + 快照 + 基础报表）</w:t>
      </w:r>
    </w:p>
    <w:p>
      <w:pPr>
        <w:pStyle w:val="ListParagraph"/>
        <w:numPr>
          <w:ilvl w:val="0"/>
          <w:numId w:val="6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Phase 3 费用发票：M23-M27（账单分摊 + 异常检测 + 发票OCR + 分发确认 + 完整报表）</w:t>
      </w:r>
    </w:p>
    <w:p>
      <w:pPr>
        <w:pStyle w:val="Heading2"/>
        <w:spacing w:after="160" w:before="280"/>
      </w:pPr>
      <w:bookmarkStart w:id="13" w:name="toc_auto_13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3.2 执行策略</w:t>
      </w:r>
      <w:bookmarkEnd w:id="13"/>
    </w:p>
    <w:p>
      <w:pPr>
        <w:spacing w:after="60" w:before="60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根据模块复杂度选择两种执行策略：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策略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适用模块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方式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整模块线性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M02/M03/M05/M07/M08/M17/M22/M24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先全部后端 → 全端点验证 → 再全部前端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端点少(≤5)，纯读写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端点粒度循环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M06/M09-M14/M18-M21/M23/M25-M27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每完成 1 个端点的后端→curl→前端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端点多(&gt;5)，含并发/状态机</w:t>
            </w:r>
          </w:p>
        </w:tc>
      </w:tr>
    </w:tbl>
    <w:p>
      <w:pPr>
        <w:pStyle w:val="Heading2"/>
        <w:spacing w:after="160" w:before="280"/>
      </w:pPr>
      <w:bookmarkStart w:id="14" w:name="toc_auto_14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3.3 并发关键模块</w:t>
      </w:r>
      <w:bookmarkEnd w:id="1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0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关键技术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门禁要求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M09 分配/回收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PESSIMISTIC_WRITE + 5s超时 + 悲观锁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高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100并发无重复分配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M11 号码变更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双号码锁 + ORDER BY ASC防死锁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高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10并发同号码对 deadlock测试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M12 号码导入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@Async + ThreadPool + CallerRunsPolicy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中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100条不超时、失败行标记准确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M20 操作迁移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功能开关 + 灰度发布 + 回滚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中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禁止绕过工单直接操作</w:t>
            </w:r>
          </w:p>
        </w:tc>
      </w:tr>
    </w:tbl>
    <w:p>
      <w:pPr>
        <w:pStyle w:val="Heading2"/>
        <w:spacing w:after="160" w:before="280"/>
      </w:pPr>
      <w:bookmarkStart w:id="15" w:name="toc_auto_15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3.4 Flyway 版本号规划</w:t>
      </w:r>
      <w:bookmarkEnd w:id="1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版本号段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模块对应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预留空号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V01 ~ V09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M01-M09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V10-V17（8个）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V18 ~ V24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M18-M24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V25-V30（6个）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V31 ~ V33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M25-M27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V34-V50（17个）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id="16" w:name="toc_auto_16"/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4. 数据库设计</w:t>
      </w:r>
      <w:bookmarkEnd w:id="16"/>
    </w:p>
    <w:p>
      <w:pPr>
        <w:pStyle w:val="Heading2"/>
        <w:spacing w:after="160" w:before="280"/>
      </w:pPr>
      <w:bookmarkStart w:id="17" w:name="toc_auto_17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4.1 核心业务表（24张）</w:t>
      </w:r>
      <w:bookmarkEnd w:id="1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8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表名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所属模块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特殊说明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org_structure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parent_id, path, level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树形结构 ≤25层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employee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employee_no(UK), org_id(FK)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6位工号 + 虚拟员工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sys_user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username(UK), role, scope_org_id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bcrypt + JWT密钥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cost_center_mapping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org_id(FK), cost_center_code(UK)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仅Finance可写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phone_number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version, extension_type, org_id(FK)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乐观锁二道防线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phone_history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phone_id(FK), action, operator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永久保留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phone_surrender_record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phone_id(FK)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永久保留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extension_pool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M07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org_id(FK), start/end_number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三色预警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area_code_org_mapping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org_id(FK)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区号对照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import_batch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M12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batch_id, status, error_detail(JSON)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异步导入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phone_device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mac_address, org_id(FK)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MAC归一化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device_phone_mapping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device_id(FK), phone_id(FK)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M:N关系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phone_device_history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device_id(FK)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操作历史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sys_notification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type, target_user, is_read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通知中心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sys_feature_flag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M17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feature_key, enabled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功能开关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work_order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work_order_no(UK), status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工单基础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work_order_item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M18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work_order_id(FK), snapshot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快照不可篡改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phone_snapshot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M21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snapshot_month, phone_id(UK)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月末自动生成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bill_raw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M23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bill_month, phone_number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原始账单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bill_allocation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M23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bill_raw_id(FK), anomaly_flag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分摊确认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invoice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M25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invoice_no(UK), ocr_confidence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OCR识别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invoice_file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M25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file_path, md5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文件防重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invoice_distribution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M26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invoice_id(FK), recipient_user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分发记录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subsidiary_reconciliation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M26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bill_month, subsidiary_org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对账状态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id="18" w:name="toc_auto_18"/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5. 安全架构</w:t>
      </w:r>
      <w:bookmarkEnd w:id="18"/>
    </w:p>
    <w:p>
      <w:pPr>
        <w:pStyle w:val="Heading2"/>
        <w:spacing w:after="160" w:before="280"/>
      </w:pPr>
      <w:bookmarkStart w:id="19" w:name="toc_auto_19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5.1 数据分级</w:t>
      </w:r>
      <w:bookmarkEnd w:id="19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级别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内容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存储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访问控制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公开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组织名称、部门列表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明文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登录用户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内部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员工姓名、工号、分机号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明文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scope 授权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机密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电话号码、账单金额、发票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明文 + 审计日志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角色最小权限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绝密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用户密码、JWT 密钥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bcrypt 哈希 / 环境变量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认证模块内部</w:t>
            </w:r>
          </w:p>
        </w:tc>
      </w:tr>
    </w:tbl>
    <w:p>
      <w:pPr>
        <w:pStyle w:val="Heading2"/>
        <w:spacing w:after="160" w:before="280"/>
      </w:pPr>
      <w:bookmarkStart w:id="20" w:name="toc_auto_20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5.2 角色权限体系</w:t>
      </w:r>
      <w:bookmarkEnd w:id="20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编码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读取范围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写入范围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管理员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本部门 + 下级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本部门 + 下级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运维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OPS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全系统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号码/话机/号池操作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财务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FINANCE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全系统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成本中心 + 账单确认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领导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BOSS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全系统只读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禁止写操作</w:t>
            </w:r>
          </w:p>
        </w:tc>
      </w:tr>
    </w:tbl>
    <w:p>
      <w:pPr>
        <w:pStyle w:val="Heading2"/>
        <w:spacing w:after="160" w:before="280"/>
      </w:pPr>
      <w:bookmarkStart w:id="21" w:name="toc_auto_21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5.3 错误码体系</w:t>
      </w:r>
      <w:bookmarkEnd w:id="21"/>
    </w:p>
    <w:p>
      <w:pPr>
        <w:spacing w:after="60" w:before="60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错误码格式：{模块}-{类型}{序号}，按模块分号段：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号段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模块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AUTH-001~099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M04 认证授权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AUTH-001 用户名不存在、AUTH-005 账号已锁定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ORG-001~099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M02 组织架构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ORG-001 组织不存在、ORG-003 环检测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PHONE-001~099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M06 号码基础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PHONE-001 号码不存在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PHONE-100~199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M09 分配/回收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PHONE-100 号码不可分配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PHONE-200~299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M10 状态变更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PHONE-201 禁止操作已拆机号码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PHONE-300~399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M11 号码变更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PHONE-300 变更目标号码不可用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POOL-001~099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M07 分机号池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POOL-001 号池区间重叠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DEVICE-001~099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M13/M14 话机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DEVICE-001 MAC 格式错误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WO-001~099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M18/M19/M20 工单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WO-001 工单不存在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BILL-001~099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M23/M24 账单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BILL-002 分摊金额异常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INV-001~099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M25/M26 发票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INV-001 发票识别失败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SYS-001~099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M01 公共</w:t>
            </w:r>
          </w:p>
        </w:tc>
        <w:tc>
          <w:tcPr>
            <w:tcW w:type="dxa" w:w="4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SYS-001 系统内部错误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id="22" w:name="toc_auto_22"/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6. 质量门禁体系</w:t>
      </w:r>
      <w:bookmarkEnd w:id="22"/>
    </w:p>
    <w:p>
      <w:pPr>
        <w:pStyle w:val="Heading2"/>
        <w:spacing w:after="160" w:before="280"/>
      </w:pPr>
      <w:bookmarkStart w:id="23" w:name="toc_auto_23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6.1 四层门禁架构</w:t>
      </w:r>
      <w:bookmarkEnd w:id="23"/>
    </w:p>
    <w:p>
      <w:pPr>
        <w:spacing w:after="60" w:before="60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PhoneBiz 采用四层质量门禁，从模块级到发布级逐层把控：</w:t>
      </w:r>
    </w:p>
    <w:p>
      <w:pPr>
        <w:pStyle w:val="Heading3"/>
        <w:spacing w:after="120" w:before="200"/>
      </w:pPr>
      <w:bookmarkStart w:id="24" w:name="toc_auto_24"/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6.1.1 模块级 G1-G5（每个 Module）</w:t>
      </w:r>
      <w:bookmarkEnd w:id="2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# | 门禁 | 标准 | 阻断级别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G1 代码格式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CheckStyle 0 error / ESLint 0 error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红色阻断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G2 单元测试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Service ≥90% + Controller ≥70% + JaCoCo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红色阻断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G3 安全自查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模块安全清单全部通过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红色阻断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G4 依赖扫描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OWASP 无高危漏洞(CVSS&lt;7.0)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红色阻断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G5 日志检查</w:t>
            </w:r>
          </w:p>
        </w:tc>
        <w:tc>
          <w:tcPr>
            <w:tcW w:type="dxa" w:w="4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无敏感数据打印、变更有 INFO 日志</w:t>
            </w:r>
          </w:p>
        </w:tc>
        <w:tc>
          <w:tcPr>
            <w:tcW w:type="dxa" w:w="3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黄色警告</w:t>
            </w:r>
          </w:p>
        </w:tc>
      </w:tr>
    </w:tbl>
    <w:p>
      <w:pPr>
        <w:pStyle w:val="Heading3"/>
        <w:spacing w:after="120" w:before="200"/>
      </w:pPr>
      <w:bookmarkStart w:id="25" w:name="toc_auto_25"/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6.1.2 集成级 I1-I5（每 3 个 Module）</w:t>
      </w:r>
      <w:bookmarkEnd w:id="2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标准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I1 接口联调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前后端全部端点正常响应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C2/C3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I2 数据一致性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关联表 FK 无孤儿数据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I3 权限回归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角色 + scope 矩阵全部通过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I4 新会话回归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新对话加载 KB+v3 → curl 全集 → Flyway 连续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C4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I5 DB迁移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Flyway 版本号连续，回滚可恢复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3"/>
        <w:spacing w:after="120" w:before="200"/>
      </w:pPr>
      <w:bookmarkStart w:id="26" w:name="toc_auto_26"/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6.1.3 Phase 级门禁</w:t>
      </w:r>
      <w:bookmarkEnd w:id="26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Phase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门禁要求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Phase 1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85 功能点全通过 + 性能基准(列表&lt;2s, 树&lt;1s, 导入&lt;5min) + 100并发无重复 + deadlock测试 + 安全渗透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Phase 2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7 类工单全流程 + 批量拆单 + 快照偏差&lt;1%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Phase 3</w:t>
            </w:r>
          </w:p>
        </w:tc>
        <w:tc>
          <w:tcPr>
            <w:tcW w:type="dxa" w:w="7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分摊匹配率≥95% + OCR≥80% + 报表对账一致</w:t>
            </w:r>
          </w:p>
        </w:tc>
      </w:tr>
    </w:tbl>
    <w:p>
      <w:pPr>
        <w:pStyle w:val="Heading3"/>
        <w:spacing w:after="120" w:before="200"/>
      </w:pPr>
      <w:bookmarkStart w:id="27" w:name="toc_auto_27"/>
      <w:r>
        <w:rPr>
          <w:rFonts w:ascii="Arial" w:cs="Arial" w:eastAsia="Arial" w:hAnsi="Arial"/>
          <w:b/>
          <w:bCs/>
          <w:color w:val="1A73E8"/>
          <w:sz w:val="22"/>
          <w:szCs w:val="22"/>
        </w:rPr>
        <w:t xml:space="preserve">6.1.4 发布级 R1-R5</w:t>
      </w:r>
      <w:bookmarkEnd w:id="2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#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标准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R1 全量回归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Phase 收尾测试全部通过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R2 数据备份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生产数据库备份完成且可恢复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R3 回滚预案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Docker Compose 一键回滚脚本就绪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R4 监控就绪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/health 端点 + ERROR 日志告警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R5 审批确认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负责人审批通过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bookmarkStart w:id="28" w:name="toc_auto_28"/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7. 每个 Module 的 6 步开发流程</w:t>
      </w:r>
      <w:bookmarkEnd w:id="28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2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步骤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产出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验证方式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Step 1 合同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定义 Java DTO + TS 类型 + API 端点列表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PhoneDTO.java + phone.ts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字段名/类型/枚举前后端一致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Step 2 数据库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Flyway 迁移文件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V{XX}__{module}.sql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MySQL 执行成功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Step 3 后端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Entity → Repo → Service → Controller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可运行的 API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gradle bootRun + curl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Step 4 契约验证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curl/Postman 验证所有端点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全部 200/201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后端跑通前不写前端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Step 5 前端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页面 → 组件 → 对接 API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可交互页面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手动操作流程完整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5F6368"/>
                <w:sz w:val="19"/>
                <w:szCs w:val="19"/>
              </w:rPr>
              <w:t xml:space="preserve">Step 6 门禁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G1-G5 全部通过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见§6.1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红色阻断项全部通过</w:t>
            </w:r>
          </w:p>
        </w:tc>
      </w:tr>
    </w:tbl>
    <w:p>
      <w:pPr>
        <w:pStyle w:val="Heading2"/>
        <w:spacing w:after="160" w:before="280"/>
      </w:pPr>
      <w:bookmarkStart w:id="29" w:name="toc_auto_29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7.1 铁律</w:t>
      </w:r>
      <w:bookmarkEnd w:id="29"/>
    </w:p>
    <w:p>
      <w:pPr>
        <w:spacing w:after="60" w:before="60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每个端点的后端一旦 curl 验证通过，该端点锁定。前端需求变更如需要新字段/新端点，只影响正在开发的当前端点，不波及已锁定的端点。</w:t>
      </w:r>
    </w:p>
    <w:p>
      <w:r>
        <w:br w:type="page"/>
      </w:r>
    </w:p>
    <w:p>
      <w:pPr>
        <w:pStyle w:val="Heading1"/>
        <w:spacing w:after="200" w:before="360"/>
      </w:pPr>
      <w:bookmarkStart w:id="30" w:name="toc_auto_30"/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8. 环境与部署</w:t>
      </w:r>
      <w:bookmarkEnd w:id="30"/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202124"/>
          <w:sz w:val="22"/>
          <w:szCs w:val="22"/>
        </w:rPr>
        <w:t xml:space="preserve">部署架构与质量门禁图</w:t>
      </w:r>
    </w:p>
    <w:p>
      <w:pPr>
        <w:spacing w:after="100" w:before="60"/>
        <w:jc w:val="center"/>
      </w:pPr>
      <w:r>
        <w:drawing>
          <ns2:inline distT="0" distB="0" distL="0" distR="0">
            <ns2:extent cx="5334000" cy="2857500"/>
            <ns2:effectExtent t="0" r="0" b="0" l="0"/>
            <ns2:docPr id="1" name="deploy-topo" descr="三环境部署与质量门禁" title="部署拓扑图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" descr=""/>
                    <ns4:cNvPicPr>
                      <ns3:picLocks noChangeAspect="1" noChangeArrowheads="1"/>
                    </ns4:cNvPicPr>
                  </ns4:nvPicPr>
                  <ns4:blipFill>
                    <ns3:blip ns5:embed="rId11" cstate="none"/>
                    <ns3:srcRect/>
                    <ns3:stretch>
                      <ns3:fillRect/>
                    </ns3:stretch>
                  </ns4:blipFill>
                  <ns4:spPr bwMode="auto">
                    <ns3:xfrm>
                      <ns3:off x="0" y="0"/>
                      <ns3:ext cx="5334000" cy="28575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>
      <w:pPr>
        <w:pStyle w:val="Heading2"/>
        <w:spacing w:after="160" w:before="280"/>
      </w:pPr>
      <w:bookmarkStart w:id="31" w:name="toc_auto_31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8.1 三环境隔离</w:t>
      </w:r>
      <w:bookmarkEnd w:id="31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环境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数据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dev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Mock + 种子数据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本地 gradle bootRun + npm run dev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开发调试、热重载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脱敏同步数据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Docker Compose (MySQL + App + Nginx)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全量功能测试、回归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prod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真实数据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Docker Compose (Volume + 备份)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生产运行、HTTPS</w:t>
            </w:r>
          </w:p>
        </w:tc>
      </w:tr>
    </w:tbl>
    <w:p>
      <w:pPr>
        <w:pStyle w:val="Heading2"/>
        <w:spacing w:after="160" w:before="280"/>
      </w:pPr>
      <w:bookmarkStart w:id="32" w:name="toc_auto_32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8.2 CI/CD 流程</w:t>
      </w:r>
      <w:bookmarkEnd w:id="32"/>
    </w:p>
    <w:p>
      <w:pPr>
        <w:spacing w:after="60" w:before="60"/>
      </w:pPr>
      <w:r>
        <w:rPr>
          <w:rFonts w:ascii="Arial" w:cs="Arial" w:eastAsia="Arial" w:hAnsi="Arial"/>
          <w:color w:val="5F6368"/>
          <w:sz w:val="20"/>
          <w:szCs w:val="20"/>
        </w:rPr>
        <w:t xml:space="preserve">git push → pre-commit(格式化+CheckStyle+ESLint+单测) → PR Review(≥1人) → Squash Merge → Deploy Test → 门禁通过 → Deploy Prod</w:t>
      </w:r>
    </w:p>
    <w:p>
      <w:pPr>
        <w:pStyle w:val="Heading2"/>
        <w:spacing w:after="160" w:before="280"/>
      </w:pPr>
      <w:bookmarkStart w:id="33" w:name="toc_auto_33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8.3 Git 分支规范</w:t>
      </w:r>
      <w:bookmarkEnd w:id="33"/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分支名：feature/M{XX}-{短描述}，如 feature/M06-phone-base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提交信息：&lt;type&gt;: &lt;描述&gt;，如 feat: 实现号码分配悲观锁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PR 要求：≥1 人 Review + CheckStyle + 测试通过</w:t>
      </w:r>
    </w:p>
    <w:p>
      <w:pPr>
        <w:pStyle w:val="ListParagraph"/>
        <w:numPr>
          <w:ilvl w:val="0"/>
          <w:numId w:val="7"/>
        </w:numPr>
        <w:spacing w:after="20" w:before="20"/>
      </w:pPr>
      <w:r>
        <w:rPr>
          <w:rFonts w:ascii="Arial" w:cs="Arial" w:eastAsia="Arial" w:hAnsi="Arial"/>
          <w:color w:val="5F6368"/>
          <w:sz w:val="19"/>
          <w:szCs w:val="19"/>
        </w:rPr>
        <w:t xml:space="preserve">合并方式：Squash Merge → 删除特性分支</w:t>
      </w:r>
    </w:p>
    <w:p>
      <w:r>
        <w:br w:type="page"/>
      </w:r>
    </w:p>
    <w:p>
      <w:pPr>
        <w:pStyle w:val="Heading1"/>
        <w:spacing w:after="200" w:before="360"/>
      </w:pPr>
      <w:bookmarkStart w:id="34" w:name="toc_auto_34"/>
      <w:r>
        <w:rPr>
          <w:rFonts w:ascii="Arial" w:cs="Arial" w:eastAsia="Arial" w:hAnsi="Arial"/>
          <w:b/>
          <w:bCs/>
          <w:color w:val="202124"/>
          <w:sz w:val="32"/>
          <w:szCs w:val="32"/>
        </w:rPr>
        <w:t xml:space="preserve">9. 关键设计决策</w:t>
      </w:r>
      <w:bookmarkEnd w:id="34"/>
    </w:p>
    <w:p>
      <w:pPr>
        <w:pStyle w:val="Heading2"/>
        <w:spacing w:after="160" w:before="280"/>
      </w:pPr>
      <w:bookmarkStart w:id="35" w:name="toc_auto_35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9.1 金融标准适配</w:t>
      </w:r>
      <w:bookmarkEnd w:id="35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金融标准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PhoneBiz 处理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02124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国密 SM2/SM3/SM4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不采用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非银行核心系统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4 环境物理隔离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3 环境(dev/test/prod)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内部系统，预发与测试合并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代码评审 ≥2 人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≥1 人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团队规模限制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微服务中台化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模块化单体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内部系统复杂度可控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高可用读写分离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单库 + 备份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vAlign w:val="center"/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F6368"/>
                <w:sz w:val="19"/>
                <w:szCs w:val="19"/>
              </w:rPr>
              <w:t xml:space="preserve">数据量级无需</w:t>
            </w:r>
          </w:p>
        </w:tc>
      </w:tr>
    </w:tbl>
    <w:p>
      <w:pPr>
        <w:pStyle w:val="Heading2"/>
        <w:spacing w:after="160" w:before="280"/>
      </w:pPr>
      <w:bookmarkStart w:id="36" w:name="toc_auto_36"/>
      <w:r>
        <w:rPr>
          <w:rFonts w:ascii="Arial" w:cs="Arial" w:eastAsia="Arial" w:hAnsi="Arial"/>
          <w:b/>
          <w:bCs/>
          <w:color w:val="202124"/>
          <w:sz w:val="26"/>
          <w:szCs w:val="26"/>
        </w:rPr>
        <w:t xml:space="preserve">9.2 设计决策记录</w:t>
      </w:r>
      <w:bookmarkEnd w:id="36"/>
    </w:p>
    <w:p>
      <w:pPr>
        <w:spacing w:after="40" w:before="4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M01 空接口模式：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AuditLogger + NotificationPublisher 在 M01 定义空实现，M09-M14 直接调用，M15 替换为真实实现。解耦模块间依赖。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M20 功能开关灰度发布：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通过 sys_feature_flag.scope_org_id 字段支持按组织灰度，避免全开全关风险。开关 true 时原生 API 加 @PreAuthorize 禁止绕过工单。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并发锁超时 5s：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JPA 悲观锁默认等待 50s 会导致连接耗尽，5s 内获取不到锁视为死锁/竞争异常立即失败。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Flyway 预留空号段：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Phase 1 预留 8 个、Phase 2 预留 6 个、Phase 3 预留 17 个。支持多团队并行开发和 hotfix。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02124"/>
          <w:sz w:val="20"/>
          <w:szCs w:val="20"/>
        </w:rPr>
        <w:t xml:space="preserve">统一异常处理：</w:t>
      </w:r>
      <w:r>
        <w:rPr>
          <w:rFonts w:ascii="Arial" w:cs="Arial" w:eastAsia="Arial" w:hAnsi="Arial"/>
          <w:color w:val="5F6368"/>
          <w:sz w:val="20"/>
          <w:szCs w:val="20"/>
        </w:rPr>
        <w:t xml:space="preserve">全局 BusinessException(ErrorCode) → GlobalExceptionHandler → ApiResponse.error → 前端统一处理。禁止裸 RuntimeException。</w:t>
      </w:r>
    </w:p>
    <w:sectPr>
      <w:headerReference w:type="default" ns5:id="rId7"/>
      <w:footerReference w:type="default" ns5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68B"/>
        <w:sz w:val="16"/>
        <w:szCs w:val="16"/>
      </w:rPr>
      <w:t xml:space="preserve">— </w:t>
    </w:r>
    <w:r>
      <w:rPr>
        <w:color w:val="8086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68B"/>
        <w:sz w:val="16"/>
        <w:szCs w:val="16"/>
      </w:rPr>
      <w:t xml:space="preserve"> / </w:t>
    </w:r>
    <w:r>
      <w:rPr>
        <w:color w:val="80868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80868B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68B"/>
        <w:sz w:val="16"/>
        <w:szCs w:val="16"/>
      </w:rPr>
      <w:t xml:space="preserve">PhoneBiz 开发架构文档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Arial" w:cs="Arial" w:eastAsia="Arial" w:hAnsi="Arial"/>
      <w:b/>
      <w:bCs/>
      <w:color w:val="20212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021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021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73E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1feeb6302e8c70601282f34d02fbee079bfcc6b.png"/><Relationship Id="rId10" Type="http://schemas.openxmlformats.org/officeDocument/2006/relationships/image" Target="media/899cfe52ae69f18042df5e509f9e00262f6406bd.png"/><Relationship Id="rId11" Type="http://schemas.openxmlformats.org/officeDocument/2006/relationships/image" Target="media/ca8aa64009884fecf9687387eea5e683f9a73c9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2026-05-19T12:26:18.400Z</dcterms:created>
  <dcterms:modified xsi:type="dcterms:W3CDTF">2026-05-19T12:26:18.401Z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