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3200"/>
      </w:pPr>
    </w:p>
    <w:p>
      <w:pPr>
        <w:pStyle w:val="Title"/>
      </w:pPr>
      <w:r>
        <w:t xml:space="preserve">技术架构设计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银行内部电话费用分摊系统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bookmarkStart w:id="0" w:name="toc_auto_0"/>
      <w:r>
        <w:t xml:space="preserve">目录</w:t>
      </w:r>
      <w:bookmarkEnd w:id="0"/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目录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一、总体架构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1.1 架构风格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1.2 技术栈选型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1.3 架构分层图</w:t>
            </w:r>
          </w:hyperlink>
        </w:p>
        <w:p>
          <w:pPr>
            <w:pStyle w:val="TOC1"/>
          </w:pPr>
          <w:hyperlink w:anchor="toc_auto_5" w:history="1">
            <w:r>
              <w:rPr>
                <w:rStyle w:val="Hyperlink"/>
              </w:rPr>
              <w:t>二、前端架构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2.1 目录结构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2.2 核心页面组件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2.3 状态管理</w:t>
            </w:r>
          </w:hyperlink>
        </w:p>
        <w:p>
          <w:pPr>
            <w:pStyle w:val="TOC2"/>
          </w:pPr>
          <w:hyperlink w:anchor="toc_auto_9" w:history="1">
            <w:r>
              <w:rPr>
                <w:rStyle w:val="Hyperlink"/>
              </w:rPr>
              <w:t>2.4 路由设计</w:t>
            </w:r>
          </w:hyperlink>
        </w:p>
        <w:p>
          <w:pPr>
            <w:pStyle w:val="TOC1"/>
          </w:pPr>
          <w:hyperlink w:anchor="toc_auto_10" w:history="1">
            <w:r>
              <w:rPr>
                <w:rStyle w:val="Hyperlink"/>
              </w:rPr>
              <w:t>三、后端架构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3.1 包结构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3.2 核心Service层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3.3 Excel处理模块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3.4 分摊引擎（AllocationEngine）</w:t>
            </w:r>
          </w:hyperlink>
        </w:p>
        <w:p>
          <w:pPr>
            <w:pStyle w:val="TOC1"/>
          </w:pPr>
          <w:hyperlink w:anchor="toc_auto_15" w:history="1">
            <w:r>
              <w:rPr>
                <w:rStyle w:val="Hyperlink"/>
              </w:rPr>
              <w:t>四、数据库设计</w:t>
            </w:r>
          </w:hyperlink>
        </w:p>
        <w:p>
          <w:pPr>
            <w:pStyle w:val="TOC2"/>
          </w:pPr>
          <w:hyperlink w:anchor="toc_auto_16" w:history="1">
            <w:r>
              <w:rPr>
                <w:rStyle w:val="Hyperlink"/>
              </w:rPr>
              <w:t>4.1 设计原则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4.2 ER关系概要</w:t>
            </w:r>
          </w:hyperlink>
        </w:p>
        <w:p>
          <w:pPr>
            <w:pStyle w:val="TOC2"/>
          </w:pPr>
          <w:hyperlink w:anchor="toc_auto_18" w:history="1">
            <w:r>
              <w:rPr>
                <w:rStyle w:val="Hyperlink"/>
              </w:rPr>
              <w:t>4.3 索引策略</w:t>
            </w:r>
          </w:hyperlink>
        </w:p>
        <w:p>
          <w:pPr>
            <w:pStyle w:val="TOC1"/>
          </w:pPr>
          <w:hyperlink w:anchor="toc_auto_19" w:history="1">
            <w:r>
              <w:rPr>
                <w:rStyle w:val="Hyperlink"/>
              </w:rPr>
              <w:t>五、安全设计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5.1 认证与授权</w:t>
            </w:r>
          </w:hyperlink>
        </w:p>
        <w:p>
          <w:pPr>
            <w:pStyle w:val="TOC2"/>
          </w:pPr>
          <w:hyperlink w:anchor="toc_auto_21" w:history="1">
            <w:r>
              <w:rPr>
                <w:rStyle w:val="Hyperlink"/>
              </w:rPr>
              <w:t>5.2 数据安全</w:t>
            </w:r>
          </w:hyperlink>
        </w:p>
        <w:p>
          <w:pPr>
            <w:pStyle w:val="TOC2"/>
          </w:pPr>
          <w:hyperlink w:anchor="toc_auto_22" w:history="1">
            <w:r>
              <w:rPr>
                <w:rStyle w:val="Hyperlink"/>
              </w:rPr>
              <w:t>5.3 传输安全</w:t>
            </w:r>
          </w:hyperlink>
        </w:p>
        <w:p>
          <w:pPr>
            <w:pStyle w:val="TOC1"/>
          </w:pPr>
          <w:hyperlink w:anchor="toc_auto_23" w:history="1">
            <w:r>
              <w:rPr>
                <w:rStyle w:val="Hyperlink"/>
              </w:rPr>
              <w:t>六、部署架构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6.1 Docker Compose编排</w:t>
            </w:r>
          </w:hyperlink>
        </w:p>
        <w:p>
          <w:pPr>
            <w:pStyle w:val="TOC2"/>
          </w:pPr>
          <w:hyperlink w:anchor="toc_auto_25" w:history="1">
            <w:r>
              <w:rPr>
                <w:rStyle w:val="Hyperlink"/>
              </w:rPr>
              <w:t>6.2 部署流程</w:t>
            </w:r>
          </w:hyperlink>
        </w:p>
        <w:p>
          <w:pPr>
            <w:pStyle w:val="TOC2"/>
          </w:pPr>
          <w:hyperlink w:anchor="toc_auto_26" w:history="1">
            <w:r>
              <w:rPr>
                <w:rStyle w:val="Hyperlink"/>
              </w:rPr>
              <w:t>6.3 环境配置</w:t>
            </w:r>
          </w:hyperlink>
        </w:p>
        <w:p>
          <w:pPr>
            <w:pStyle w:val="TOC1"/>
          </w:pPr>
          <w:hyperlink w:anchor="toc_auto_27" w:history="1">
            <w:r>
              <w:rPr>
                <w:rStyle w:val="Hyperlink"/>
              </w:rPr>
              <w:t>七、关键技术决策</w:t>
            </w:r>
          </w:hyperlink>
        </w:p>
      </w:sdtContent>
    </w:sdt>
    <w:p>
      <w:r>
        <w:br w:type="page"/>
      </w:r>
    </w:p>
    <w:p>
      <w:pPr>
        <w:pStyle w:val="Heading1"/>
      </w:pPr>
      <w:bookmarkStart w:id="1" w:name="toc_auto_1"/>
      <w:r>
        <w:t xml:space="preserve">一、总体架构</w:t>
      </w:r>
      <w:bookmarkEnd w:id="1"/>
    </w:p>
    <w:p>
      <w:pPr>
        <w:pStyle w:val="Heading2"/>
      </w:pPr>
      <w:bookmarkStart w:id="2" w:name="toc_auto_2"/>
      <w:r>
        <w:t xml:space="preserve">1.1 架构风格</w:t>
      </w:r>
      <w:bookmarkEnd w:id="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采用经典分层架构（Layered Architecture）+ 前后端分离模式：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前端：React 18 SPA，Vite构建，Ant Design 5 + Zustand + React Query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后端：Spring Boot 3.2 REST API，JPA数据访问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缓存：Redis 7（会话、分摊缓存、限流、组织树缓存）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部署：Docker Compose容器化，Nginx反向代理+HTTPS</w:t>
      </w:r>
    </w:p>
    <w:p>
      <w:pPr>
        <w:pStyle w:val="Heading2"/>
      </w:pPr>
      <w:bookmarkStart w:id="3" w:name="toc_auto_3"/>
      <w:r>
        <w:t xml:space="preserve">1.2 技术栈选型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18 + Ant Design 5 + Zustand + React 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组件丰富、状态管理轻量、数据请求缓存/重试/轮询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构建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 5 + TypeScript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极速HMR、原生ESM、类型安全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3.2 + JPA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Java生态成熟、JPA适合CRUD、Flyway版本化DDL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8.0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企业级RDBMS、DECIMAL精度、JSON支持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缓存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会话缓存、分摊结果缓存、限流、组织树缓存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 + Nginx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容器化部署、HTTPS终止、静态资源服务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Apache POI (后端) + xlsx (前端预览)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后端生成导出、前端导入预览</w:t>
            </w:r>
          </w:p>
        </w:tc>
      </w:tr>
    </w:tbl>
    <w:p>
      <w:pPr>
        <w:pStyle w:val="Heading2"/>
      </w:pPr>
      <w:bookmarkStart w:id="4" w:name="toc_auto_4"/>
      <w:r>
        <w:t xml:space="preserve">1.3 架构分层图</w:t>
      </w:r>
      <w:bookmarkEnd w:id="4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前端层：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React SPA (Vite dev/build) → Zustand状态 → Axios HTTP → Ant Design UI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网关层：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Nginx → HTTPS终止 → 静态资源(/) → API代理(/api/*) → Spring Boot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后端层：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Controller → Service → Repository(JPA) → MySQL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独立模块：ExcelParser(POI) / AllocationEngine / ExportGenerator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数据层：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MySQL 8 (主库) → Flyway迁移 → 备份策略</w:t>
      </w:r>
    </w:p>
    <w:p>
      <w:r>
        <w:br w:type="page"/>
      </w:r>
    </w:p>
    <w:p>
      <w:pPr>
        <w:pStyle w:val="Heading1"/>
      </w:pPr>
      <w:bookmarkStart w:id="5" w:name="toc_auto_5"/>
      <w:r>
        <w:t xml:space="preserve">二、前端架构</w:t>
      </w:r>
      <w:bookmarkEnd w:id="5"/>
    </w:p>
    <w:p>
      <w:pPr>
        <w:pStyle w:val="Heading2"/>
      </w:pPr>
      <w:bookmarkStart w:id="6" w:name="toc_auto_6"/>
      <w:r>
        <w:t xml:space="preserve">2.1 目录结构</w:t>
      </w:r>
      <w:bookmarkEnd w:id="6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components/ — 通用组件（Layout, Table, Form等）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pages/ — 页面组件（按5个菜单分组）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stores/ — Zustand状态管理（authStore, allocationStore等）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api/ — API请求封装（按模块分文件）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types/ — TypeScript类型定义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hooks/ — 自定义Hook（useOrgTree, useAllocation等）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utils/ — 工具函数（excel, format, validate等）</w:t>
      </w:r>
    </w:p>
    <w:p>
      <w:pPr>
        <w:pStyle w:val="Heading2"/>
      </w:pPr>
      <w:bookmarkStart w:id="7" w:name="toc_auto_7"/>
      <w:r>
        <w:t xml:space="preserve">2.2 核心页面组件</w:t>
      </w:r>
      <w:bookmarkEnd w:id="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UploadExcel + OwnershipTable + ExceptionBadge + ValidationReport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UploadExcel + DirectoryTable + SecondmentTag + DeptPathParser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UploadExcel + SheetPreview + TemplateConfig + ParseResult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ValidationDashboard + P0P3Distribution + UnassignedList + BulkAssign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AllocationTable + OrgTree + ConfirmButton + WithdrawDialog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AdjustmentForm + AuditTrail + BeforeAfterDiff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分行账单导出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ExportForm + BranchSelector + SheetPreview + DownloadButton</w:t>
            </w:r>
          </w:p>
        </w:tc>
      </w:tr>
    </w:tbl>
    <w:p>
      <w:pPr>
        <w:pStyle w:val="Heading2"/>
      </w:pPr>
      <w:bookmarkStart w:id="8" w:name="toc_auto_8"/>
      <w:r>
        <w:t xml:space="preserve">2.3 状态管理</w:t>
      </w:r>
      <w:bookmarkEnd w:id="8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使用Zustand轻量状态管理，按领域拆分Store：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authStore — JWT令牌、用户信息、权限列表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allocationStore — 当前批次、分摊结果、确认状态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orgStore — 组织树数据、选中节点、展开状态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importStore — 导入进度、解析预览、校验结果</w:t>
      </w:r>
    </w:p>
    <w:p>
      <w:pPr>
        <w:pStyle w:val="Heading2"/>
      </w:pPr>
      <w:bookmarkStart w:id="9" w:name="toc_auto_9"/>
      <w:r>
        <w:t xml:space="preserve">2.4 路由设计</w:t>
      </w:r>
      <w:bookmarkEnd w:id="9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采用React Router v6懒加载：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/dashboard — 系统首页/看板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/import/ownership — 号码归属管理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/import/directory — 通讯录管理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/import/bill — 账单导入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/allocation/validate — 归属校验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/allocation/result — 分摊结果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/allocation/adjust — 分摊调整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/export/branch-bill — 分行账单导出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/report/* — 报表分析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/admin/* — 组织/用户/系统管理</w:t>
      </w:r>
    </w:p>
    <w:p>
      <w:r>
        <w:br w:type="page"/>
      </w:r>
    </w:p>
    <w:p>
      <w:pPr>
        <w:pStyle w:val="Heading1"/>
      </w:pPr>
      <w:bookmarkStart w:id="10" w:name="toc_auto_10"/>
      <w:r>
        <w:t xml:space="preserve">三、后端架构</w:t>
      </w:r>
      <w:bookmarkEnd w:id="10"/>
    </w:p>
    <w:p>
      <w:pPr>
        <w:pStyle w:val="Heading2"/>
      </w:pPr>
      <w:bookmarkStart w:id="11" w:name="toc_auto_11"/>
      <w:r>
        <w:t xml:space="preserve">3.1 包结构</w:t>
      </w:r>
      <w:bookmarkEnd w:id="11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com.bank.phonebill/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config/ — 配置类（Security, JPA, Flyway, CORS）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controller/ — REST控制器（按模块分）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service/ — 业务逻辑（含分摊引擎）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repository/ — JPA Repository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entity/ — JPA实体 + BaseEntity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dto/ — 请求/响应DTO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excel/ — Excel解析/生成（POI）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allocation/ — 分摊引擎核心逻辑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exception/ — 全局异常处理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util/ — 工具类</w:t>
      </w:r>
    </w:p>
    <w:p>
      <w:pPr>
        <w:pStyle w:val="Heading2"/>
      </w:pPr>
      <w:bookmarkStart w:id="12" w:name="toc_auto_12"/>
      <w:r>
        <w:t xml:space="preserve">3.2 核心Service层</w:t>
      </w:r>
      <w:bookmarkEnd w:id="1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PhoneOwnershipService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归属表导入、例外解析、P0匹配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DirectoryService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通讯录导入、部门路径解析、借调检测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BillImportService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账单导入、模板匹配、Sheet解析、闪信季度累计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OwnershipResolver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归属校验引擎：P0→P1→P2→P3优先级匹配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自动分摊：按号码归属汇总到组织树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AllocationConfirmService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确认/撤回逻辑、级联撤回、状态机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AdjustmentService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借调调整、金额调整、审计记录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BranchBillExportService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分行账单生成、汇总表计算、Excel导出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BillTemplateService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模板CRUD、JSON配置解析</w:t>
            </w:r>
          </w:p>
        </w:tc>
      </w:tr>
    </w:tbl>
    <w:p>
      <w:pPr>
        <w:pStyle w:val="Heading2"/>
      </w:pPr>
      <w:bookmarkStart w:id="13" w:name="toc_auto_13"/>
      <w:r>
        <w:t xml:space="preserve">3.3 Excel处理模块</w:t>
      </w:r>
      <w:bookmarkEnd w:id="13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导入端（Apache POI）：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ExcelParser — 通用Excel解析，按模板配置提取数据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OwnershipParser — 号码归属表2列解析，[例外]前缀识别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DirectoryParser — 通讯录4列解析，部门路径"-"分隔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BillParser — 账单4 Sheet解析，Sheet名正则匹配，不同列位置处理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导出端（Apache POI + 模板）：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BranchBillExporter — 生成5 Sheet分行账单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SummarySheetBuilder — 汇总表13列生成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DetailSheetBuilder — 明细Sheet+3列组织信息前缀</w:t>
      </w:r>
    </w:p>
    <w:p>
      <w:pPr>
        <w:pStyle w:val="Heading2"/>
      </w:pPr>
      <w:bookmarkStart w:id="14" w:name="toc_auto_14"/>
      <w:r>
        <w:t xml:space="preserve">3.4 分摊引擎（AllocationEngine）</w:t>
      </w:r>
      <w:bookmarkEnd w:id="14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核心算法流程：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输入：bill_batch_id + 全部bill_detail记录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遍历每条bill_detail，按org_id汇总到allocation_result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沿组织树向上汇总：部门→二级分行→一级分行→集团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校验：集团total_fee = SUM(所有bill_detail.total_fee)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更新bill_batch.status = ALLOCATED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输出：每个组织一条allocation_result记录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性能优化：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批量INSERT（JPA saveAll + batch_size=100）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组织树缓存（一次性加载，避免N+1查询）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分摊计算纯内存操作，最后批量写库</w:t>
      </w:r>
    </w:p>
    <w:p>
      <w:r>
        <w:br w:type="page"/>
      </w:r>
    </w:p>
    <w:p>
      <w:pPr>
        <w:pStyle w:val="Heading1"/>
      </w:pPr>
      <w:bookmarkStart w:id="15" w:name="toc_auto_15"/>
      <w:r>
        <w:t xml:space="preserve">四、数据库设计</w:t>
      </w:r>
      <w:bookmarkEnd w:id="15"/>
    </w:p>
    <w:p>
      <w:pPr>
        <w:pStyle w:val="Heading2"/>
      </w:pPr>
      <w:bookmarkStart w:id="16" w:name="toc_auto_16"/>
      <w:r>
        <w:t xml:space="preserve">4.1 设计原则</w:t>
      </w:r>
      <w:bookmarkEnd w:id="16"/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主键：id BIGINT AUTO_INCREMENT（非unsigned）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审计字段：created_at / updated_at / deleted_at（BaseEntity）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金额：DECIMAL(12,2)，不用FLOAT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状态：TINYINT + 注释枚举值（不用ENUM类型）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表名：小写下划线（snake_case）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NOT NULL字段必须设默认值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软删除：@Where(clause="deleted_at IS NULL")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Flyway版本化：V1__init_schema.sql起步</w:t>
      </w:r>
    </w:p>
    <w:p>
      <w:pPr>
        <w:pStyle w:val="Heading2"/>
      </w:pPr>
      <w:bookmarkStart w:id="17" w:name="toc_auto_17"/>
      <w:r>
        <w:t xml:space="preserve">4.2 ER关系概要</w:t>
      </w:r>
      <w:bookmarkEnd w:id="17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sys_organization (树形自引用) ← phone_ownership_entry.org_id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sys_organization ← directory_entry.org_id / actual_org_id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sys_organization ← bill_detail.org_id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sys_organization ← allocation_result.org_id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bill_batch (1) ← (N) bill_detail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bill_batch (1) ← (N) allocation_result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bill_template (1) ← (N) bill_batch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phone_ownership_batch (1) ← (N) phone_ownership_entry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directory_batch (1) ← (N) directory_entry</w:t>
      </w:r>
    </w:p>
    <w:p>
      <w:pPr>
        <w:pStyle w:val="Heading2"/>
      </w:pPr>
      <w:bookmarkStart w:id="18" w:name="toc_auto_18"/>
      <w:r>
        <w:t xml:space="preserve">4.3 索引策略</w:t>
      </w:r>
      <w:bookmarkEnd w:id="1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表.字段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索引类型/理由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bill_detail.phone_number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分摊匹配键，高频查询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bill_detail.batch_id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按批次过滤明细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bill_detail.org_id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按组织汇总查询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allocation_result.batch_id + 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UNIQUE — 每批次每组织唯一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phone_ownership_entry.phone_number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归属匹配键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directory_entry.phone_number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归属匹配键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sys_organization.parent_id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BTREE — 组织树遍历</w:t>
            </w:r>
          </w:p>
        </w:tc>
      </w:tr>
    </w:tbl>
    <w:p>
      <w:r>
        <w:br w:type="page"/>
      </w:r>
    </w:p>
    <w:p>
      <w:pPr>
        <w:pStyle w:val="Heading1"/>
      </w:pPr>
      <w:bookmarkStart w:id="19" w:name="toc_auto_19"/>
      <w:r>
        <w:t xml:space="preserve">五、安全设计</w:t>
      </w:r>
      <w:bookmarkEnd w:id="19"/>
    </w:p>
    <w:p>
      <w:pPr>
        <w:pStyle w:val="Heading2"/>
      </w:pPr>
      <w:bookmarkStart w:id="20" w:name="toc_auto_20"/>
      <w:r>
        <w:t xml:space="preserve">5.1 认证与授权</w:t>
      </w:r>
      <w:bookmarkEnd w:id="20"/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JWT认证：登录→签发token，请求头Bearer传递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RBAC：4角色×功能权限矩阵，@PreAuthorize注解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首次登录强制修改密码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JWT刷新机制：access_token短期 + refresh_token长期</w:t>
      </w:r>
    </w:p>
    <w:p>
      <w:pPr>
        <w:pStyle w:val="Heading2"/>
      </w:pPr>
      <w:bookmarkStart w:id="21" w:name="toc_auto_21"/>
      <w:r>
        <w:t xml:space="preserve">5.2 数据安全</w:t>
      </w:r>
      <w:bookmarkEnd w:id="21"/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敏感信息环境变量化：DB_PASSWORD / JWT_SECRET / DEFAULT_PASSWORD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SQL注入防护：JPA参数绑定 + @Valid校验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XSS防护：前端textContent渲染 + CSP策略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日志脱敏：JWT详情降为debug级，不输出token原文</w:t>
      </w:r>
    </w:p>
    <w:p>
      <w:pPr>
        <w:pStyle w:val="Heading2"/>
      </w:pPr>
      <w:bookmarkStart w:id="22" w:name="toc_auto_22"/>
      <w:r>
        <w:t xml:space="preserve">5.3 传输安全</w:t>
      </w:r>
      <w:bookmarkEnd w:id="22"/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Nginx HTTPS终止，HTTP→HTTPS 301重定向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CSP收紧：移除unsafe-eval，添加frame-ancestors/base-uri/form-action</w:t>
      </w:r>
    </w:p>
    <w:p>
      <w:r>
        <w:br w:type="page"/>
      </w:r>
    </w:p>
    <w:p>
      <w:pPr>
        <w:pStyle w:val="Heading1"/>
      </w:pPr>
      <w:bookmarkStart w:id="23" w:name="toc_auto_23"/>
      <w:r>
        <w:t xml:space="preserve">六、部署架构</w:t>
      </w:r>
      <w:bookmarkEnd w:id="23"/>
    </w:p>
    <w:p>
      <w:pPr>
        <w:pStyle w:val="Heading2"/>
      </w:pPr>
      <w:bookmarkStart w:id="24" w:name="toc_auto_24"/>
      <w:r>
        <w:t xml:space="preserve">6.1 Docker Compose编排</w:t>
      </w:r>
      <w:bookmarkEnd w:id="2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镜像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phonebill-app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openjdk:21-jdk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Boot后端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phonebill-mysql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mysql:8.0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MySQL数据库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phonebill-redis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Redis缓存(可选)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phonebill-nginx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80/443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反向代理+静态资源</w:t>
            </w:r>
          </w:p>
        </w:tc>
      </w:tr>
    </w:tbl>
    <w:p>
      <w:pPr>
        <w:pStyle w:val="Heading2"/>
      </w:pPr>
      <w:bookmarkStart w:id="25" w:name="toc_auto_25"/>
      <w:r>
        <w:t xml:space="preserve">6.2 部署流程</w:t>
      </w:r>
      <w:bookmarkEnd w:id="25"/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git push → CI构建（前端npm run build + 后端mvn package）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docker compose build → 构建镜像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docker compose up -d → 启动服务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Flyway自动执行DDL迁移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Nginx服务前端dist/ + 代理/api/*到8080</w:t>
      </w:r>
    </w:p>
    <w:p>
      <w:pPr>
        <w:pStyle w:val="Heading2"/>
      </w:pPr>
      <w:bookmarkStart w:id="26" w:name="toc_auto_26"/>
      <w:r>
        <w:t xml:space="preserve">6.3 环境配置</w:t>
      </w:r>
      <w:bookmarkEnd w:id="2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H2内存库 / 前端Vite dev:5173 / 后端8080 / 无HTTPS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MySQL测试库 / 前端build / 后端8080 / 自签证书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生产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MySQL生产库 / Flyway none / Nginx HTTPS / 环境变量注入</w:t>
            </w:r>
          </w:p>
        </w:tc>
      </w:tr>
    </w:tbl>
    <w:p>
      <w:r>
        <w:br w:type="page"/>
      </w:r>
    </w:p>
    <w:p>
      <w:pPr>
        <w:pStyle w:val="Heading1"/>
      </w:pPr>
      <w:bookmarkStart w:id="27" w:name="toc_auto_27"/>
      <w:r>
        <w:t xml:space="preserve">七、关键技术决策</w:t>
      </w:r>
      <w:bookmarkEnd w:id="2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账单解析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JSON模板配置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电信账单格式可能微调，配置驱动无需改代码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分摊算法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纯内存+批量写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1万条明细内存聚合极快，避免逐条写库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后端POI生成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Sheet+格式复杂，前端xlsx库能力不足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轻量、TypeScript友好、无boilerplate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邻接表+缓存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929+节点，一次性加载缓存，避免N+1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isQuarterly标记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与月度分摊逻辑分离，累计到当前月份总额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Nginx静态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SPA无需Node运行时，Nginx直出dist/</w:t>
            </w:r>
          </w:p>
        </w:tc>
      </w:tr>
    </w:tbl>
    <w:p>
      <w:pPr>
        <w:jc w:val="right"/>
      </w:pPr>
      <w:r>
        <w:rPr>
          <w:vanish/>
          <w:sz w:val="16"/>
          <w:color w:val="BFBFBF"/>
        </w:rPr>
        <w:t>AIGC标识: b2b66d19-cfc0-416f-9ca2-24a599ac2ce0</w:t>
      </w:r>
    </w:p>
    <w:sectPr>
      <w:headerReference w:type="default" ns2:id="rId7"/>
      <w:footerReference w:type="default" ns2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技术架构设计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2026-06-22T06:29:15.665Z</dcterms:created>
  <dcterms:modified xsi:type="dcterms:W3CDTF">2026-06-22T06:29:15.666Z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b2b66d19-cfc0-416f-9ca2-24a599ac2ce0","ReservedCode1":"2a30cd53-af47-457d-a261-7934ba09cf6b","ContentPropagator":"001191110102MAD55U9H0F10002","PropagateID":"b2b66d19-cfc0-416f-9ca2-24a599ac2ce0","ReservedCode2":"2a30cd53-af47-457d-a261-7934ba09cf6b"}</vt:lpwstr>
  </property>
</Properties>
</file>