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p14">
  <w:body>
    <w:p>
      <w:pPr>
        <w:spacing w:before="2800"/>
      </w:pPr>
    </w:p>
    <w:p>
      <w:pPr>
        <w:pStyle w:val="Title"/>
      </w:pPr>
      <w:r>
        <w:t xml:space="preserve">银行内部电话费用分摊系统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产品需求文档 (PRD)</w:t>
      </w:r>
    </w:p>
    <w:p>
      <w:pPr>
        <w:spacing w:after="40"/>
        <w:jc w:val="center"/>
      </w:pPr>
      <w:r>
        <w:rPr>
          <w:color w:val="666666"/>
          <w:sz w:val="24"/>
          <w:szCs w:val="24"/>
        </w:rPr>
        <w:t xml:space="preserve">基于电信账单的多级组织费用分摊与确认系统</w:t>
      </w:r>
    </w:p>
    <w:p>
      <w:pPr>
        <w:spacing w:after="40" w:before="400"/>
        <w:jc w:val="center"/>
      </w:pPr>
      <w:r>
        <w:rPr>
          <w:color w:val="666666"/>
          <w:sz w:val="22"/>
          <w:szCs w:val="22"/>
        </w:rPr>
        <w:t xml:space="preserve">V1.0  |  2026-06-22</w:t>
      </w:r>
    </w:p>
    <w:p>
      <w:pPr>
        <w:spacing w:after="40"/>
        <w:jc w:val="center"/>
      </w:pPr>
      <w:r>
        <w:rPr>
          <w:color w:val="999999"/>
          <w:sz w:val="20"/>
          <w:szCs w:val="20"/>
        </w:rPr>
        <w:t xml:space="preserve">密级：内部  |  状态：评审中</w:t>
      </w:r>
    </w:p>
    <w:p>
      <w:r>
        <w:br w:type="page"/>
      </w:r>
    </w:p>
    <w:p>
      <w:pPr>
        <w:pStyle w:val="Heading1"/>
      </w:pPr>
      <w:bookmarkStart w:id="0" w:name="toc_auto_0"/>
      <w:r>
        <w:t xml:space="preserve">目录</w:t>
      </w:r>
      <w:bookmarkEnd w:id="0"/>
    </w:p>
    <w:sdt>
      <w:sdtPr>
        <w:alias w:val="目录"/>
      </w:sdtPr>
      <w:sdtContent>
        <w:p>
          <w:pPr>
            <w:pStyle w:val="TOC1"/>
          </w:pPr>
          <w:hyperlink w:anchor="toc_auto_0" w:history="1">
            <w:r>
              <w:rPr>
                <w:rStyle w:val="Hyperlink"/>
              </w:rPr>
              <w:t>目录</w:t>
            </w:r>
          </w:hyperlink>
        </w:p>
        <w:p>
          <w:pPr>
            <w:pStyle w:val="TOC1"/>
          </w:pPr>
          <w:hyperlink w:anchor="toc_auto_1" w:history="1">
            <w:r>
              <w:rPr>
                <w:rStyle w:val="Hyperlink"/>
              </w:rPr>
              <w:t>一、项目概述</w:t>
            </w:r>
          </w:hyperlink>
        </w:p>
        <w:p>
          <w:pPr>
            <w:pStyle w:val="TOC2"/>
          </w:pPr>
          <w:hyperlink w:anchor="toc_auto_2" w:history="1">
            <w:r>
              <w:rPr>
                <w:rStyle w:val="Hyperlink"/>
              </w:rPr>
              <w:t>1.1 项目背景</w:t>
            </w:r>
          </w:hyperlink>
        </w:p>
        <w:p>
          <w:pPr>
            <w:pStyle w:val="TOC2"/>
          </w:pPr>
          <w:hyperlink w:anchor="toc_auto_3" w:history="1">
            <w:r>
              <w:rPr>
                <w:rStyle w:val="Hyperlink"/>
              </w:rPr>
              <w:t>1.2 5W1H分析</w:t>
            </w:r>
          </w:hyperlink>
        </w:p>
        <w:p>
          <w:pPr>
            <w:pStyle w:val="TOC2"/>
          </w:pPr>
          <w:hyperlink w:anchor="toc_auto_4" w:history="1">
            <w:r>
              <w:rPr>
                <w:rStyle w:val="Hyperlink"/>
              </w:rPr>
              <w:t>1.3 核心业务流</w:t>
            </w:r>
          </w:hyperlink>
        </w:p>
        <w:p>
          <w:pPr>
            <w:pStyle w:val="TOC2"/>
          </w:pPr>
          <w:hyperlink w:anchor="toc_auto_5" w:history="1">
            <w:r>
              <w:rPr>
                <w:rStyle w:val="Hyperlink"/>
              </w:rPr>
              <w:t>1.4 系统边界</w:t>
            </w:r>
          </w:hyperlink>
        </w:p>
        <w:p>
          <w:pPr>
            <w:pStyle w:val="TOC1"/>
          </w:pPr>
          <w:hyperlink w:anchor="toc_auto_6" w:history="1">
            <w:r>
              <w:rPr>
                <w:rStyle w:val="Hyperlink"/>
              </w:rPr>
              <w:t>二、角色与权限模型</w:t>
            </w:r>
          </w:hyperlink>
        </w:p>
        <w:p>
          <w:pPr>
            <w:pStyle w:val="TOC2"/>
          </w:pPr>
          <w:hyperlink w:anchor="toc_auto_7" w:history="1">
            <w:r>
              <w:rPr>
                <w:rStyle w:val="Hyperlink"/>
              </w:rPr>
              <w:t>2.1 角色定义</w:t>
            </w:r>
          </w:hyperlink>
        </w:p>
        <w:p>
          <w:pPr>
            <w:pStyle w:val="TOC2"/>
          </w:pPr>
          <w:hyperlink w:anchor="toc_auto_8" w:history="1">
            <w:r>
              <w:rPr>
                <w:rStyle w:val="Hyperlink"/>
              </w:rPr>
              <w:t>2.2 权限矩阵</w:t>
            </w:r>
          </w:hyperlink>
        </w:p>
        <w:p>
          <w:pPr>
            <w:pStyle w:val="TOC1"/>
          </w:pPr>
          <w:hyperlink w:anchor="toc_auto_9" w:history="1">
            <w:r>
              <w:rPr>
                <w:rStyle w:val="Hyperlink"/>
              </w:rPr>
              <w:t>三、数据源与导入</w:t>
            </w:r>
          </w:hyperlink>
        </w:p>
        <w:p>
          <w:pPr>
            <w:pStyle w:val="TOC2"/>
          </w:pPr>
          <w:hyperlink w:anchor="toc_auto_10" w:history="1">
            <w:r>
              <w:rPr>
                <w:rStyle w:val="Hyperlink"/>
              </w:rPr>
              <w:t>3.1 三份源数据文件</w:t>
            </w:r>
          </w:hyperlink>
        </w:p>
        <w:p>
          <w:pPr>
            <w:pStyle w:val="TOC2"/>
          </w:pPr>
          <w:hyperlink w:anchor="toc_auto_11" w:history="1">
            <w:r>
              <w:rPr>
                <w:rStyle w:val="Hyperlink"/>
              </w:rPr>
              <w:t>3.2 号码归属表</w:t>
            </w:r>
          </w:hyperlink>
        </w:p>
        <w:p>
          <w:pPr>
            <w:pStyle w:val="TOC2"/>
          </w:pPr>
          <w:hyperlink w:anchor="toc_auto_12" w:history="1">
            <w:r>
              <w:rPr>
                <w:rStyle w:val="Hyperlink"/>
              </w:rPr>
              <w:t>3.3 通讯录</w:t>
            </w:r>
          </w:hyperlink>
        </w:p>
        <w:p>
          <w:pPr>
            <w:pStyle w:val="TOC2"/>
          </w:pPr>
          <w:hyperlink w:anchor="toc_auto_13" w:history="1">
            <w:r>
              <w:rPr>
                <w:rStyle w:val="Hyperlink"/>
              </w:rPr>
              <w:t>3.4 电信账单</w:t>
            </w:r>
          </w:hyperlink>
        </w:p>
        <w:p>
          <w:pPr>
            <w:pStyle w:val="TOC2"/>
          </w:pPr>
          <w:hyperlink w:anchor="toc_auto_14" w:history="1">
            <w:r>
              <w:rPr>
                <w:rStyle w:val="Hyperlink"/>
              </w:rPr>
              <w:t>3.5 导入顺序（关键依赖）</w:t>
            </w:r>
          </w:hyperlink>
        </w:p>
        <w:p>
          <w:pPr>
            <w:pStyle w:val="TOC2"/>
          </w:pPr>
          <w:hyperlink w:anchor="toc_auto_15" w:history="1">
            <w:r>
              <w:rPr>
                <w:rStyle w:val="Hyperlink"/>
              </w:rPr>
              <w:t>3.6 账单模板配置（bill_template表）</w:t>
            </w:r>
          </w:hyperlink>
        </w:p>
        <w:p>
          <w:pPr>
            <w:pStyle w:val="TOC1"/>
          </w:pPr>
          <w:hyperlink w:anchor="toc_auto_16" w:history="1">
            <w:r>
              <w:rPr>
                <w:rStyle w:val="Hyperlink"/>
              </w:rPr>
              <w:t>四、号码归属优先级与匹配</w:t>
            </w:r>
          </w:hyperlink>
        </w:p>
        <w:p>
          <w:pPr>
            <w:pStyle w:val="TOC2"/>
          </w:pPr>
          <w:hyperlink w:anchor="toc_auto_17" w:history="1">
            <w:r>
              <w:rPr>
                <w:rStyle w:val="Hyperlink"/>
              </w:rPr>
              <w:t>4.1 三源归属模型</w:t>
            </w:r>
          </w:hyperlink>
        </w:p>
        <w:p>
          <w:pPr>
            <w:pStyle w:val="TOC2"/>
          </w:pPr>
          <w:hyperlink w:anchor="toc_auto_18" w:history="1">
            <w:r>
              <w:rPr>
                <w:rStyle w:val="Hyperlink"/>
              </w:rPr>
              <w:t>4.2 匹配算法（伪代码）</w:t>
            </w:r>
          </w:hyperlink>
        </w:p>
        <w:p>
          <w:pPr>
            <w:pStyle w:val="TOC2"/>
          </w:pPr>
          <w:hyperlink w:anchor="toc_auto_19" w:history="1">
            <w:r>
              <w:rPr>
                <w:rStyle w:val="Hyperlink"/>
              </w:rPr>
              <w:t>4.3 归属校验流程</w:t>
            </w:r>
          </w:hyperlink>
        </w:p>
        <w:p>
          <w:pPr>
            <w:pStyle w:val="TOC2"/>
          </w:pPr>
          <w:hyperlink w:anchor="toc_auto_20" w:history="1">
            <w:r>
              <w:rPr>
                <w:rStyle w:val="Hyperlink"/>
              </w:rPr>
              <w:t>4.4 借调处理</w:t>
            </w:r>
          </w:hyperlink>
        </w:p>
        <w:p>
          <w:pPr>
            <w:pStyle w:val="TOC1"/>
          </w:pPr>
          <w:hyperlink w:anchor="toc_auto_21" w:history="1">
            <w:r>
              <w:rPr>
                <w:rStyle w:val="Hyperlink"/>
              </w:rPr>
              <w:t>五、分摊与确认机制</w:t>
            </w:r>
          </w:hyperlink>
        </w:p>
        <w:p>
          <w:pPr>
            <w:pStyle w:val="TOC2"/>
          </w:pPr>
          <w:hyperlink w:anchor="toc_auto_22" w:history="1">
            <w:r>
              <w:rPr>
                <w:rStyle w:val="Hyperlink"/>
              </w:rPr>
              <w:t>5.1 自动分摊规则</w:t>
            </w:r>
          </w:hyperlink>
        </w:p>
        <w:p>
          <w:pPr>
            <w:pStyle w:val="TOC2"/>
          </w:pPr>
          <w:hyperlink w:anchor="toc_auto_23" w:history="1">
            <w:r>
              <w:rPr>
                <w:rStyle w:val="Hyperlink"/>
              </w:rPr>
              <w:t>5.2 费用字段（6项）</w:t>
            </w:r>
          </w:hyperlink>
        </w:p>
        <w:p>
          <w:pPr>
            <w:pStyle w:val="TOC2"/>
          </w:pPr>
          <w:hyperlink w:anchor="toc_auto_24" w:history="1">
            <w:r>
              <w:rPr>
                <w:rStyle w:val="Hyperlink"/>
              </w:rPr>
              <w:t>5.3 分摊批次状态机</w:t>
            </w:r>
          </w:hyperlink>
        </w:p>
        <w:p>
          <w:pPr>
            <w:pStyle w:val="TOC2"/>
          </w:pPr>
          <w:hyperlink w:anchor="toc_auto_25" w:history="1">
            <w:r>
              <w:rPr>
                <w:rStyle w:val="Hyperlink"/>
              </w:rPr>
              <w:t>5.4 逐级确认流程</w:t>
            </w:r>
          </w:hyperlink>
        </w:p>
        <w:p>
          <w:pPr>
            <w:pStyle w:val="TOC2"/>
          </w:pPr>
          <w:hyperlink w:anchor="toc_auto_26" w:history="1">
            <w:r>
              <w:rPr>
                <w:rStyle w:val="Hyperlink"/>
              </w:rPr>
              <w:t>5.5 撤回确认</w:t>
            </w:r>
          </w:hyperlink>
        </w:p>
        <w:p>
          <w:pPr>
            <w:pStyle w:val="TOC1"/>
          </w:pPr>
          <w:hyperlink w:anchor="toc_auto_27" w:history="1">
            <w:r>
              <w:rPr>
                <w:rStyle w:val="Hyperlink"/>
              </w:rPr>
              <w:t>六、分行账单导出</w:t>
            </w:r>
          </w:hyperlink>
        </w:p>
        <w:p>
          <w:pPr>
            <w:pStyle w:val="TOC2"/>
          </w:pPr>
          <w:hyperlink w:anchor="toc_auto_28" w:history="1">
            <w:r>
              <w:rPr>
                <w:rStyle w:val="Hyperlink"/>
              </w:rPr>
              <w:t>6.1 导出格式（基于银行财务系统模板）</w:t>
            </w:r>
          </w:hyperlink>
        </w:p>
        <w:p>
          <w:pPr>
            <w:pStyle w:val="TOC2"/>
          </w:pPr>
          <w:hyperlink w:anchor="toc_auto_29" w:history="1">
            <w:r>
              <w:rPr>
                <w:rStyle w:val="Hyperlink"/>
              </w:rPr>
              <w:t>6.2 核心规则</w:t>
            </w:r>
          </w:hyperlink>
        </w:p>
        <w:p>
          <w:pPr>
            <w:pStyle w:val="TOC2"/>
          </w:pPr>
          <w:hyperlink w:anchor="toc_auto_30" w:history="1">
            <w:r>
              <w:rPr>
                <w:rStyle w:val="Hyperlink"/>
              </w:rPr>
              <w:t>6.3 生成与导出</w:t>
            </w:r>
          </w:hyperlink>
        </w:p>
        <w:p>
          <w:pPr>
            <w:pStyle w:val="TOC1"/>
          </w:pPr>
          <w:hyperlink w:anchor="toc_auto_31" w:history="1">
            <w:r>
              <w:rPr>
                <w:rStyle w:val="Hyperlink"/>
              </w:rPr>
              <w:t>七、页面结构与交互</w:t>
            </w:r>
          </w:hyperlink>
        </w:p>
        <w:p>
          <w:pPr>
            <w:pStyle w:val="TOC2"/>
          </w:pPr>
          <w:hyperlink w:anchor="toc_auto_32" w:history="1">
            <w:r>
              <w:rPr>
                <w:rStyle w:val="Hyperlink"/>
              </w:rPr>
              <w:t>7.1 菜单分组（5组14菜单）</w:t>
            </w:r>
          </w:hyperlink>
        </w:p>
        <w:p>
          <w:pPr>
            <w:pStyle w:val="TOC1"/>
          </w:pPr>
          <w:hyperlink w:anchor="toc_auto_33" w:history="1">
            <w:r>
              <w:rPr>
                <w:rStyle w:val="Hyperlink"/>
              </w:rPr>
              <w:t>八、数据模型</w:t>
            </w:r>
          </w:hyperlink>
        </w:p>
        <w:p>
          <w:pPr>
            <w:pStyle w:val="TOC2"/>
          </w:pPr>
          <w:hyperlink w:anchor="toc_auto_34" w:history="1">
            <w:r>
              <w:rPr>
                <w:rStyle w:val="Hyperlink"/>
              </w:rPr>
              <w:t>8.1 表总览（11张表）</w:t>
            </w:r>
          </w:hyperlink>
        </w:p>
        <w:p>
          <w:pPr>
            <w:pStyle w:val="TOC2"/>
          </w:pPr>
          <w:hyperlink w:anchor="toc_auto_35" w:history="1">
            <w:r>
              <w:rPr>
                <w:rStyle w:val="Hyperlink"/>
              </w:rPr>
              <w:t>8.2 核心字段说明</w:t>
            </w:r>
          </w:hyperlink>
        </w:p>
        <w:p>
          <w:pPr>
            <w:pStyle w:val="TOC3"/>
          </w:pPr>
          <w:hyperlink w:anchor="toc_auto_36" w:history="1">
            <w:r>
              <w:rPr>
                <w:rStyle w:val="Hyperlink"/>
              </w:rPr>
              <w:t>8.2.1 bill_detail 费用字段</w:t>
            </w:r>
          </w:hyperlink>
        </w:p>
        <w:p>
          <w:pPr>
            <w:pStyle w:val="TOC3"/>
          </w:pPr>
          <w:hyperlink w:anchor="toc_auto_37" w:history="1">
            <w:r>
              <w:rPr>
                <w:rStyle w:val="Hyperlink"/>
              </w:rPr>
              <w:t>8.2.2 bill_detail 归属字段</w:t>
            </w:r>
          </w:hyperlink>
        </w:p>
        <w:p>
          <w:pPr>
            <w:pStyle w:val="TOC1"/>
          </w:pPr>
          <w:hyperlink w:anchor="toc_auto_38" w:history="1">
            <w:r>
              <w:rPr>
                <w:rStyle w:val="Hyperlink"/>
              </w:rPr>
              <w:t>九、用户故事</w:t>
            </w:r>
          </w:hyperlink>
        </w:p>
        <w:p>
          <w:pPr>
            <w:pStyle w:val="TOC2"/>
          </w:pPr>
          <w:hyperlink w:anchor="toc_auto_39" w:history="1">
            <w:r>
              <w:rPr>
                <w:rStyle w:val="Hyperlink"/>
              </w:rPr>
              <w:t>9.1 数据导入（US-001~003）</w:t>
            </w:r>
          </w:hyperlink>
        </w:p>
        <w:p>
          <w:pPr>
            <w:pStyle w:val="TOC3"/>
          </w:pPr>
          <w:hyperlink w:anchor="toc_auto_40" w:history="1">
            <w:r>
              <w:rPr>
                <w:rStyle w:val="Hyperlink"/>
              </w:rPr>
              <w:t>US-001 导入号码归属表</w:t>
            </w:r>
          </w:hyperlink>
        </w:p>
        <w:p>
          <w:pPr>
            <w:pStyle w:val="TOC3"/>
          </w:pPr>
          <w:hyperlink w:anchor="toc_auto_41" w:history="1">
            <w:r>
              <w:rPr>
                <w:rStyle w:val="Hyperlink"/>
              </w:rPr>
              <w:t>US-002 导入通讯录</w:t>
            </w:r>
          </w:hyperlink>
        </w:p>
        <w:p>
          <w:pPr>
            <w:pStyle w:val="TOC3"/>
          </w:pPr>
          <w:hyperlink w:anchor="toc_auto_42" w:history="1">
            <w:r>
              <w:rPr>
                <w:rStyle w:val="Hyperlink"/>
              </w:rPr>
              <w:t>US-003 导入电信账单</w:t>
            </w:r>
          </w:hyperlink>
        </w:p>
        <w:p>
          <w:pPr>
            <w:pStyle w:val="TOC2"/>
          </w:pPr>
          <w:hyperlink w:anchor="toc_auto_43" w:history="1">
            <w:r>
              <w:rPr>
                <w:rStyle w:val="Hyperlink"/>
              </w:rPr>
              <w:t>9.2 归属与分摊（US-004~007）</w:t>
            </w:r>
          </w:hyperlink>
        </w:p>
        <w:p>
          <w:pPr>
            <w:pStyle w:val="TOC3"/>
          </w:pPr>
          <w:hyperlink w:anchor="toc_auto_44" w:history="1">
            <w:r>
              <w:rPr>
                <w:rStyle w:val="Hyperlink"/>
              </w:rPr>
              <w:t>US-004 号码归属校验</w:t>
            </w:r>
          </w:hyperlink>
        </w:p>
        <w:p>
          <w:pPr>
            <w:pStyle w:val="TOC3"/>
          </w:pPr>
          <w:hyperlink w:anchor="toc_auto_45" w:history="1">
            <w:r>
              <w:rPr>
                <w:rStyle w:val="Hyperlink"/>
              </w:rPr>
              <w:t>US-005 自动分摊</w:t>
            </w:r>
          </w:hyperlink>
        </w:p>
        <w:p>
          <w:pPr>
            <w:pStyle w:val="TOC3"/>
          </w:pPr>
          <w:hyperlink w:anchor="toc_auto_46" w:history="1">
            <w:r>
              <w:rPr>
                <w:rStyle w:val="Hyperlink"/>
              </w:rPr>
              <w:t>US-006 借调调整</w:t>
            </w:r>
          </w:hyperlink>
        </w:p>
        <w:p>
          <w:pPr>
            <w:pStyle w:val="TOC3"/>
          </w:pPr>
          <w:hyperlink w:anchor="toc_auto_47" w:history="1">
            <w:r>
              <w:rPr>
                <w:rStyle w:val="Hyperlink"/>
              </w:rPr>
              <w:t>US-007 逐级确认</w:t>
            </w:r>
          </w:hyperlink>
        </w:p>
        <w:p>
          <w:pPr>
            <w:pStyle w:val="TOC2"/>
          </w:pPr>
          <w:hyperlink w:anchor="toc_auto_48" w:history="1">
            <w:r>
              <w:rPr>
                <w:rStyle w:val="Hyperlink"/>
              </w:rPr>
              <w:t>9.3 导出与报表（US-008~010）</w:t>
            </w:r>
          </w:hyperlink>
        </w:p>
        <w:p>
          <w:pPr>
            <w:pStyle w:val="TOC3"/>
          </w:pPr>
          <w:hyperlink w:anchor="toc_auto_49" w:history="1">
            <w:r>
              <w:rPr>
                <w:rStyle w:val="Hyperlink"/>
              </w:rPr>
              <w:t>US-008 导出分行账单Excel</w:t>
            </w:r>
          </w:hyperlink>
        </w:p>
        <w:p>
          <w:pPr>
            <w:pStyle w:val="TOC3"/>
          </w:pPr>
          <w:hyperlink w:anchor="toc_auto_50" w:history="1">
            <w:r>
              <w:rPr>
                <w:rStyle w:val="Hyperlink"/>
              </w:rPr>
              <w:t>US-009 费用汇总报表</w:t>
            </w:r>
          </w:hyperlink>
        </w:p>
        <w:p>
          <w:pPr>
            <w:pStyle w:val="TOC3"/>
          </w:pPr>
          <w:hyperlink w:anchor="toc_auto_51" w:history="1">
            <w:r>
              <w:rPr>
                <w:rStyle w:val="Hyperlink"/>
              </w:rPr>
              <w:t>US-010 异常检测</w:t>
            </w:r>
          </w:hyperlink>
        </w:p>
        <w:p>
          <w:pPr>
            <w:pStyle w:val="TOC1"/>
          </w:pPr>
          <w:hyperlink w:anchor="toc_auto_52" w:history="1">
            <w:r>
              <w:rPr>
                <w:rStyle w:val="Hyperlink"/>
              </w:rPr>
              <w:t>十、API设计</w:t>
            </w:r>
          </w:hyperlink>
        </w:p>
        <w:p>
          <w:pPr>
            <w:pStyle w:val="TOC2"/>
          </w:pPr>
          <w:hyperlink w:anchor="toc_auto_53" w:history="1">
            <w:r>
              <w:rPr>
                <w:rStyle w:val="Hyperlink"/>
              </w:rPr>
              <w:t>10.1 数据导入API</w:t>
            </w:r>
          </w:hyperlink>
        </w:p>
        <w:p>
          <w:pPr>
            <w:pStyle w:val="TOC2"/>
          </w:pPr>
          <w:hyperlink w:anchor="toc_auto_54" w:history="1">
            <w:r>
              <w:rPr>
                <w:rStyle w:val="Hyperlink"/>
              </w:rPr>
              <w:t>10.2 归属与分摊API</w:t>
            </w:r>
          </w:hyperlink>
        </w:p>
        <w:p>
          <w:pPr>
            <w:pStyle w:val="TOC2"/>
          </w:pPr>
          <w:hyperlink w:anchor="toc_auto_55" w:history="1">
            <w:r>
              <w:rPr>
                <w:rStyle w:val="Hyperlink"/>
              </w:rPr>
              <w:t>10.3 导出与报表API</w:t>
            </w:r>
          </w:hyperlink>
        </w:p>
        <w:p>
          <w:pPr>
            <w:pStyle w:val="TOC2"/>
          </w:pPr>
          <w:hyperlink w:anchor="toc_auto_56" w:history="1">
            <w:r>
              <w:rPr>
                <w:rStyle w:val="Hyperlink"/>
              </w:rPr>
              <w:t>10.4 组织与系统API</w:t>
            </w:r>
          </w:hyperlink>
        </w:p>
        <w:p>
          <w:pPr>
            <w:pStyle w:val="TOC1"/>
          </w:pPr>
          <w:hyperlink w:anchor="toc_auto_57" w:history="1">
            <w:r>
              <w:rPr>
                <w:rStyle w:val="Hyperlink"/>
              </w:rPr>
              <w:t>十一、非功能需求</w:t>
            </w:r>
          </w:hyperlink>
        </w:p>
        <w:p>
          <w:pPr>
            <w:pStyle w:val="TOC2"/>
          </w:pPr>
          <w:hyperlink w:anchor="toc_auto_58" w:history="1">
            <w:r>
              <w:rPr>
                <w:rStyle w:val="Hyperlink"/>
              </w:rPr>
              <w:t>11.1 性能</w:t>
            </w:r>
          </w:hyperlink>
        </w:p>
        <w:p>
          <w:pPr>
            <w:pStyle w:val="TOC2"/>
          </w:pPr>
          <w:hyperlink w:anchor="toc_auto_59" w:history="1">
            <w:r>
              <w:rPr>
                <w:rStyle w:val="Hyperlink"/>
              </w:rPr>
              <w:t>11.2 可靠性</w:t>
            </w:r>
          </w:hyperlink>
        </w:p>
        <w:p>
          <w:pPr>
            <w:pStyle w:val="TOC2"/>
          </w:pPr>
          <w:hyperlink w:anchor="toc_auto_60" w:history="1">
            <w:r>
              <w:rPr>
                <w:rStyle w:val="Hyperlink"/>
              </w:rPr>
              <w:t>11.3 安全性</w:t>
            </w:r>
          </w:hyperlink>
        </w:p>
        <w:p>
          <w:pPr>
            <w:pStyle w:val="TOC2"/>
          </w:pPr>
          <w:hyperlink w:anchor="toc_auto_61" w:history="1">
            <w:r>
              <w:rPr>
                <w:rStyle w:val="Hyperlink"/>
              </w:rPr>
              <w:t>11.4 可扩展性</w:t>
            </w:r>
          </w:hyperlink>
        </w:p>
        <w:p>
          <w:pPr>
            <w:pStyle w:val="TOC2"/>
          </w:pPr>
          <w:hyperlink w:anchor="toc_auto_62" w:history="1">
            <w:r>
              <w:rPr>
                <w:rStyle w:val="Hyperlink"/>
              </w:rPr>
              <w:t>11.5 兼容性</w:t>
            </w:r>
          </w:hyperlink>
        </w:p>
        <w:p>
          <w:pPr>
            <w:pStyle w:val="TOC1"/>
          </w:pPr>
          <w:hyperlink w:anchor="toc_auto_63" w:history="1">
            <w:r>
              <w:rPr>
                <w:rStyle w:val="Hyperlink"/>
              </w:rPr>
              <w:t>十二、里程碑与风险</w:t>
            </w:r>
          </w:hyperlink>
        </w:p>
        <w:p>
          <w:pPr>
            <w:pStyle w:val="TOC2"/>
          </w:pPr>
          <w:hyperlink w:anchor="toc_auto_64" w:history="1">
            <w:r>
              <w:rPr>
                <w:rStyle w:val="Hyperlink"/>
              </w:rPr>
              <w:t>12.1 四阶段开发计划（10周）</w:t>
            </w:r>
          </w:hyperlink>
        </w:p>
        <w:p>
          <w:pPr>
            <w:pStyle w:val="TOC2"/>
          </w:pPr>
          <w:hyperlink w:anchor="toc_auto_65" w:history="1">
            <w:r>
              <w:rPr>
                <w:rStyle w:val="Hyperlink"/>
              </w:rPr>
              <w:t>12.2 风险与应对</w:t>
            </w:r>
          </w:hyperlink>
        </w:p>
        <w:p>
          <w:pPr>
            <w:pStyle w:val="TOC1"/>
          </w:pPr>
          <w:hyperlink w:anchor="toc_auto_66" w:history="1">
            <w:r>
              <w:rPr>
                <w:rStyle w:val="Hyperlink"/>
              </w:rPr>
              <w:t>附录</w:t>
            </w:r>
          </w:hyperlink>
        </w:p>
        <w:p>
          <w:pPr>
            <w:pStyle w:val="TOC2"/>
          </w:pPr>
          <w:hyperlink w:anchor="toc_auto_67" w:history="1">
            <w:r>
              <w:rPr>
                <w:rStyle w:val="Hyperlink"/>
              </w:rPr>
              <w:t>A. 状态码汇总</w:t>
            </w:r>
          </w:hyperlink>
        </w:p>
        <w:p>
          <w:pPr>
            <w:pStyle w:val="TOC2"/>
          </w:pPr>
          <w:hyperlink w:anchor="toc_auto_68" w:history="1">
            <w:r>
              <w:rPr>
                <w:rStyle w:val="Hyperlink"/>
              </w:rPr>
              <w:t>B. 文档版本</w:t>
            </w:r>
          </w:hyperlink>
        </w:p>
        <w:p>
          <w:pPr>
            <w:pStyle w:val="TOC2"/>
          </w:pPr>
          <w:hyperlink w:anchor="toc_auto_69" w:history="1">
            <w:r>
              <w:rPr>
                <w:rStyle w:val="Hyperlink"/>
              </w:rPr>
              <w:t>C. 参考文档</w:t>
            </w:r>
          </w:hyperlink>
        </w:p>
      </w:sdtContent>
    </w:sdt>
    <w:p>
      <w:r>
        <w:br w:type="page"/>
      </w:r>
    </w:p>
    <w:p>
      <w:pPr>
        <w:pStyle w:val="Heading1"/>
      </w:pPr>
      <w:bookmarkStart w:id="1" w:name="toc_auto_1"/>
      <w:r>
        <w:t xml:space="preserve">一、项目概述</w:t>
      </w:r>
      <w:bookmarkEnd w:id="1"/>
    </w:p>
    <w:p>
      <w:pPr>
        <w:pStyle w:val="Heading2"/>
      </w:pPr>
      <w:bookmarkStart w:id="2" w:name="toc_auto_2"/>
      <w:r>
        <w:t xml:space="preserve">1.1 项目背景</w:t>
      </w:r>
      <w:bookmarkEnd w:id="2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银行内部使用中国电信提供的电话服务，每月产生大量通讯费用（基础通话费、录音费、彩铃费、闪信费）。这些费用需要按号码归属逐级分摊到集团→一级分行→二级分行→部门，供各级财务入账。当前依赖人工Excel操作，效率低、易出错、难以追溯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本系统旨在实现：导入电信账单→自动匹配号码归属→按组织层级分摊→逐级确认→导出分行账单的全流程自动化。</w:t>
      </w:r>
    </w:p>
    <w:p>
      <w:pPr>
        <w:pStyle w:val="Heading2"/>
      </w:pPr>
      <w:bookmarkStart w:id="3" w:name="toc_auto_3"/>
      <w:r>
        <w:t xml:space="preserve">1.2 5W1H分析</w:t>
      </w:r>
      <w:bookmarkEnd w:id="3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人工分摊效率低、错误率高、追溯困难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基于电信账单的多级组织费用分摊与确认系统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Who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4类角色：集团管理员、分行管理员、部门管理员、财务人员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When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每月账单周期T+5日前完成导入分摊，T+15日前完成确认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Where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银行内部Web系统，独立部署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How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导入账单→匹配归属→自动分摊→逐级确认→导出Excel</w:t>
            </w:r>
          </w:p>
        </w:tc>
      </w:tr>
    </w:tbl>
    <w:p>
      <w:pPr>
        <w:pStyle w:val="Heading2"/>
      </w:pPr>
      <w:bookmarkStart w:id="4" w:name="toc_auto_4"/>
      <w:r>
        <w:t xml:space="preserve">1.3 核心业务流</w:t>
      </w:r>
      <w:bookmarkEnd w:id="4"/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月度操作流水线：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号码归属表导入（首次/变更时）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通讯录导入（每月/变更时）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归属校验（自动匹配+P0-P3优先级）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借调+例外处理（人工调整）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电信账单导入（每月）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自动分摊（按号码归属到组织）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逐级确认（集团→一级分行→二级分行→部门）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分行账单导出（Excel）</w:t>
      </w:r>
    </w:p>
    <w:p>
      <w:pPr>
        <w:pStyle w:val="Heading2"/>
      </w:pPr>
      <w:bookmarkStart w:id="5" w:name="toc_auto_5"/>
      <w:r>
        <w:t xml:space="preserve">1.4 系统边界</w:t>
      </w:r>
      <w:bookmarkEnd w:id="5"/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运营商：仅中国电信（单一运营商）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费用类型：基础通话费、录音费、彩铃费、闪信费（4类）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无公共费用分摊：所有费用均可归属到具体号码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无审批流程：逐级确认即可，不需要审批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无财务系统API对接：通过Excel导出实现</w:t>
      </w:r>
    </w:p>
    <w:p>
      <w:r>
        <w:br w:type="page"/>
      </w:r>
    </w:p>
    <w:p>
      <w:pPr>
        <w:pStyle w:val="Heading1"/>
      </w:pPr>
      <w:bookmarkStart w:id="6" w:name="toc_auto_6"/>
      <w:r>
        <w:t xml:space="preserve">二、角色与权限模型</w:t>
      </w:r>
      <w:bookmarkEnd w:id="6"/>
    </w:p>
    <w:p>
      <w:pPr>
        <w:pStyle w:val="Heading2"/>
      </w:pPr>
      <w:bookmarkStart w:id="7" w:name="toc_auto_7"/>
      <w:r>
        <w:t xml:space="preserve">2.1 角色定义</w:t>
      </w:r>
      <w:bookmarkEnd w:id="7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组织范围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导入账单/归属表/通讯录，查看全部分摊结果，确认集团级分摊，导出全集团账单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分行管理员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一级/二级分行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确认本分行分摊结果，处理借调调整，导出本分行账单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部门管理员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确认本部门费用，查看明细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授权范围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查看分摊结果，导出Excel，查看汇总报表</w:t>
            </w:r>
          </w:p>
        </w:tc>
      </w:tr>
    </w:tbl>
    <w:p>
      <w:pPr>
        <w:pStyle w:val="Heading2"/>
      </w:pPr>
      <w:bookmarkStart w:id="8" w:name="toc_auto_8"/>
      <w:r>
        <w:t xml:space="preserve">2.2 权限矩阵</w:t>
      </w:r>
      <w:bookmarkEnd w:id="8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84"/>
        <w:gridCol w:w="1584"/>
        <w:gridCol w:w="1584"/>
        <w:gridCol w:w="160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分行管理员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部门管理员</w:t>
            </w:r>
          </w:p>
        </w:tc>
        <w:tc>
          <w:tcPr>
            <w:tcW w:type="dxa" w:w="1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财务人员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导入账单/归属表/通讯录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1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确认分摊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撤回确认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1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借调调整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1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导出Excel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</w:t>
            </w:r>
          </w:p>
        </w:tc>
        <w:tc>
          <w:tcPr>
            <w:tcW w:type="dxa" w:w="1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查看分摊结果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  <w:tc>
          <w:tcPr>
            <w:tcW w:type="dxa" w:w="1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</w:pPr>
      <w:bookmarkStart w:id="9" w:name="toc_auto_9"/>
      <w:r>
        <w:t xml:space="preserve">三、数据源与导入</w:t>
      </w:r>
      <w:bookmarkEnd w:id="9"/>
    </w:p>
    <w:p>
      <w:pPr>
        <w:pStyle w:val="Heading2"/>
      </w:pPr>
      <w:bookmarkStart w:id="10" w:name="toc_auto_10"/>
      <w:r>
        <w:t xml:space="preserve">3.1 三份源数据文件</w:t>
      </w:r>
      <w:bookmarkEnd w:id="10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号码归属.xlsx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外线号码+描述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分行级归属+例外标记+通讯录缺失时的兜底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通讯录.xlsx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部门全路径+用户名+分机+外线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主归属源：号码→员工→部门（最细粒度）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电信账单.xlsx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 Sheets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按号码费用/录音/彩铃/闪信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费用数据源，按Sheet分别解析</w:t>
            </w:r>
          </w:p>
        </w:tc>
      </w:tr>
    </w:tbl>
    <w:p>
      <w:pPr>
        <w:pStyle w:val="Heading2"/>
      </w:pPr>
      <w:bookmarkStart w:id="11" w:name="toc_auto_11"/>
      <w:r>
        <w:t xml:space="preserve">3.2 号码归属表</w:t>
      </w:r>
      <w:bookmarkEnd w:id="11"/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格式：2列（外线号码 + 描述）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描述字段用"/"分隔组织层级，层数不固定（有些只有1层如"北京分行"，有些有2-3层如"北京分行/营业部/信贷中心"）。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例外标记：描述以"[例外]"前缀开头的号码，优先级最高（P0），不可被其他规则覆盖。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示例：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01056089999 → 北京分行/营业部（归属北京分行营业部）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01088881234 → [例外]总行专用（例外号码，P0最高优先级）</w:t>
      </w:r>
    </w:p>
    <w:p>
      <w:pPr>
        <w:pStyle w:val="Heading2"/>
      </w:pPr>
      <w:bookmarkStart w:id="12" w:name="toc_auto_12"/>
      <w:r>
        <w:t xml:space="preserve">3.3 通讯录</w:t>
      </w:r>
      <w:bookmarkEnd w:id="12"/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格式：4列（部门全路径 + 用户名称 + 分机号码 + 外线号码）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部门全路径用"-"分隔，层数不固定。用户名称为纯数字（等于员工ID）。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借调检测：部门全路径中包含借调/挂职/交流/代管/外派/轮岗/驻点等关键词时，自动标记为借调。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示例：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总行-信息科技部-软件开发中心-张三-367702-01056089999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北京分行-运营管理部(借调)-李四-367703-01056080001</w:t>
      </w:r>
    </w:p>
    <w:p>
      <w:pPr>
        <w:pStyle w:val="Heading2"/>
      </w:pPr>
      <w:bookmarkStart w:id="13" w:name="toc_auto_13"/>
      <w:r>
        <w:t xml:space="preserve">3.4 电信账单</w:t>
      </w:r>
      <w:bookmarkEnd w:id="13"/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4个Sheet结构：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号码列位置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费用字段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按号码费用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平台使用费+码号月租费+国内外呼时长+转接外呼时长+国内费用+国际时长+国际费用+费用小计+备注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分机号+号码+录音目录+费用小计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分机号+号码+费用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号码+月份+下发量+金额（季度结算）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Sheet名动态匹配：名称含月前缀（如"2026年3月按号码费用"），通过sheetNamePattern正则匹配。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闪信季度结算：所有月份的闪信数据累计到当前月份总额，按号码归属分摊。</w:t>
      </w:r>
    </w:p>
    <w:p>
      <w:pPr>
        <w:pStyle w:val="Heading2"/>
      </w:pPr>
      <w:bookmarkStart w:id="14" w:name="toc_auto_14"/>
      <w:r>
        <w:t xml:space="preserve">3.5 导入顺序（关键依赖）</w:t>
      </w:r>
      <w:bookmarkEnd w:id="14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号码归属表 → 通讯录 → 归属校验 → 借调+例外处理 → 账单导入 → 自动分摊 → 逐级确认 → 导出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号码归属表必须先于通讯录导入，因为归属校验需要同时参考两个源。</w:t>
      </w:r>
    </w:p>
    <w:p>
      <w:pPr>
        <w:pStyle w:val="Heading2"/>
      </w:pPr>
      <w:bookmarkStart w:id="15" w:name="toc_auto_15"/>
      <w:r>
        <w:t xml:space="preserve">3.6 账单模板配置（bill_template表）</w:t>
      </w:r>
      <w:bookmarkEnd w:id="15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采用JSON配置驱动解析，支持不同月份账单格式微调：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sheetNamePattern：正则表达式匹配Sheet名（如/按号码费用$/）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phoneColumn：号码所在列（A或B，不同Sheet位置不同）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feeMappings：费用列到字段的映射（如{F: 'call_fee', H: 'international_fee'}）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isQuarterly：是否季度结算（闪信=true，其他=false）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skipRows：跳过行数（表头行）</w:t>
      </w:r>
    </w:p>
    <w:p>
      <w:r>
        <w:br w:type="page"/>
      </w:r>
    </w:p>
    <w:p>
      <w:pPr>
        <w:pStyle w:val="Heading1"/>
      </w:pPr>
      <w:bookmarkStart w:id="16" w:name="toc_auto_16"/>
      <w:r>
        <w:t xml:space="preserve">四、号码归属优先级与匹配</w:t>
      </w:r>
      <w:bookmarkEnd w:id="16"/>
    </w:p>
    <w:p>
      <w:pPr>
        <w:pStyle w:val="Heading2"/>
      </w:pPr>
      <w:bookmarkStart w:id="17" w:name="toc_auto_17"/>
      <w:r>
        <w:t xml:space="preserve">4.1 三源归属模型</w:t>
      </w:r>
      <w:bookmarkEnd w:id="17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号码归属由三个数据源共同决定，按优先级从高到低：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000"/>
        <w:gridCol w:w="4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标记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号码归属表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is_exception=1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例外号码，最高优先级，不可被任何规则覆盖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20"/>
                <w:szCs w:val="20"/>
              </w:rPr>
              <w:t xml:space="preserve">P1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通讯录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部门全路径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主归属源，最细粒度（到员工/部门）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号码归属表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描述字段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兜底归属，通讯录缺失时使用（仅到分行级）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999999"/>
                <w:sz w:val="20"/>
                <w:szCs w:val="20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UNASSIGNED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两个源均无该号码，待人工分配</w:t>
            </w:r>
          </w:p>
        </w:tc>
      </w:tr>
    </w:tbl>
    <w:p>
      <w:pPr>
        <w:pStyle w:val="Heading2"/>
      </w:pPr>
      <w:bookmarkStart w:id="18" w:name="toc_auto_18"/>
      <w:r>
        <w:t xml:space="preserve">4.2 匹配算法（伪代码）</w:t>
      </w:r>
      <w:bookmarkEnd w:id="18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function resolveOwnership(phoneNumber):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if 号码归属表.is_exception(phoneNumber): return {source:'P0', org:归属表.org, is_exception:true}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if 通讯录.has(phoneNumber): return {source:'P1', org:通讯录.department, is_exception:false}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if 号码归属表.has(phoneNumber): return {source:'P2', org:归属表.branch, is_exception:false}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return {source:'P3', org:NULL, is_exception:false}  // 未归属</w:t>
      </w:r>
    </w:p>
    <w:p>
      <w:pPr>
        <w:pStyle w:val="Heading2"/>
      </w:pPr>
      <w:bookmarkStart w:id="19" w:name="toc_auto_19"/>
      <w:r>
        <w:t xml:space="preserve">4.3 归属校验流程</w:t>
      </w:r>
      <w:bookmarkEnd w:id="19"/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导入号码归属表和通讯录后，对归属表中的每个号码执行匹配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输出校验报告：匹配成功数、P0例外数、P1通讯录匹配数、P2兜底数、P3未归属数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P3未归属号码标记为待分配，需人工处理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校验结果存入bill_detail.ownership_source字段（P0/P1/P2/P3）</w:t>
      </w:r>
    </w:p>
    <w:p>
      <w:pPr>
        <w:pStyle w:val="Heading2"/>
      </w:pPr>
      <w:bookmarkStart w:id="20" w:name="toc_auto_20"/>
      <w:r>
        <w:t xml:space="preserve">4.4 借调处理</w:t>
      </w:r>
      <w:bookmarkEnd w:id="20"/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默认规则：费用归属到编制部门（从通讯录部门全路径解析）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自动检测：部门全路径包含借调/挂职/交流/代管/外派/轮岗/驻点关键词→标记is_seconded=true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人工调整：管理员可将借调人员费用转移到实际工作部门，调整记录存入allocation_adjustment表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调整时机：归属校验完成后、账单导入前。调整后该号码费用将归属到目标部门。</w:t>
      </w:r>
    </w:p>
    <w:p>
      <w:r>
        <w:br w:type="page"/>
      </w:r>
    </w:p>
    <w:p>
      <w:pPr>
        <w:pStyle w:val="Heading1"/>
      </w:pPr>
      <w:bookmarkStart w:id="21" w:name="toc_auto_21"/>
      <w:r>
        <w:t xml:space="preserve">五、分摊与确认机制</w:t>
      </w:r>
      <w:bookmarkEnd w:id="21"/>
    </w:p>
    <w:p>
      <w:pPr>
        <w:pStyle w:val="Heading2"/>
      </w:pPr>
      <w:bookmarkStart w:id="22" w:name="toc_auto_22"/>
      <w:r>
        <w:t xml:space="preserve">5.1 自动分摊规则</w:t>
      </w:r>
      <w:bookmarkEnd w:id="22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分摊逻辑：按号码归属到组织。每个号码的费用归入其所属组织，并沿组织树向上汇总。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每个号码→归属到末级组织（部门）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部门费用 = 该部门所有号码费用之和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分行费用 = 该分行下属所有部门费用之和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集团费用 = 所有分行费用之和 = 总账单金额（校验条件）</w:t>
      </w:r>
    </w:p>
    <w:p>
      <w:pPr>
        <w:pStyle w:val="Heading2"/>
      </w:pPr>
      <w:bookmarkStart w:id="23" w:name="toc_auto_23"/>
      <w:r>
        <w:t xml:space="preserve">5.2 费用字段（6项）</w:t>
      </w:r>
      <w:bookmarkEnd w:id="23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monthly_rent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平台使用费+码号月租费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月租类固定费用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call_fee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国内费用+国际费用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通话类变动费用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recording_fee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录音Sheet费用小计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录音增值业务费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crbt_fee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彩铃Sheet费用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彩铃增值业务费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flash_msg_fee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闪信Sheet金额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闪信增值业务费（季度结算）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total_fee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以上5项之和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费用合计</w:t>
            </w:r>
          </w:p>
        </w:tc>
      </w:tr>
    </w:tbl>
    <w:p>
      <w:pPr>
        <w:pStyle w:val="Heading2"/>
      </w:pPr>
      <w:bookmarkStart w:id="24" w:name="toc_auto_24"/>
      <w:r>
        <w:t xml:space="preserve">5.3 分摊批次状态机</w:t>
      </w:r>
      <w:bookmarkEnd w:id="2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DRAFT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草稿：账单已导入，分摊数据待校验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ALLOCATED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已分摊：分摊完成，待逐级确认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CONFIRMED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已确认：所有层级确认完成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LOCKED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已锁定：已进入财务入账流程，不可撤回</w:t>
            </w:r>
          </w:p>
        </w:tc>
      </w:tr>
    </w:tbl>
    <w:p>
      <w:pPr>
        <w:pStyle w:val="Heading2"/>
      </w:pPr>
      <w:bookmarkStart w:id="25" w:name="toc_auto_25"/>
      <w:r>
        <w:t xml:space="preserve">5.4 逐级确认流程</w:t>
      </w:r>
      <w:bookmarkEnd w:id="25"/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集团管理员确认→系统自动为各一级分行生成分行账单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一级分行管理员确认→系统自动为各二级分行生成子账单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二级分行管理员确认→部门费用最终确认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所有层级确认完毕→批次状态变为CONFIRMED</w:t>
      </w:r>
    </w:p>
    <w:p>
      <w:pPr>
        <w:pStyle w:val="Heading2"/>
      </w:pPr>
      <w:bookmarkStart w:id="26" w:name="toc_auto_26"/>
      <w:r>
        <w:t xml:space="preserve">5.5 撤回确认</w:t>
      </w:r>
      <w:bookmarkEnd w:id="26"/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已确认的层级可以撤回（需填写撤回原因）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撤回会级联影响所有下级（如一级分行撤回→该分行下所有二级分行和部门也撤回）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已锁定（LOCKED）状态不可撤回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撤回操作记录到审计日志</w:t>
      </w:r>
    </w:p>
    <w:p>
      <w:r>
        <w:br w:type="page"/>
      </w:r>
    </w:p>
    <w:p>
      <w:pPr>
        <w:pStyle w:val="Heading1"/>
      </w:pPr>
      <w:bookmarkStart w:id="27" w:name="toc_auto_27"/>
      <w:r>
        <w:t xml:space="preserve">六、分行账单导出</w:t>
      </w:r>
      <w:bookmarkEnd w:id="27"/>
    </w:p>
    <w:p>
      <w:pPr>
        <w:pStyle w:val="Heading2"/>
      </w:pPr>
      <w:bookmarkStart w:id="28" w:name="toc_auto_28"/>
      <w:r>
        <w:t xml:space="preserve">6.1 导出格式（基于银行财务系统模板）</w:t>
      </w:r>
      <w:bookmarkEnd w:id="28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分行分摊结果导出为两个独立Excel文件，严格匹配银行财务系统导入模板：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文件1：分行费用分摊汇总.xlsx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成本中心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121006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末级部门成本中心代码（数值型）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费用小计(单位：元)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11.615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该成本中心全部费用合计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文件2：分行费用分摊明细.xlsx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号码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085199911027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电信外线号码（字符串型）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成本中心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121006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号码归属的成本中心代码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费用小计(单位：元)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11.62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该号码全部费用合计</w:t>
            </w:r>
          </w:p>
        </w:tc>
      </w:tr>
    </w:tbl>
    <w:p>
      <w:pPr>
        <w:pStyle w:val="Heading2"/>
      </w:pPr>
      <w:bookmarkStart w:id="29" w:name="toc_auto_29"/>
      <w:r>
        <w:t xml:space="preserve">6.2 核心规则</w:t>
      </w:r>
      <w:bookmarkEnd w:id="29"/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成本中心 = sys_organization.code（末级部门代码）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费用小计 = total_fee（6项费用之和：月租+通话+录音+彩铃+闪信）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汇总：按成本中心聚合，每个成本中心1行，金额保留3位小数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明细：按号码列示，每个号码1行，金额保留2位小数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不含P3未归属号码的费用</w:t>
      </w:r>
    </w:p>
    <w:p>
      <w:pPr>
        <w:pStyle w:val="Heading2"/>
      </w:pPr>
      <w:bookmarkStart w:id="30" w:name="toc_auto_30"/>
      <w:r>
        <w:t xml:space="preserve">6.3 生成与导出</w:t>
      </w:r>
      <w:bookmarkEnd w:id="30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集团确认后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自动为每个一级分行生成汇总+明细数据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手动导出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管理员选择账期+分行范围，下载2个Excel文件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调整后重生成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借调/分摊调整后自动更新汇总+明细数据</w:t>
            </w:r>
          </w:p>
        </w:tc>
      </w:tr>
    </w:tbl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文件命名：分行费用分摊汇总/明细_YYYYMM_分行名_YYYYMMDDHHmmss.xlsx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数据完整性校验：汇总SUM = 明细SUM = 总账单金额；汇总行数=不重复成本中心数；明细行数=已归属号码数。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费用构成拆分（月租/通话/录音/彩铃/闪信）在系统页面展示，导出文件仅含合计——财务系统只需成本中心+金额。</w:t>
      </w:r>
    </w:p>
    <w:p>
      <w:r>
        <w:br w:type="page"/>
      </w:r>
    </w:p>
    <w:p>
      <w:pPr>
        <w:pStyle w:val="Heading1"/>
      </w:pPr>
      <w:bookmarkStart w:id="31" w:name="toc_auto_31"/>
      <w:r>
        <w:t xml:space="preserve">七、页面结构与交互</w:t>
      </w:r>
      <w:bookmarkEnd w:id="31"/>
    </w:p>
    <w:p>
      <w:pPr>
        <w:pStyle w:val="Heading2"/>
      </w:pPr>
      <w:bookmarkStart w:id="32" w:name="toc_auto_32"/>
      <w:r>
        <w:t xml:space="preserve">7.1 菜单分组（5组14菜单）</w:t>
      </w:r>
      <w:bookmarkEnd w:id="32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菜单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数据导入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导入/查看号码归属表，例外标记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导入/查看通讯录，借调检测与处理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账单导入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上传电信账单，模板配置，解析预览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分摊管理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归属校验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校验号码归属，查看P0-P3分布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分摊结果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查看/确认/撤回分摊结果，借调调整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分摊调整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调整分摊金额/归属，审计记录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账单导出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分行账单导出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选择账期+分行，导出Excel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导出记录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查看历史导出记录和文件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报表分析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费用汇总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按组织/时间维度的费用汇总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趋势分析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多月费用趋势对比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异常检测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费用异常波动预警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组织管理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组织架构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树形展示集团→分行→部门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系统用户和角色管理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系统管理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账单模板、借调关键词等配置</w:t>
            </w:r>
          </w:p>
        </w:tc>
      </w:tr>
    </w:tbl>
    <w:p>
      <w:r>
        <w:br w:type="page"/>
      </w:r>
    </w:p>
    <w:p>
      <w:pPr>
        <w:pStyle w:val="Heading1"/>
      </w:pPr>
      <w:bookmarkStart w:id="33" w:name="toc_auto_33"/>
      <w:r>
        <w:t xml:space="preserve">八、数据模型</w:t>
      </w:r>
      <w:bookmarkEnd w:id="33"/>
    </w:p>
    <w:p>
      <w:pPr>
        <w:pStyle w:val="Heading2"/>
      </w:pPr>
      <w:bookmarkStart w:id="34" w:name="toc_auto_34"/>
      <w:r>
        <w:t xml:space="preserve">8.1 表总览（11张表）</w:t>
      </w:r>
      <w:bookmarkEnd w:id="3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sys_organization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组织架构树（集团→一级分行→二级分行→部门），type:1集团/2一级分行/3二级分行/4部门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sys_user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系统用户，关联组织和角色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phone_ownership_batch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号码归属导入批次，记录导入时间和校验结果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phone_ownership_entry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号码归属明细，含phone_number/description/is_exception/org_id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directory_batch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通讯录导入批次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directory_entry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通讯录明细，含dept_path/username/extension/phone/is_seconded/actual_org_id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bill_batch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账单导入批次，含billing_month/status/template_id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bill_detail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账单明细，含号码+6项费用+ownership_source+is_exception+is_seconded+org_id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allocation_result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分摊结果，按组织汇总6项费用+确认状态+确认时间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allocation_adjustment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分摊调整记录，含调整前后值+原因+操作人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bill_template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账单解析模板，JSON配置（sheetNamePattern/feeMappings/isQuarterly等）</w:t>
            </w:r>
          </w:p>
        </w:tc>
      </w:tr>
    </w:tbl>
    <w:p>
      <w:pPr>
        <w:pStyle w:val="Heading2"/>
      </w:pPr>
      <w:bookmarkStart w:id="35" w:name="toc_auto_35"/>
      <w:r>
        <w:t xml:space="preserve">8.2 核心字段说明</w:t>
      </w:r>
      <w:bookmarkEnd w:id="35"/>
    </w:p>
    <w:p>
      <w:pPr>
        <w:pStyle w:val="Heading3"/>
      </w:pPr>
      <w:bookmarkStart w:id="36" w:name="toc_auto_36"/>
      <w:r>
        <w:t xml:space="preserve">8.2.1 bill_detail 费用字段</w:t>
      </w:r>
      <w:bookmarkEnd w:id="36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来源Sheet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monthly_rent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按号码费用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平台使用费+码号月租费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call_fee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按号码费用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国内费用+国际费用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recording_fee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录音费用小计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crbt_fee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彩铃费用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flash_msg_fee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闪信金额（季度）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total_fee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计算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以上5项之和</w:t>
            </w:r>
          </w:p>
        </w:tc>
      </w:tr>
    </w:tbl>
    <w:p>
      <w:pPr>
        <w:pStyle w:val="Heading3"/>
      </w:pPr>
      <w:bookmarkStart w:id="37" w:name="toc_auto_37"/>
      <w:r>
        <w:t xml:space="preserve">8.2.2 bill_detail 归属字段</w:t>
      </w:r>
      <w:bookmarkEnd w:id="37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ownership_source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VARCHAR(2)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归属来源：P0/P1/P2/P3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是否例外号码（0否/1是）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is_seconded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TINYINT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是否借调（0否/1是）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归属组织ID（FK→sys_organization）</w:t>
            </w:r>
          </w:p>
        </w:tc>
      </w:tr>
    </w:tbl>
    <w:p>
      <w:r>
        <w:br w:type="page"/>
      </w:r>
    </w:p>
    <w:p>
      <w:pPr>
        <w:pStyle w:val="Heading1"/>
      </w:pPr>
      <w:bookmarkStart w:id="38" w:name="toc_auto_38"/>
      <w:r>
        <w:t xml:space="preserve">九、用户故事</w:t>
      </w:r>
      <w:bookmarkEnd w:id="38"/>
    </w:p>
    <w:p>
      <w:pPr>
        <w:pStyle w:val="Heading2"/>
      </w:pPr>
      <w:bookmarkStart w:id="39" w:name="toc_auto_39"/>
      <w:r>
        <w:t xml:space="preserve">9.1 数据导入（US-001~003）</w:t>
      </w:r>
      <w:bookmarkEnd w:id="39"/>
    </w:p>
    <w:p>
      <w:pPr>
        <w:pStyle w:val="Heading3"/>
      </w:pPr>
      <w:bookmarkStart w:id="40" w:name="toc_auto_40"/>
      <w:r>
        <w:t xml:space="preserve">US-001 导入号码归属表</w:t>
      </w:r>
      <w:bookmarkEnd w:id="40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作为集团管理员，我想要导入号码归属表，以便建立号码与组织的归属关系。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支持Excel上传，解析2列数据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自动识别[例外]前缀并标记is_exception=1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描述字段用"/"分隔解析组织层级</w:t>
      </w:r>
    </w:p>
    <w:p>
      <w:pPr>
        <w:pStyle w:val="Heading3"/>
      </w:pPr>
      <w:bookmarkStart w:id="41" w:name="toc_auto_41"/>
      <w:r>
        <w:t xml:space="preserve">US-002 导入通讯录</w:t>
      </w:r>
      <w:bookmarkEnd w:id="41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作为集团管理员，我想要导入通讯录，以便建立号码→员工→部门的归属链。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解析4列数据，部门全路径用"-"分隔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自动检测借调关键词并标记is_seconded=true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与号码归属表交叉校验，输出P0-P3分布报告</w:t>
      </w:r>
    </w:p>
    <w:p>
      <w:pPr>
        <w:pStyle w:val="Heading3"/>
      </w:pPr>
      <w:bookmarkStart w:id="42" w:name="toc_auto_42"/>
      <w:r>
        <w:t xml:space="preserve">US-003 导入电信账单</w:t>
      </w:r>
      <w:bookmarkEnd w:id="42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作为集团管理员，我想要导入电信账单，以便开始费用分摊流程。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支持4个Sheet分别解析，Sheet名通过模板正则匹配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不同Sheet号码列位置不同（A/B）自动识别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闪信Sheet标记isQuarterly=true，季度累计</w:t>
      </w:r>
    </w:p>
    <w:p>
      <w:pPr>
        <w:pStyle w:val="Heading2"/>
      </w:pPr>
      <w:bookmarkStart w:id="43" w:name="toc_auto_43"/>
      <w:r>
        <w:t xml:space="preserve">9.2 归属与分摊（US-004~007）</w:t>
      </w:r>
      <w:bookmarkEnd w:id="43"/>
    </w:p>
    <w:p>
      <w:pPr>
        <w:pStyle w:val="Heading3"/>
      </w:pPr>
      <w:bookmarkStart w:id="44" w:name="toc_auto_44"/>
      <w:r>
        <w:t xml:space="preserve">US-004 号码归属校验</w:t>
      </w:r>
      <w:bookmarkEnd w:id="44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作为集团管理员，我想要校验号码归属，以便确认P0-P3分布并处理未归属号码。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对所有号码执行P0→P1→P2→P3匹配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输出校验报告：各优先级数量和占比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P3未归属号码可人工分配组织</w:t>
      </w:r>
    </w:p>
    <w:p>
      <w:pPr>
        <w:pStyle w:val="Heading3"/>
      </w:pPr>
      <w:bookmarkStart w:id="45" w:name="toc_auto_45"/>
      <w:r>
        <w:t xml:space="preserve">US-005 自动分摊</w:t>
      </w:r>
      <w:bookmarkEnd w:id="45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作为集团管理员，我想要系统自动按号码归属分摊费用到组织。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按号码归属将费用汇总到末级组织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沿组织树向上汇总到分行和集团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集团合计=总账单金额（数据完整性校验）</w:t>
      </w:r>
    </w:p>
    <w:p>
      <w:pPr>
        <w:pStyle w:val="Heading3"/>
      </w:pPr>
      <w:bookmarkStart w:id="46" w:name="toc_auto_46"/>
      <w:r>
        <w:t xml:space="preserve">US-006 借调调整</w:t>
      </w:r>
      <w:bookmarkEnd w:id="46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作为分行管理员，我想要调整借调人员的费用归属，使费用归入实际工作部门。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选择借调号码，指定目标部门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调整后自动重新计算分摊结果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调整记录写入allocation_adjustment审计表</w:t>
      </w:r>
    </w:p>
    <w:p>
      <w:pPr>
        <w:pStyle w:val="Heading3"/>
      </w:pPr>
      <w:bookmarkStart w:id="47" w:name="toc_auto_47"/>
      <w:r>
        <w:t xml:space="preserve">US-007 逐级确认</w:t>
      </w:r>
      <w:bookmarkEnd w:id="47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作为各级管理员，我想要确认本级的分摊结果，以便完成费用入账。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1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集团确认→自动生成分行账单</w:t>
      </w:r>
    </w:p>
    <w:p>
      <w:pPr>
        <w:pStyle w:val="ListParagraph"/>
        <w:numPr>
          <w:ilvl w:val="0"/>
          <w:numId w:val="1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撤回需填写原因，级联撤回下级</w:t>
      </w:r>
    </w:p>
    <w:p>
      <w:pPr>
        <w:pStyle w:val="ListParagraph"/>
        <w:numPr>
          <w:ilvl w:val="0"/>
          <w:numId w:val="19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LOCKED状态不可撤回</w:t>
      </w:r>
    </w:p>
    <w:p>
      <w:pPr>
        <w:pStyle w:val="Heading2"/>
      </w:pPr>
      <w:bookmarkStart w:id="48" w:name="toc_auto_48"/>
      <w:r>
        <w:t xml:space="preserve">9.3 导出与报表（US-008~010）</w:t>
      </w:r>
      <w:bookmarkEnd w:id="48"/>
    </w:p>
    <w:p>
      <w:pPr>
        <w:pStyle w:val="Heading3"/>
      </w:pPr>
      <w:bookmarkStart w:id="49" w:name="toc_auto_49"/>
      <w:r>
        <w:t xml:space="preserve">US-008 导出分行账单Excel</w:t>
      </w:r>
      <w:bookmarkEnd w:id="49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作为管理员/财务人员，我想要导出分行账单为Excel文件，以便发送给分行或导入财务系统。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支持全集团导出和单分行导出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一次导出生成2个Excel文件（汇总2列+明细3列）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格式严格匹配银行财务系统模板（成本中心+费用小计）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文件名：分行费用分摊汇总/明细_YYYYMM_分行名_时间戳.xlsx</w:t>
      </w:r>
    </w:p>
    <w:p>
      <w:pPr>
        <w:pStyle w:val="Heading3"/>
      </w:pPr>
      <w:bookmarkStart w:id="50" w:name="toc_auto_50"/>
      <w:r>
        <w:t xml:space="preserve">US-009 费用汇总报表</w:t>
      </w:r>
      <w:bookmarkEnd w:id="50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作为财务人员，我想要查看按组织/时间维度的费用汇总，以便分析费用构成。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2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支持按分行/部门/月份维度汇总</w:t>
      </w:r>
    </w:p>
    <w:p>
      <w:pPr>
        <w:pStyle w:val="ListParagraph"/>
        <w:numPr>
          <w:ilvl w:val="0"/>
          <w:numId w:val="21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展示6项费用分布和趋势</w:t>
      </w:r>
    </w:p>
    <w:p>
      <w:pPr>
        <w:pStyle w:val="Heading3"/>
      </w:pPr>
      <w:bookmarkStart w:id="51" w:name="toc_auto_51"/>
      <w:r>
        <w:t xml:space="preserve">US-010 异常检测</w:t>
      </w:r>
      <w:bookmarkEnd w:id="51"/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作为管理员，我想要系统自动检测费用异常波动，以便及时发现问题。</w:t>
      </w:r>
    </w:p>
    <w:p>
      <w:pPr>
        <w:spacing w:after="6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验收标准：</w:t>
      </w:r>
    </w:p>
    <w:p>
      <w:pPr>
        <w:pStyle w:val="ListParagraph"/>
        <w:numPr>
          <w:ilvl w:val="0"/>
          <w:numId w:val="2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环比/同比波动超阈值自动预警</w:t>
      </w:r>
    </w:p>
    <w:p>
      <w:pPr>
        <w:pStyle w:val="ListParagraph"/>
        <w:numPr>
          <w:ilvl w:val="0"/>
          <w:numId w:val="22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预警结果在仪表盘展示</w:t>
      </w:r>
    </w:p>
    <w:p>
      <w:r>
        <w:br w:type="page"/>
      </w:r>
    </w:p>
    <w:p>
      <w:pPr>
        <w:pStyle w:val="Heading1"/>
      </w:pPr>
      <w:bookmarkStart w:id="52" w:name="toc_auto_52"/>
      <w:r>
        <w:t xml:space="preserve">十、API设计</w:t>
      </w:r>
      <w:bookmarkEnd w:id="52"/>
    </w:p>
    <w:p>
      <w:pPr>
        <w:pStyle w:val="Heading2"/>
      </w:pPr>
      <w:bookmarkStart w:id="53" w:name="toc_auto_53"/>
      <w:r>
        <w:t xml:space="preserve">10.1 数据导入API</w:t>
      </w:r>
      <w:bookmarkEnd w:id="53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/api/phone-ownership/import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导入号码归属表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/api/phone-ownership/batches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查询导入批次列表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/api/directory/import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导入通讯录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/api/directory/batches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查询通讯录批次列表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/api/bills/import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导入电信账单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/api/bills/batches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查询账单批次列表</w:t>
            </w:r>
          </w:p>
        </w:tc>
      </w:tr>
    </w:tbl>
    <w:p>
      <w:pPr>
        <w:pStyle w:val="Heading2"/>
      </w:pPr>
      <w:bookmarkStart w:id="54" w:name="toc_auto_54"/>
      <w:r>
        <w:t xml:space="preserve">10.2 归属与分摊API</w:t>
      </w:r>
      <w:bookmarkEnd w:id="5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/api/ownership/validate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执行归属校验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/api/ownership/report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获取校验报告（P0-P3分布）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/api/ownership/assign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人工分配P3未归属号码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/api/allocations/run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执行自动分摊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/api/allocations?batchId=&amp;orgId=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查询分摊结果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/api/allocations/confirm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确认分摊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/api/allocations/withdraw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撤回确认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1565C0"/>
                <w:sz w:val="20"/>
                <w:szCs w:val="20"/>
              </w:rPr>
              <w:t xml:space="preserve">POST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/api/allocations/adjust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调整分摊（借调等）</w:t>
            </w:r>
          </w:p>
        </w:tc>
      </w:tr>
    </w:tbl>
    <w:p>
      <w:pPr>
        <w:pStyle w:val="Heading2"/>
      </w:pPr>
      <w:bookmarkStart w:id="55" w:name="toc_auto_55"/>
      <w:r>
        <w:t xml:space="preserve">10.3 导出与报表API</w:t>
      </w:r>
      <w:bookmarkEnd w:id="55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/api/branch-allocations/export-summary?batchId=&amp;branchId=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导出分行分摊汇总Excel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/api/branch-allocations/export-details?batchId=&amp;branchId=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导出分行分摊明细Excel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/api/branch-allocations/summary?batchId=&amp;branchId=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查询分行分摊汇总数据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/api/reports/summary?orgId=&amp;month=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费用汇总报表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/api/reports/trend?orgId=&amp;start=&amp;end=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趋势分析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/api/reports/anomalies?batchId=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异常检测结果</w:t>
            </w:r>
          </w:p>
        </w:tc>
      </w:tr>
    </w:tbl>
    <w:p>
      <w:pPr>
        <w:pStyle w:val="Heading2"/>
      </w:pPr>
      <w:bookmarkStart w:id="56" w:name="toc_auto_56"/>
      <w:r>
        <w:t xml:space="preserve">10.4 组织与系统API</w:t>
      </w:r>
      <w:bookmarkEnd w:id="56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/api/organizations/tree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获取组织架构树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2E7D32"/>
                <w:sz w:val="20"/>
                <w:szCs w:val="20"/>
              </w:rPr>
              <w:t xml:space="preserve">GET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/api/bill-templates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获取账单解析模板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PUT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/api/bill-templates/:id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更新模板配置</w:t>
            </w:r>
          </w:p>
        </w:tc>
      </w:tr>
    </w:tbl>
    <w:p>
      <w:r>
        <w:br w:type="page"/>
      </w:r>
    </w:p>
    <w:p>
      <w:pPr>
        <w:pStyle w:val="Heading1"/>
      </w:pPr>
      <w:bookmarkStart w:id="57" w:name="toc_auto_57"/>
      <w:r>
        <w:t xml:space="preserve">十一、非功能需求</w:t>
      </w:r>
      <w:bookmarkEnd w:id="57"/>
    </w:p>
    <w:p>
      <w:pPr>
        <w:pStyle w:val="Heading2"/>
      </w:pPr>
      <w:bookmarkStart w:id="58" w:name="toc_auto_58"/>
      <w:r>
        <w:t xml:space="preserve">11.1 性能</w:t>
      </w:r>
      <w:bookmarkEnd w:id="58"/>
    </w:p>
    <w:p>
      <w:pPr>
        <w:pStyle w:val="ListParagraph"/>
        <w:numPr>
          <w:ilvl w:val="0"/>
          <w:numId w:val="2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账单导入（含4 Sheet、1万行明细）&lt; 30秒</w:t>
      </w:r>
    </w:p>
    <w:p>
      <w:pPr>
        <w:pStyle w:val="ListParagraph"/>
        <w:numPr>
          <w:ilvl w:val="0"/>
          <w:numId w:val="2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自动分摊计算 &lt; 10秒</w:t>
      </w:r>
    </w:p>
    <w:p>
      <w:pPr>
        <w:pStyle w:val="ListParagraph"/>
        <w:numPr>
          <w:ilvl w:val="0"/>
          <w:numId w:val="2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分行分摊导出（汇总+明细2个文件）&lt; 10秒</w:t>
      </w:r>
    </w:p>
    <w:p>
      <w:pPr>
        <w:pStyle w:val="ListParagraph"/>
        <w:numPr>
          <w:ilvl w:val="0"/>
          <w:numId w:val="23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页面首次加载 &lt; 3秒，路由切换 &lt; 500ms</w:t>
      </w:r>
    </w:p>
    <w:p>
      <w:pPr>
        <w:pStyle w:val="Heading2"/>
      </w:pPr>
      <w:bookmarkStart w:id="59" w:name="toc_auto_59"/>
      <w:r>
        <w:t xml:space="preserve">11.2 可靠性</w:t>
      </w:r>
      <w:bookmarkEnd w:id="59"/>
    </w:p>
    <w:p>
      <w:pPr>
        <w:pStyle w:val="ListParagraph"/>
        <w:numPr>
          <w:ilvl w:val="0"/>
          <w:numId w:val="2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导入操作幂等：重复导入同一批次数据不产生重复记录</w:t>
      </w:r>
    </w:p>
    <w:p>
      <w:pPr>
        <w:pStyle w:val="ListParagraph"/>
        <w:numPr>
          <w:ilvl w:val="0"/>
          <w:numId w:val="2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分摊结果与总账单金额强一致：校验失败不允许确认</w:t>
      </w:r>
    </w:p>
    <w:p>
      <w:pPr>
        <w:pStyle w:val="ListParagraph"/>
        <w:numPr>
          <w:ilvl w:val="0"/>
          <w:numId w:val="24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数据库事务保证：导入、分摊、确认操作原子性</w:t>
      </w:r>
    </w:p>
    <w:p>
      <w:pPr>
        <w:pStyle w:val="Heading2"/>
      </w:pPr>
      <w:bookmarkStart w:id="60" w:name="toc_auto_60"/>
      <w:r>
        <w:t xml:space="preserve">11.3 安全性</w:t>
      </w:r>
      <w:bookmarkEnd w:id="60"/>
    </w:p>
    <w:p>
      <w:pPr>
        <w:pStyle w:val="ListParagraph"/>
        <w:numPr>
          <w:ilvl w:val="0"/>
          <w:numId w:val="2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JWT认证 + RBAC权限控制</w:t>
      </w:r>
    </w:p>
    <w:p>
      <w:pPr>
        <w:pStyle w:val="ListParagraph"/>
        <w:numPr>
          <w:ilvl w:val="0"/>
          <w:numId w:val="2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所有API接口参数校验，防SQL注入/XSS</w:t>
      </w:r>
    </w:p>
    <w:p>
      <w:pPr>
        <w:pStyle w:val="ListParagraph"/>
        <w:numPr>
          <w:ilvl w:val="0"/>
          <w:numId w:val="2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敏感信息环境变量化，日志脱敏</w:t>
      </w:r>
    </w:p>
    <w:p>
      <w:pPr>
        <w:pStyle w:val="ListParagraph"/>
        <w:numPr>
          <w:ilvl w:val="0"/>
          <w:numId w:val="25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操作审计：所有变更操作记录审计日志</w:t>
      </w:r>
    </w:p>
    <w:p>
      <w:pPr>
        <w:pStyle w:val="Heading2"/>
      </w:pPr>
      <w:bookmarkStart w:id="61" w:name="toc_auto_61"/>
      <w:r>
        <w:t xml:space="preserve">11.4 可扩展性</w:t>
      </w:r>
      <w:bookmarkEnd w:id="61"/>
    </w:p>
    <w:p>
      <w:pPr>
        <w:pStyle w:val="ListParagraph"/>
        <w:numPr>
          <w:ilvl w:val="0"/>
          <w:numId w:val="2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账单模板JSON配置：新增Sheet/字段无需改代码</w:t>
      </w:r>
    </w:p>
    <w:p>
      <w:pPr>
        <w:pStyle w:val="ListParagraph"/>
        <w:numPr>
          <w:ilvl w:val="0"/>
          <w:numId w:val="2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借调关键词可配置：无需改代码</w:t>
      </w:r>
    </w:p>
    <w:p>
      <w:pPr>
        <w:pStyle w:val="ListParagraph"/>
        <w:numPr>
          <w:ilvl w:val="0"/>
          <w:numId w:val="26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组织层级支持扩展：当前4级，可扩展到N级</w:t>
      </w:r>
    </w:p>
    <w:p>
      <w:pPr>
        <w:pStyle w:val="Heading2"/>
      </w:pPr>
      <w:bookmarkStart w:id="62" w:name="toc_auto_62"/>
      <w:r>
        <w:t xml:space="preserve">11.5 兼容性</w:t>
      </w:r>
      <w:bookmarkEnd w:id="62"/>
    </w:p>
    <w:p>
      <w:pPr>
        <w:pStyle w:val="ListParagraph"/>
        <w:numPr>
          <w:ilvl w:val="0"/>
          <w:numId w:val="2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浏览器：Chrome 90+、Edge 90+、Firefox 88+</w:t>
      </w:r>
    </w:p>
    <w:p>
      <w:pPr>
        <w:pStyle w:val="ListParagraph"/>
        <w:numPr>
          <w:ilvl w:val="0"/>
          <w:numId w:val="27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Excel：导出文件兼容Microsoft Excel 2016+、WPS 2019+</w:t>
      </w:r>
    </w:p>
    <w:p>
      <w:r>
        <w:br w:type="page"/>
      </w:r>
    </w:p>
    <w:p>
      <w:pPr>
        <w:pStyle w:val="Heading1"/>
      </w:pPr>
      <w:bookmarkStart w:id="63" w:name="toc_auto_63"/>
      <w:r>
        <w:t xml:space="preserve">十二、里程碑与风险</w:t>
      </w:r>
      <w:bookmarkEnd w:id="63"/>
    </w:p>
    <w:p>
      <w:pPr>
        <w:pStyle w:val="Heading2"/>
      </w:pPr>
      <w:bookmarkStart w:id="64" w:name="toc_auto_64"/>
      <w:r>
        <w:t xml:space="preserve">12.1 四阶段开发计划（10周）</w:t>
      </w:r>
      <w:bookmarkEnd w:id="6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第1-3周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数据导入+归属校验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3个导入页面+校验报告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第4-6周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分摊+确认+调整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分摊结果页+确认流程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第7-8周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导出+报表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分行账单导出+汇总报表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第9-10周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优化+上线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性能优化+UAT+部署</w:t>
            </w:r>
          </w:p>
        </w:tc>
      </w:tr>
    </w:tbl>
    <w:p>
      <w:pPr>
        <w:pStyle w:val="Heading2"/>
      </w:pPr>
      <w:bookmarkStart w:id="65" w:name="toc_auto_65"/>
      <w:r>
        <w:t xml:space="preserve">12.2 风险与应对</w:t>
      </w:r>
      <w:bookmarkEnd w:id="65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账单格式变更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JSON模板配置驱动解析，新增Sheet/字段无需改代码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组织架构调整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CC0000"/>
                <w:sz w:val="20"/>
                <w:szCs w:val="20"/>
              </w:rPr>
              <w:t xml:space="preserve">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组织树版本化，历史分摊数据不受影响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大量未归属号码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P3未归属号码高亮展示，支持批量人工分配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闪信季度结算复杂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E65100"/>
                <w:sz w:val="20"/>
                <w:szCs w:val="20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isQuarterly标记，累计逻辑与月度分摊分离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并发确认冲突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低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乐观锁+版本号，冲突时提示重试</w:t>
            </w:r>
          </w:p>
        </w:tc>
      </w:tr>
    </w:tbl>
    <w:p>
      <w:r>
        <w:br w:type="page"/>
      </w:r>
    </w:p>
    <w:p>
      <w:pPr>
        <w:pStyle w:val="Heading1"/>
      </w:pPr>
      <w:bookmarkStart w:id="66" w:name="toc_auto_66"/>
      <w:r>
        <w:t xml:space="preserve">附录</w:t>
      </w:r>
      <w:bookmarkEnd w:id="66"/>
    </w:p>
    <w:p>
      <w:pPr>
        <w:pStyle w:val="Heading2"/>
      </w:pPr>
      <w:bookmarkStart w:id="67" w:name="toc_auto_67"/>
      <w:r>
        <w:t xml:space="preserve">A. 状态码汇总</w:t>
      </w:r>
      <w:bookmarkEnd w:id="67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状态字段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枚举值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bill_batch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0=DRAFT, 1=ALLOCATED, 2=CONFIRMED, 3=LOCKED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allocation_result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confirm_status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0=PENDING, 1=CONFIRMED, 2=WITHDRAWN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sys_organization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1=集团, 2=一级分行, 3=二级分行, 4=部门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bill_detail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ownership_source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P0=例外, P1=通讯录, P2=归属表, P3=未归属</w:t>
            </w:r>
          </w:p>
        </w:tc>
      </w:tr>
    </w:tbl>
    <w:p>
      <w:pPr>
        <w:pStyle w:val="Heading2"/>
      </w:pPr>
      <w:bookmarkStart w:id="68" w:name="toc_auto_68"/>
      <w:r>
        <w:t xml:space="preserve">B. 文档版本</w:t>
      </w:r>
      <w:bookmarkEnd w:id="68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2026-06-22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对齐银行财务系统实际导入模板（2文件2+3列极简格式）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2026-06-22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整合6份设计文档为完整PRD</w:t>
            </w:r>
          </w:p>
        </w:tc>
      </w:tr>
    </w:tbl>
    <w:p>
      <w:pPr>
        <w:pStyle w:val="Heading2"/>
      </w:pPr>
      <w:bookmarkStart w:id="69" w:name="toc_auto_69"/>
      <w:r>
        <w:t xml:space="preserve">C. 参考文档</w:t>
      </w:r>
      <w:bookmarkEnd w:id="69"/>
    </w:p>
    <w:p>
      <w:pPr>
        <w:pStyle w:val="ListParagraph"/>
        <w:numPr>
          <w:ilvl w:val="0"/>
          <w:numId w:val="2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银行电话费用分摊系统_需求分析报告 V1.0</w:t>
      </w:r>
    </w:p>
    <w:p>
      <w:pPr>
        <w:pStyle w:val="ListParagraph"/>
        <w:numPr>
          <w:ilvl w:val="0"/>
          <w:numId w:val="2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银行电话费用分摊系统_需求细化文档 V1.0</w:t>
      </w:r>
    </w:p>
    <w:p>
      <w:pPr>
        <w:pStyle w:val="ListParagraph"/>
        <w:numPr>
          <w:ilvl w:val="0"/>
          <w:numId w:val="2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银行电话费用分摊系统_通讯录与借调设计补充 V1.0</w:t>
      </w:r>
    </w:p>
    <w:p>
      <w:pPr>
        <w:pStyle w:val="ListParagraph"/>
        <w:numPr>
          <w:ilvl w:val="0"/>
          <w:numId w:val="2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银行电话费用分摊系统_号码归属与优先级设计 V1.0</w:t>
      </w:r>
    </w:p>
    <w:p>
      <w:pPr>
        <w:pStyle w:val="ListParagraph"/>
        <w:numPr>
          <w:ilvl w:val="0"/>
          <w:numId w:val="2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银行电话费用分摊系统_账单格式与解析设计 V1.0</w:t>
      </w:r>
    </w:p>
    <w:p>
      <w:pPr>
        <w:pStyle w:val="ListParagraph"/>
        <w:numPr>
          <w:ilvl w:val="0"/>
          <w:numId w:val="28"/>
        </w:numPr>
        <w:spacing w:after="30" w:before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银行电话费用分摊系统_分行账单导出设计 V2.0（对齐实际模板）</w:t>
      </w:r>
    </w:p>
    <w:p>
      <w:pPr>
        <w:jc w:val="right"/>
      </w:pPr>
      <w:r>
        <w:rPr>
          <w:vanish/>
          <w:sz w:val="16"/>
          <w:color w:val="BFBFBF"/>
        </w:rPr>
        <w:t>AIGC标识: 3e8b1ae4-c778-43fa-98c2-0d770e3131de</w:t>
      </w:r>
    </w:p>
    <w:p>
      <w:pPr>
        <w:jc w:val="right"/>
      </w:pPr>
      <w:r>
        <w:rPr>
          <w:vanish/>
          <w:sz w:val="16"/>
          <w:color w:val="BFBFBF"/>
        </w:rPr>
        <w:t>AIGC标识: 9e11f3cc-7ffa-407a-8a02-275c988335cb</w:t>
      </w:r>
    </w:p>
    <w:sectPr>
      <w:headerReference w:type="default" ns2:id="rId7"/>
      <w:footerReference w:type="default" ns2:id="rId8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银行电话费用分摊系统 |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6"/>
    <w:lvlOverride w:ilvl="0">
      <w:startOverride w:val="1"/>
    </w:lvlOverride>
  </w:num>
  <w:num w:numId="13">
    <w:abstractNumId w:val="18"/>
    <w:lvlOverride w:ilvl="0">
      <w:startOverride w:val="1"/>
    </w:lvlOverride>
  </w:num>
  <w:num w:numId="14">
    <w:abstractNumId w:val="20"/>
    <w:lvlOverride w:ilvl="0">
      <w:startOverride w:val="1"/>
    </w:lvlOverride>
  </w:num>
  <w:num w:numId="15">
    <w:abstractNumId w:val="22"/>
    <w:lvlOverride w:ilvl="0">
      <w:startOverride w:val="1"/>
    </w:lvlOverride>
  </w:num>
  <w:num w:numId="16">
    <w:abstractNumId w:val="24"/>
    <w:lvlOverride w:ilvl="0">
      <w:startOverride w:val="1"/>
    </w:lvlOverride>
  </w:num>
  <w:num w:numId="17">
    <w:abstractNumId w:val="26"/>
    <w:lvlOverride w:ilvl="0">
      <w:startOverride w:val="1"/>
    </w:lvlOverride>
  </w:num>
  <w:num w:numId="18">
    <w:abstractNumId w:val="28"/>
    <w:lvlOverride w:ilvl="0">
      <w:startOverride w:val="1"/>
    </w:lvlOverride>
  </w:num>
  <w:num w:numId="19">
    <w:abstractNumId w:val="30"/>
    <w:lvlOverride w:ilvl="0">
      <w:startOverride w:val="1"/>
    </w:lvlOverride>
  </w:num>
  <w:num w:numId="20">
    <w:abstractNumId w:val="32"/>
    <w:lvlOverride w:ilvl="0">
      <w:startOverride w:val="1"/>
    </w:lvlOverride>
  </w:num>
  <w:num w:numId="21">
    <w:abstractNumId w:val="34"/>
    <w:lvlOverride w:ilvl="0">
      <w:startOverride w:val="1"/>
    </w:lvlOverride>
  </w:num>
  <w:num w:numId="22">
    <w:abstractNumId w:val="36"/>
    <w:lvlOverride w:ilvl="0">
      <w:startOverride w:val="1"/>
    </w:lvlOverride>
  </w:num>
  <w:num w:numId="23">
    <w:abstractNumId w:val="38"/>
    <w:lvlOverride w:ilvl="0">
      <w:startOverride w:val="1"/>
    </w:lvlOverride>
  </w:num>
  <w:num w:numId="24">
    <w:abstractNumId w:val="40"/>
    <w:lvlOverride w:ilvl="0">
      <w:startOverride w:val="1"/>
    </w:lvlOverride>
  </w:num>
  <w:num w:numId="25">
    <w:abstractNumId w:val="42"/>
    <w:lvlOverride w:ilvl="0">
      <w:startOverride w:val="1"/>
    </w:lvlOverride>
  </w:num>
  <w:num w:numId="26">
    <w:abstractNumId w:val="44"/>
    <w:lvlOverride w:ilvl="0">
      <w:startOverride w:val="1"/>
    </w:lvlOverride>
  </w:num>
  <w:num w:numId="27">
    <w:abstractNumId w:val="46"/>
    <w:lvlOverride w:ilvl="0">
      <w:startOverride w:val="1"/>
    </w:lvlOverride>
  </w:num>
  <w:num w:numId="28">
    <w:abstractNumId w:val="4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Microsoft YaHei" w:cs="Microsoft YaHei" w:eastAsia="Microsoft YaHei" w:hAnsi="Microsoft YaHei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2026-06-22T03:29:24.247Z</dcterms:created>
  <dcterms:modified xsi:type="dcterms:W3CDTF">2026-06-22T03:29:24.248Z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9e11f3cc-7ffa-407a-8a02-275c988335cb","ReservedCode1":"9f67a0a4-bcff-4ddb-aa9d-b4e798b24f96","ContentPropagator":"001191110102MAD55U9H0F10002","PropagateID":"9e11f3cc-7ffa-407a-8a02-275c988335cb","ReservedCode2":"9f67a0a4-bcff-4ddb-aa9d-b4e798b24f96"}</vt:lpwstr>
  </property>
</Properties>
</file>