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two domain-specific formats and explain their purpose, protocol semantics, application semantics, medium, and where they are defined.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 OpenSearch -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 - It is a standard representation for search forms that can be used independently or incorporated within another API that uses the search link relation.    It does not define a representation of the results.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protocol semantics - searching using GET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application semantics - search queries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medium - XML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they are defined - consortium standard (http//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www.opensearch.org/Specifications/OpenSearch/1.1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1514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512" l="24519" r="35897" t="3418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Maze + XML 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purpose - It is games of mazes defined by XML tags and link relations of maze cells and the connections between them.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protocol semantics - navigation using GET links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application semantics - maze games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medium - XML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they are defined - personal standard (http//www.amundsen.com/media-types/maze/)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8803" l="25480" r="33173" t="3418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RESTFul Web APIs, Leonard Richardson &amp; Mike Amundsen, 2013.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pensearch.org/Specifications/OpenSearch/1.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