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商业风险处置学习网站设计方案</w:t>
      </w:r>
    </w:p>
    <w:p>
      <w:pPr>
        <w:pStyle w:val="Subtitle"/>
        <w:jc w:val="center"/>
      </w:pPr>
      <w:r>
        <w:t>风险处置实战系列学习站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摘要</w:t>
      </w:r>
    </w:p>
    <w:p>
      <w:pPr>
        <w:spacing w:after="40"/>
        <w:ind w:left="0" w:firstLine="0"/>
      </w:pPr>
      <w:r>
        <w:rPr>
          <w:b/>
        </w:rPr>
        <w:t>1 项目概述</w:t>
      </w:r>
    </w:p>
    <w:p>
      <w:pPr>
        <w:spacing w:after="40"/>
        <w:ind w:left="360" w:firstLine="0"/>
      </w:pPr>
      <w:r>
        <w:rPr>
          <w:b w:val="0"/>
        </w:rPr>
        <w:t>1.1 现状分析与建设背景</w:t>
      </w:r>
    </w:p>
    <w:p>
      <w:pPr>
        <w:spacing w:after="40"/>
        <w:ind w:left="360" w:firstLine="0"/>
      </w:pPr>
      <w:r>
        <w:rPr>
          <w:b w:val="0"/>
        </w:rPr>
        <w:t>1.2 建设目标：三大核心方向</w:t>
      </w:r>
    </w:p>
    <w:p>
      <w:pPr>
        <w:spacing w:after="40"/>
        <w:ind w:left="360" w:firstLine="0"/>
      </w:pPr>
      <w:r>
        <w:rPr>
          <w:b w:val="0"/>
        </w:rPr>
        <w:t>1.3 目标人群与价值主张</w:t>
      </w:r>
    </w:p>
    <w:p>
      <w:pPr>
        <w:spacing w:after="40"/>
        <w:ind w:left="360" w:firstLine="0"/>
      </w:pPr>
      <w:r>
        <w:rPr>
          <w:b w:val="0"/>
        </w:rPr>
        <w:t>1.4 参照模式</w:t>
      </w:r>
    </w:p>
    <w:p>
      <w:pPr>
        <w:spacing w:after="40"/>
        <w:ind w:left="0" w:firstLine="0"/>
      </w:pPr>
      <w:r>
        <w:rPr>
          <w:b/>
        </w:rPr>
        <w:t>2 总体设计理念</w:t>
      </w:r>
    </w:p>
    <w:p>
      <w:pPr>
        <w:spacing w:after="40"/>
        <w:ind w:left="360" w:firstLine="0"/>
      </w:pPr>
      <w:r>
        <w:rPr>
          <w:b w:val="0"/>
        </w:rPr>
        <w:t>2.1 三大支柱模型</w:t>
      </w:r>
    </w:p>
    <w:p>
      <w:pPr>
        <w:spacing w:after="40"/>
        <w:ind w:left="360" w:firstLine="0"/>
      </w:pPr>
      <w:r>
        <w:rPr>
          <w:b w:val="0"/>
        </w:rPr>
        <w:t>2.2 设计原则</w:t>
      </w:r>
    </w:p>
    <w:p>
      <w:pPr>
        <w:spacing w:after="40"/>
        <w:ind w:left="0" w:firstLine="0"/>
      </w:pPr>
      <w:r>
        <w:rPr>
          <w:b/>
        </w:rPr>
        <w:t>3 功能架构总览</w:t>
      </w:r>
    </w:p>
    <w:p>
      <w:pPr>
        <w:spacing w:after="40"/>
        <w:ind w:left="0" w:firstLine="0"/>
      </w:pPr>
      <w:r>
        <w:rPr>
          <w:b/>
        </w:rPr>
        <w:t>4 信息架构与栏目体系</w:t>
      </w:r>
    </w:p>
    <w:p>
      <w:pPr>
        <w:spacing w:after="40"/>
        <w:ind w:left="360" w:firstLine="0"/>
      </w:pPr>
      <w:r>
        <w:rPr>
          <w:b w:val="0"/>
        </w:rPr>
        <w:t>4.1 站点地图</w:t>
      </w:r>
    </w:p>
    <w:p>
      <w:pPr>
        <w:spacing w:after="40"/>
        <w:ind w:left="360" w:firstLine="0"/>
      </w:pPr>
      <w:r>
        <w:rPr>
          <w:b w:val="0"/>
        </w:rPr>
        <w:t>4.2 六大栏目详设</w:t>
      </w:r>
    </w:p>
    <w:p>
      <w:pPr>
        <w:spacing w:after="40"/>
        <w:ind w:left="0" w:firstLine="0"/>
      </w:pPr>
      <w:r>
        <w:rPr>
          <w:b/>
        </w:rPr>
        <w:t>5 知识库体系设计</w:t>
      </w:r>
    </w:p>
    <w:p>
      <w:pPr>
        <w:spacing w:after="40"/>
        <w:ind w:left="360" w:firstLine="0"/>
      </w:pPr>
      <w:r>
        <w:rPr>
          <w:b w:val="0"/>
        </w:rPr>
        <w:t>5.1 内容资产地图</w:t>
      </w:r>
    </w:p>
    <w:p>
      <w:pPr>
        <w:spacing w:after="40"/>
        <w:ind w:left="360" w:firstLine="0"/>
      </w:pPr>
      <w:r>
        <w:rPr>
          <w:b w:val="0"/>
        </w:rPr>
        <w:t>5.2 知识分类与标签体系</w:t>
      </w:r>
    </w:p>
    <w:p>
      <w:pPr>
        <w:spacing w:after="40"/>
        <w:ind w:left="360" w:firstLine="0"/>
      </w:pPr>
      <w:r>
        <w:rPr>
          <w:b w:val="0"/>
        </w:rPr>
        <w:t>5.3 元数据规范</w:t>
      </w:r>
    </w:p>
    <w:p>
      <w:pPr>
        <w:spacing w:after="40"/>
        <w:ind w:left="360" w:firstLine="0"/>
      </w:pPr>
      <w:r>
        <w:rPr>
          <w:b w:val="0"/>
        </w:rPr>
        <w:t>5.4 目录与命名规范</w:t>
      </w:r>
    </w:p>
    <w:p>
      <w:pPr>
        <w:spacing w:after="40"/>
        <w:ind w:left="360" w:firstLine="0"/>
      </w:pPr>
      <w:r>
        <w:rPr>
          <w:b w:val="0"/>
        </w:rPr>
        <w:t>5.5 内容入站生产流程（知识沉淀机制）</w:t>
      </w:r>
    </w:p>
    <w:p>
      <w:pPr>
        <w:spacing w:after="40"/>
        <w:ind w:left="0" w:firstLine="0"/>
      </w:pPr>
      <w:r>
        <w:rPr>
          <w:b/>
        </w:rPr>
        <w:t>6 学习路径设计</w:t>
      </w:r>
    </w:p>
    <w:p>
      <w:pPr>
        <w:spacing w:after="40"/>
        <w:ind w:left="360" w:firstLine="0"/>
      </w:pPr>
      <w:r>
        <w:rPr>
          <w:b w:val="0"/>
        </w:rPr>
        <w:t>6.1 13 周成才路径</w:t>
      </w:r>
    </w:p>
    <w:p>
      <w:pPr>
        <w:spacing w:after="40"/>
        <w:ind w:left="360" w:firstLine="0"/>
      </w:pPr>
      <w:r>
        <w:rPr>
          <w:b w:val="0"/>
        </w:rPr>
        <w:t>6.2 打卡与徽章机制</w:t>
      </w:r>
    </w:p>
    <w:p>
      <w:pPr>
        <w:spacing w:after="40"/>
        <w:ind w:left="360" w:firstLine="0"/>
      </w:pPr>
      <w:r>
        <w:rPr>
          <w:b w:val="0"/>
        </w:rPr>
        <w:t>6.3 输出物验收清单</w:t>
      </w:r>
    </w:p>
    <w:p>
      <w:pPr>
        <w:spacing w:after="40"/>
        <w:ind w:left="360" w:firstLine="0"/>
      </w:pPr>
      <w:r>
        <w:rPr>
          <w:b w:val="0"/>
        </w:rPr>
        <w:t>6.4 沙盘训练与案例库设计</w:t>
      </w:r>
    </w:p>
    <w:p>
      <w:pPr>
        <w:spacing w:after="40"/>
        <w:ind w:left="0" w:firstLine="0"/>
      </w:pPr>
      <w:r>
        <w:rPr>
          <w:b/>
        </w:rPr>
        <w:t>7 技术支持方案</w:t>
      </w:r>
    </w:p>
    <w:p>
      <w:pPr>
        <w:spacing w:after="40"/>
        <w:ind w:left="360" w:firstLine="0"/>
      </w:pPr>
      <w:r>
        <w:rPr>
          <w:b w:val="0"/>
        </w:rPr>
        <w:t>7.1 技术架构</w:t>
      </w:r>
    </w:p>
    <w:p>
      <w:pPr>
        <w:spacing w:after="40"/>
        <w:ind w:left="360" w:firstLine="0"/>
      </w:pPr>
      <w:r>
        <w:rPr>
          <w:b w:val="0"/>
        </w:rPr>
        <w:t>7.2 交互功能清单</w:t>
      </w:r>
    </w:p>
    <w:p>
      <w:pPr>
        <w:spacing w:after="40"/>
        <w:ind w:left="360" w:firstLine="0"/>
      </w:pPr>
      <w:r>
        <w:rPr>
          <w:b w:val="0"/>
        </w:rPr>
        <w:t>7.3 实现避坑清单</w:t>
      </w:r>
    </w:p>
    <w:p>
      <w:pPr>
        <w:spacing w:after="40"/>
        <w:ind w:left="0" w:firstLine="0"/>
      </w:pPr>
      <w:r>
        <w:rPr>
          <w:b/>
        </w:rPr>
        <w:t>8 视觉与交互方向</w:t>
      </w:r>
    </w:p>
    <w:p>
      <w:pPr>
        <w:spacing w:after="40"/>
        <w:ind w:left="0" w:firstLine="0"/>
      </w:pPr>
      <w:r>
        <w:rPr>
          <w:b/>
        </w:rPr>
        <w:t>9 建设路线与里程碑</w:t>
      </w:r>
    </w:p>
    <w:p>
      <w:pPr>
        <w:spacing w:after="40"/>
        <w:ind w:left="0" w:firstLine="0"/>
      </w:pPr>
      <w:r>
        <w:rPr>
          <w:b/>
        </w:rPr>
        <w:t>10 内容持续运营机制</w:t>
      </w:r>
    </w:p>
    <w:p>
      <w:pPr>
        <w:spacing w:after="40"/>
        <w:ind w:left="0" w:firstLine="0"/>
      </w:pPr>
      <w:r>
        <w:rPr>
          <w:b/>
        </w:rPr>
        <w:t>11 风险与合规</w:t>
      </w:r>
    </w:p>
    <w:p>
      <w:pPr>
        <w:spacing w:after="40"/>
        <w:ind w:left="0" w:firstLine="0"/>
      </w:pPr>
      <w:r>
        <w:rPr>
          <w:b/>
        </w:rPr>
        <w:t>12 结论与下一步建议</w:t>
      </w:r>
    </w:p>
    <w:p>
      <w:pPr>
        <w:spacing w:after="40"/>
        <w:ind w:left="360" w:firstLine="0"/>
      </w:pPr>
      <w:r>
        <w:rPr>
          <w:b w:val="0"/>
        </w:rPr>
        <w:t>12.1 结论</w:t>
      </w:r>
    </w:p>
    <w:p>
      <w:pPr>
        <w:spacing w:after="40"/>
        <w:ind w:left="360" w:firstLine="0"/>
      </w:pPr>
      <w:r>
        <w:rPr>
          <w:b w:val="0"/>
        </w:rPr>
        <w:t>12.2 待确认事项</w:t>
      </w:r>
    </w:p>
    <w:p>
      <w:pPr>
        <w:spacing w:after="40"/>
        <w:ind w:left="0" w:firstLine="0"/>
      </w:pPr>
      <w:r>
        <w:rPr>
          <w:b/>
        </w:rPr>
        <w:t>附录 源文件到栏目映射表</w:t>
      </w:r>
    </w:p>
    <w:p>
      <w:pPr>
        <w:sectPr>
          <w:pgSz w:w="11906" w:h="16838"/>
          <w:pgMar w:top="1440" w:right="1440" w:bottom="1440" w:left="1440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摘要</w:t>
      </w:r>
    </w:p>
    <w:p>
      <w:pPr>
        <w:pStyle w:val="BodyText"/>
      </w:pPr>
      <w:r>
        <w:t>本方案为"商业风险处置实战系列学习站"的设计定稿，回答"建什么、怎么建、按什么标准验收"三个问题。</w:t>
      </w:r>
    </w:p>
    <w:p>
      <w:pPr>
        <w:pStyle w:val="ListBullet"/>
      </w:pPr>
      <w:r>
        <w:t>建设对象：以工作区 18 份风险处置内容资产 + 1 份《商业风险处置顾问》职业画像与实战方法论素材（2026-09-17 补充）为底座，构建一个覆盖知识沉淀、知识库、知识学习三大方向的纯静态学习网站。</w:t>
      </w:r>
    </w:p>
    <w:p>
      <w:pPr>
        <w:pStyle w:val="ListBullet"/>
      </w:pPr>
      <w:r>
        <w:t>核心设计：六大栏目（学习路径 / 理论课堂 / 实操工具箱 / 沙盘训练 / 案例库 / 法规参考）+ 13 周成才路径 + 约 70 篇结构化文章 + 四阶段建设路线（P0 内容标准化 → P1 内容全量入站 → P2 学习闭环 → P3 训练站升级）。</w:t>
      </w:r>
    </w:p>
    <w:p>
      <w:pPr>
        <w:pStyle w:val="ListBullet"/>
      </w:pPr>
      <w:r>
        <w:t>关键技术决策：延续 index.html + app.js + data.js + style.css 四文件纯静态架构，data.js 以 JS 对象承载全部内容，双击即用、无 CORS、零部署成本。</w:t>
      </w:r>
    </w:p>
    <w:p>
      <w:pPr>
        <w:pStyle w:val="ListBullet"/>
      </w:pPr>
      <w:r>
        <w:t>验收主线：每阶段有可验证的站内成果，以"看得懂理论、拿得到工具、练得出技能"为总验收标准。</w:t>
      </w:r>
    </w:p>
    <w:p>
      <w:pPr>
        <w:pStyle w:val="BodyText"/>
      </w:pPr>
      <w:r>
        <w:t>设计依据：2026-09-14 完成的内容盘点（18 份资产逐文件盘点与六大结构问题诊断）及《风险处置内容整理分析与优化建议》《学习网站架构与内容体系规划》两份配套文档；本方案与其保持一致口径，作为实施契约。本次修订（v2，2026-09-17）整合《商业风险处置顾问.md》：岗位认知入理论课堂、实战方法论入工具箱方法论卡、金融机构谈判剧本入沙盘、两则实战案例入案例库，并将职业进阶地图（L1-L3）与 13 周成才路径合为双轴。</w:t>
      </w:r>
    </w:p>
    <w:p>
      <w:pPr>
        <w:pStyle w:val="BodyText"/>
      </w:pPr>
      <w:r>
        <w:t>数据来源：工作区文件盘点台账（2026-09-14，覆盖 18 个源文件、5 类资产）；《商业风险处置顾问》职业画像与实战方法论文稿（2026-09-17 新增）；学习方案 13 周拆解表（三个月成才方案）；既有站点数据层 data.js（30 条目现状）。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现状分析与建设背景</w:t>
      </w:r>
    </w:p>
    <w:p>
      <w:pPr>
        <w:pStyle w:val="BodyText"/>
      </w:pPr>
      <w:r>
        <w:t>商业风险处置（企业风险识别、定级、止损、处置、复盘）是一个高度依赖"方法论 + 工具 + 实战经验"的领域，但目前从业者面临三个普遍问题：资料零散不成体系、学了无法立刻用于业务、缺少可验证的训练场景。</w:t>
      </w:r>
    </w:p>
    <w:p>
      <w:pPr>
        <w:pStyle w:val="BodyText"/>
      </w:pPr>
      <w:r>
        <w:t>工作区已积累 18 份风险处置内容资产，覆盖"认知理论 → 学习规划 → 实操模板 → 评估测算 → 法规参考"的完整学习价值链，这是建设学习网站最大的存量优势。但盘点发现：18 份资产中仅 2 份进入现有网站雏形，16 份尚未接入；根目录平铺、命名混乱；数据层存在标题半截、正文截断；学习闭环缺少进度与输出机制。</w:t>
      </w:r>
    </w:p>
    <w:p>
      <w:pPr>
        <w:pStyle w:val="BodyText"/>
      </w:pPr>
      <w:r>
        <w:t>本设计方案的核心命题不是"从零造内容"，而是把存量资产结构化为一个"看得懂理论、拿得到工具、练得出技能"的实战型学习网站，并就其功能架构、知识库体系、学习路径、技术方案与建设路线给出完整设计。</w:t>
      </w:r>
    </w:p>
    <w:p>
      <w:pPr>
        <w:pStyle w:val="BodyText"/>
      </w:pPr>
      <w:r>
        <w:t>现状诊断结论（基于 2026-09-14 逐文件盘点，按影响程度排序）：</w:t>
      </w:r>
    </w:p>
    <w:p>
      <w:pPr>
        <w:pStyle w:val="ListBullet"/>
      </w:pPr>
      <w:r>
        <w:t>内容覆盖残缺：18 份资产仅 2 份接入现有网站雏形，5 篇读书报告与全部模板、工具、法规缺席，学习闭环断裂；</w:t>
      </w:r>
    </w:p>
    <w:p>
      <w:pPr>
        <w:pStyle w:val="ListBullet"/>
      </w:pPr>
      <w:r>
        <w:t>根目录平铺混乱：18 个文件无目录分层，命名风格四分五裂，继续增长必然失控；</w:t>
      </w:r>
    </w:p>
    <w:p>
      <w:pPr>
        <w:pStyle w:val="ListBullet"/>
      </w:pPr>
      <w:r>
        <w:t>数据层质量问题：data.js 多条导航标题为截断半句，部分正文缺失；</w:t>
      </w:r>
    </w:p>
    <w:p>
      <w:pPr>
        <w:pStyle w:val="ListBullet"/>
      </w:pPr>
      <w:r>
        <w:t>元数据缺失：全部文件无日期、来源、难度、标签，方案与工具配套关系仅靠记忆；</w:t>
      </w:r>
    </w:p>
    <w:p>
      <w:pPr>
        <w:pStyle w:val="ListBullet"/>
      </w:pPr>
      <w:r>
        <w:t>学习闭环断档：无进度追踪、无输出作业、无练习入口；</w:t>
      </w:r>
    </w:p>
    <w:p>
      <w:pPr>
        <w:pStyle w:val="ListBullet"/>
      </w:pPr>
      <w:r>
        <w:t>前端技术债：有序列表渲染缺陷、搜索不含正文、兼容性与 SEO 基础缺失。</w:t>
      </w:r>
    </w:p>
    <w:p>
      <w:pPr>
        <w:pStyle w:val="BodyText"/>
      </w:pPr>
      <w:r>
        <w:t>上述问题构成本方案各章节设计输入：第 4 章解决覆盖与结构，第 5 章解决标准化与元数据，第 6 章解决学习闭环，第 7 章解决技术债。</w:t>
      </w:r>
    </w:p>
    <w:p>
      <w:pPr>
        <w:pStyle w:val="Heading2"/>
      </w:pPr>
      <w:r>
        <w:t>1.2 建设目标：三大核心方向</w:t>
      </w:r>
    </w:p>
    <w:p>
      <w:pPr>
        <w:pStyle w:val="BodyText"/>
      </w:pPr>
      <w:r>
        <w:t>网站围绕三个彼此支撑的核心方向建设：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核心方向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建设内涵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落地载体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知识沉淀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建立"源文件 → 结构化 → 入站 → 持续更新"的知识生产流水线，让读书报告、模板、工具、法规、案例不断沉淀为站内可复用资产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内容入站 SOP、元数据规范、工具与模板资源库、更新日志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知识库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构建可导航、可检索、可追溯的知识组织结构，18 份资产全量入站，形成约 70 篇文章的体系化内容库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六大栏目、标签体系、全文搜索、来源追溯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知识学习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提供有路径、有节奏、有输出、有验收的学习闭环，帮助学习者 3 个月形成可上岗的处置能力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 周成才路径、周打卡、输出物验收、沙盘训练、案例库</w:t>
            </w:r>
          </w:p>
        </w:tc>
      </w:tr>
    </w:tbl>
    <w:p>
      <w:pPr>
        <w:pStyle w:val="BodyText"/>
      </w:pPr>
      <w:r>
        <w:t>三者关系：知识沉淀是"源头活水"，保证内容持续供给；知识库是"组织骨架"，保证知识有序可达；知识学习是"使用场景"，保证知识转化为能力。缺少任一层，网站都会退化为"文档堆"或"阅读器"。</w:t>
      </w:r>
    </w:p>
    <w:p>
      <w:pPr>
        <w:pStyle w:val="Heading2"/>
      </w:pPr>
      <w:r>
        <w:t>1.3 目标人群与价值主张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人群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痛点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本站价值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转型入行者（主）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想学企业风险处置，但资料零散、不知从何下手、无业界标准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 个月成才路径 + 职业进阶地图（L1-L3）+ 全量方法论 + 可直接套用的模板工具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在岗财务 / 法务 / 管理者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风控知识碎片化、缺体系，学了无法立刻用于业务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"理论 → 模板 → 工具 → 沙盘"闭环，学了就能产出报告与方案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跨境物流 / 电商从业者（特色）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行业特有风险（跨境纠纷、政策突变、舆情）缺乏适配方法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篇读书报告均含跨境物流 / 企业适配章节，站内独立成块</w:t>
            </w:r>
          </w:p>
        </w:tc>
      </w:tr>
    </w:tbl>
    <w:p>
      <w:pPr>
        <w:pStyle w:val="Heading2"/>
      </w:pPr>
      <w:r>
        <w:t>1.4 参照模式</w:t>
      </w:r>
    </w:p>
    <w:p>
      <w:pPr>
        <w:pStyle w:val="BodyText"/>
      </w:pPr>
      <w:r>
        <w:t>参照「跨境电商高级实战系列」学习网站的体系化课程模式：按"系列 → 模块 → 课时"三层组织（本站对应"实战系列 → 六大栏目 → 文章/任务"）；每模块配可下载工具与练习任务，不只给内容还给交付物；栏目命名用行动语言（理论课堂 / 实操工具箱 / 沙盘训练），弱化"读书笔记"感。技术形态延续工作区已验证的纯静态学习站架构，并承接既有项目"数据驱动 + 双击即用"的成熟模式。</w:t>
      </w:r>
    </w:p>
    <w:p>
      <w:pPr>
        <w:pStyle w:val="Heading1"/>
      </w:pPr>
      <w:r>
        <w:t>2 总体设计理念</w:t>
      </w:r>
    </w:p>
    <w:p>
      <w:pPr>
        <w:pStyle w:val="Heading2"/>
      </w:pPr>
      <w:r>
        <w:t>2.1 三大支柱模型</w:t>
      </w:r>
    </w:p>
    <w:p>
      <w:pPr>
        <w:pStyle w:val="BodyText"/>
      </w:pPr>
      <w:r>
        <w:t>网站由知识沉淀、知识库、知识学习三个支柱构成完整闭环：</w:t>
      </w:r>
    </w:p>
    <w:p>
      <w:pPr>
        <w:pStyle w:val="ListBullet"/>
      </w:pPr>
      <w:r>
        <w:t>知识沉淀层：定义内容从何而来、如何清洗、如何结构化、如何更新，是全站的内容供给侧；</w:t>
      </w:r>
    </w:p>
    <w:p>
      <w:pPr>
        <w:pStyle w:val="ListBullet"/>
      </w:pPr>
      <w:r>
        <w:t>知识库层：定义知识如何分类、组织、标注、关联、检索，是全站的内容承载侧；</w:t>
      </w:r>
    </w:p>
    <w:p>
      <w:pPr>
        <w:pStyle w:val="ListBullet"/>
      </w:pPr>
      <w:r>
        <w:t>知识学习层：定义用户如何被引导、练习、输出、验收，是全站的能力转化侧。</w:t>
      </w:r>
    </w:p>
    <w:p>
      <w:pPr>
        <w:pStyle w:val="BodyText"/>
      </w:pPr>
      <w:r>
        <w:t>三条主线在页面层面交汇：学习路径页引导用户进入某篇文章（学习层），文章来自结构化入站（沉淀层），通过栏目与标签被检索定位（知识库层）。</w:t>
      </w:r>
    </w:p>
    <w:p>
      <w:pPr>
        <w:pStyle w:val="Heading2"/>
      </w:pPr>
      <w:r>
        <w:t>2.2 设计原则</w:t>
      </w:r>
    </w:p>
    <w:p>
      <w:pPr>
        <w:pStyle w:val="ListBullet"/>
      </w:pPr>
      <w:r>
        <w:t>路径为骨架：学习路径告诉学习者怎么走，是全站导航主线；</w:t>
      </w:r>
    </w:p>
    <w:p>
      <w:pPr>
        <w:pStyle w:val="ListBullet"/>
      </w:pPr>
      <w:r>
        <w:t>理论为血肉：方法论文档提供认知基础；</w:t>
      </w:r>
    </w:p>
    <w:p>
      <w:pPr>
        <w:pStyle w:val="ListBullet"/>
      </w:pPr>
      <w:r>
        <w:t>工具为双手：模板与测算工具可直接拿去做事；</w:t>
      </w:r>
    </w:p>
    <w:p>
      <w:pPr>
        <w:pStyle w:val="ListBullet"/>
      </w:pPr>
      <w:r>
        <w:t>沙盘与案例为考场：验证"学到什么、能处置什么"；</w:t>
      </w:r>
    </w:p>
    <w:p>
      <w:pPr>
        <w:pStyle w:val="ListBullet"/>
      </w:pPr>
      <w:r>
        <w:t>内容与代码分离：正文全部存于数据层，改内容不动代码；</w:t>
      </w:r>
    </w:p>
    <w:p>
      <w:pPr>
        <w:pStyle w:val="ListBullet"/>
      </w:pPr>
      <w:r>
        <w:t>纯静态、零依赖、双击即用：无需服务器与部署成本，本地文件直接打开。</w:t>
      </w:r>
    </w:p>
    <w:p>
      <w:pPr>
        <w:pStyle w:val="Heading1"/>
      </w:pPr>
      <w:r>
        <w:t>3 功能架构总览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功能方向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核心功能模块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用户价值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知识沉淀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内容入站管理（源文件 → 章节化 → 上线）、元数据维护、更新日志、版权出处标注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内容持续增量、来源可追溯，避免"只沉淀不更新"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知识库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六大栏目导航、全文搜索、标签与难度筛选、工具/模板下载区、法规要点卡、知识关联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18 份资产全量可达，约 70 篇文章可检索、可复用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知识学习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 周成才路径、周打卡与徽章、输出物验收清单、沙盘训练、案例库、学习进度记忆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阅读 → 工具 → 输出闭环，进度可感知、能力可验收</w:t>
            </w:r>
          </w:p>
        </w:tc>
      </w:tr>
    </w:tbl>
    <w:p>
      <w:pPr>
        <w:pStyle w:val="Heading1"/>
      </w:pPr>
      <w:r>
        <w:t>4 信息架构与栏目体系</w:t>
      </w:r>
    </w:p>
    <w:p>
      <w:pPr>
        <w:pStyle w:val="Heading2"/>
      </w:pPr>
      <w:r>
        <w:t>4.1 站点地图</w:t>
      </w:r>
    </w:p>
    <w:p>
      <w:pPr>
        <w:pStyle w:val="BodyText"/>
      </w:pPr>
      <w:r>
        <w:t>单页应用 + hash 路由，六个一级栏目 + 首页：</w:t>
      </w:r>
    </w:p>
    <w:p>
      <w:pPr>
        <w:pStyle w:val="ListBullet"/>
      </w:pPr>
      <w:r>
        <w:t>首页（#/）：学习总览卡片、三个月路径图、最近更新、继续学习入口；</w:t>
      </w:r>
    </w:p>
    <w:p>
      <w:pPr>
        <w:pStyle w:val="ListBullet"/>
      </w:pPr>
      <w:r>
        <w:t>01 学习路径（#/path）：13 周日历 + 打卡 + 输出物清单；</w:t>
      </w:r>
    </w:p>
    <w:p>
      <w:pPr>
        <w:pStyle w:val="ListBullet"/>
      </w:pPr>
      <w:r>
        <w:t>02 理论课堂（#/theory）：8 个子板块认知方法论 + 岗位画像；</w:t>
      </w:r>
    </w:p>
    <w:p>
      <w:pPr>
        <w:pStyle w:val="ListBullet"/>
      </w:pPr>
      <w:r>
        <w:t>03 实操工具箱（#/tools）：8 件套模板工具 + 5 张方法论卡；</w:t>
      </w:r>
    </w:p>
    <w:p>
      <w:pPr>
        <w:pStyle w:val="ListBullet"/>
      </w:pPr>
      <w:r>
        <w:t>04 沙盘训练（#/lab）：5 大场景练习（4 爆雷 + 金融机构谈判）；</w:t>
      </w:r>
    </w:p>
    <w:p>
      <w:pPr>
        <w:pStyle w:val="ListBullet"/>
      </w:pPr>
      <w:r>
        <w:t>05 案例库（#/cases）：15 个标注案例；</w:t>
      </w:r>
    </w:p>
    <w:p>
      <w:pPr>
        <w:pStyle w:val="ListBullet"/>
      </w:pPr>
      <w:r>
        <w:t>06 法规参考（#/law）：担保解释要点卡、央企应急办法架构图；</w:t>
      </w:r>
    </w:p>
    <w:p>
      <w:pPr>
        <w:pStyle w:val="ListBullet"/>
      </w:pPr>
      <w:r>
        <w:t>关于本站（#/about）：资料来源、方法论、版本记录。</w:t>
      </w:r>
    </w:p>
    <w:p>
      <w:pPr>
        <w:pStyle w:val="Heading2"/>
      </w:pPr>
      <w:r>
        <w:t>4.2 六大栏目详设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栏目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定位与内容来源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站内形态与交互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篇数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01 学习路径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三个月成才方案拆解为 13 周主线（筑基 / 进阶 / 成型）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周时间线 + 周任务列表 + 打卡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总览 1 + 周历 13 + 验收 3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02 理论课堂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篇读书报告 + 白皮书 + 投资人五大标准 + 岗位认知（职业画像 / 诊策行复流程 / T 型技能 / L1-L3 进阶 / 四大思维模型），共 8 个子板块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章节化文章，含摘要 / 框架 / 章节拆解 / 企业适配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约 37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03 实操工具箱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个模板（处置方案 / 评估报告 / 复盘 / SOP / 话术）+ 3 个工具（尽调清单 / 损失测算 / 等级评估）+ 5 张方法论卡（债务重组六步法 / 债转股结构 / 共益债务 / 谈判五层心法 / 战时五步法）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工具卡片墙：结构拆解 + 使用时机 + 下载；方法论卡支持页面内展开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8 件套 + 5 方法卡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04 沙盘训练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学习方案第 3 月四大爆雷场景 + 金融机构谈判推演（星汉智造 × 鼎泰银行完整剧本）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题干 → 输出要求 → 参考答案要点折叠 / 剧本分幕推进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场景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05 案例库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读书报告与实战剧本抽取的标注案例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案例卡：情境 / 处置 / 启示 / 标签，可检索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17 个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06 法规参考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民法典担保制度解释、中央企业应急管理办法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要点卡 + 原文索引，替代原文阅读门槛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 组</w:t>
            </w:r>
          </w:p>
        </w:tc>
      </w:tr>
    </w:tbl>
    <w:p>
      <w:pPr>
        <w:pStyle w:val="BodyText"/>
      </w:pPr>
      <w:r>
        <w:t>设计口径：随 v2 整合同步更新——Phase 1（内容全量入站）完成后站内文章约 55 篇，Phase 3（加入沙盘、案例与方法论卡）后约 80 篇；每个源文件必须能追溯到栏目与学习周，反向保证"路径引导 → 内容可达"。</w:t>
      </w:r>
    </w:p>
    <w:p>
      <w:pPr>
        <w:pStyle w:val="Heading1"/>
      </w:pPr>
      <w:r>
        <w:t>5 知识库体系设计</w:t>
      </w:r>
    </w:p>
    <w:p>
      <w:pPr>
        <w:pStyle w:val="Heading2"/>
      </w:pPr>
      <w:r>
        <w:t>5.1 内容资产地图</w:t>
      </w:r>
    </w:p>
    <w:p>
      <w:pPr>
        <w:pStyle w:val="BodyText"/>
      </w:pPr>
      <w:r>
        <w:t>工作区存量内容按六类组织（盘点基线 18 份资产，2026-09-17 新增第 19 份职业画像素材）：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资产类别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包含内容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在知识库中的作用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01 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篇读书报告 + 商业风控白皮书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建立处置方法论与思维框架，构成理论课堂主体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02 学习规划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三个月系统成才方案（含书单与模板索引）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全网学习主线索，升级为学习路径页数据源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03 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处置方案 / 评估报告 / 复盘报告 / 隔离止损 SOP / 谈判话术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把方法论变成可交付的职业技能产物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04 评估工具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尽调清单 / 损失测算 / 等级评估（xlsx）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标准化执行动作：排查、定级、算损失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05 法规参考 + 扩展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 份法规原文 + 投资人五大标准短文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处置动作的合规依据与资本视角延伸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06 岗位认知与实战方法论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商业风险处置顾问职业画像：职责维度 / 诊策行复流程 / T 型技能 / L1-L3 进阶 / 债务重组六步法 / 债转股与共益债务 / 谈判五层心法 / 金融机构沙盘剧本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补齐岗位认知与高阶实战内容，供理论、工具箱、沙盘、案例四栏目复用</w:t>
            </w:r>
          </w:p>
        </w:tc>
      </w:tr>
    </w:tbl>
    <w:p>
      <w:pPr>
        <w:pStyle w:val="Heading2"/>
      </w:pPr>
      <w:r>
        <w:t>5.2 知识分类与标签体系</w:t>
      </w:r>
    </w:p>
    <w:p>
      <w:pPr>
        <w:pStyle w:val="BodyText"/>
      </w:pPr>
      <w:r>
        <w:t>知识按"栏目 → 子板块 → 文章"三级组织；每篇文章挂三类标签：</w:t>
      </w:r>
    </w:p>
    <w:p>
      <w:pPr>
        <w:pStyle w:val="ListBullet"/>
      </w:pPr>
      <w:r>
        <w:t>难度标签：入门 / 进阶 / 高阶，匹配学习阶段；</w:t>
      </w:r>
    </w:p>
    <w:p>
      <w:pPr>
        <w:pStyle w:val="ListBullet"/>
      </w:pPr>
      <w:r>
        <w:t>学习周标签：对应 W1-W13，支撑路径页联动推荐；</w:t>
      </w:r>
    </w:p>
    <w:p>
      <w:pPr>
        <w:pStyle w:val="ListBullet"/>
      </w:pPr>
      <w:r>
        <w:t>主题标签：处置手法（止损 / 谈判 / 重组 / 舆情 / 隔离）与行业（跨境 / 物流 / 电商 / 制造），支撑交叉检索与案例归类。</w:t>
      </w:r>
    </w:p>
    <w:p>
      <w:pPr>
        <w:pStyle w:val="Heading2"/>
      </w:pPr>
      <w:r>
        <w:t>5.3 元数据规范</w:t>
      </w:r>
    </w:p>
    <w:p>
      <w:pPr>
        <w:pStyle w:val="BodyText"/>
      </w:pPr>
      <w:r>
        <w:t>每个站内条目必须携带完整元数据，作为知识库可追溯性的基础：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元数据字段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009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id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全局唯一标识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whitepaper-01 / book-04-03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title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完整语义化标题（禁止半截标题）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风控资产的四大特征：无形性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tags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难度 + 学习周 + 主题标签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[入门, W3, 尽调]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difficulty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入门 / 进阶 / 高阶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入门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week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对应学习周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W3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source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来源文件与版本日期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读书报告《黑天鹅》2026-09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updated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最近更新日期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2026-09-14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content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正文（章节化拆分）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章节 HTML</w:t>
            </w:r>
          </w:p>
        </w:tc>
      </w:tr>
    </w:tbl>
    <w:p>
      <w:pPr>
        <w:pStyle w:val="Heading2"/>
      </w:pPr>
      <w:r>
        <w:t>5.4 目录与命名规范</w:t>
      </w:r>
    </w:p>
    <w:p>
      <w:pPr>
        <w:pStyle w:val="BodyText"/>
      </w:pPr>
      <w:r>
        <w:t>工作区按资产类别建立一层子目录，源码独立成区，避免内容与代码混放：</w:t>
      </w:r>
    </w:p>
    <w:p>
      <w:pPr>
        <w:pStyle w:val="ListBullet"/>
      </w:pPr>
      <w:r>
        <w:t>01_认知理论（读书报告 + 白皮书 + 扩展素材）；</w:t>
      </w:r>
    </w:p>
    <w:p>
      <w:pPr>
        <w:pStyle w:val="ListBullet"/>
      </w:pPr>
      <w:r>
        <w:t>02_学习规划（学习方案）；</w:t>
      </w:r>
    </w:p>
    <w:p>
      <w:pPr>
        <w:pStyle w:val="ListBullet"/>
      </w:pPr>
      <w:r>
        <w:t>03_实操模板（5 份模板与 SOP）；</w:t>
      </w:r>
    </w:p>
    <w:p>
      <w:pPr>
        <w:pStyle w:val="ListBullet"/>
      </w:pPr>
      <w:r>
        <w:t>04_评估工具（3 份 xlsx）；</w:t>
      </w:r>
    </w:p>
    <w:p>
      <w:pPr>
        <w:pStyle w:val="ListBullet"/>
      </w:pPr>
      <w:r>
        <w:t>05_法规参考（2 份 PDF）；</w:t>
      </w:r>
    </w:p>
    <w:p>
      <w:pPr>
        <w:pStyle w:val="ListBullet"/>
      </w:pPr>
      <w:r>
        <w:t>06_网站源码（risk-learning-site，含 data.js 数据层）。</w:t>
      </w:r>
    </w:p>
    <w:p>
      <w:pPr>
        <w:pStyle w:val="BodyText"/>
      </w:pPr>
      <w:r>
        <w:t>命名规范：读书报告统一为"读书报告</w:t>
      </w:r>
      <w:r>
        <w:rPr>
          <w:i/>
        </w:rPr>
        <w:t>《书名》</w:t>
      </w:r>
      <w:r>
        <w:t>副题"；模板统一为"模板</w:t>
      </w:r>
      <w:r>
        <w:rPr>
          <w:i/>
        </w:rPr>
        <w:t>对象</w:t>
      </w:r>
      <w:r>
        <w:t>版本"；工具统一为"工具</w:t>
      </w:r>
      <w:r>
        <w:rPr>
          <w:i/>
        </w:rPr>
        <w:t>用途</w:t>
      </w:r>
      <w:r>
        <w:t>版本"；法规统一为"法规</w:t>
      </w:r>
      <w:r>
        <w:rPr>
          <w:i/>
        </w:rPr>
        <w:t>发布机构</w:t>
      </w:r>
      <w:r>
        <w:t>名称"。</w:t>
      </w:r>
    </w:p>
    <w:p>
      <w:pPr>
        <w:pStyle w:val="Heading2"/>
      </w:pPr>
      <w:r>
        <w:t>5.5 内容入站生产流程（知识沉淀机制）</w:t>
      </w:r>
    </w:p>
    <w:p>
      <w:pPr>
        <w:pStyle w:val="BodyText"/>
      </w:pPr>
      <w:r>
        <w:t>知识沉淀以"不篡改原文、只做结构化"为底线，按五步流水线执行：</w:t>
      </w:r>
    </w:p>
    <w:p>
      <w:pPr>
        <w:pStyle w:val="ListNumber"/>
        <w:numPr>
          <w:ilvl w:val="0"/>
          <w:numId w:val="10"/>
        </w:numPr>
      </w:pPr>
      <w:r>
        <w:t>源文件清洗：读取 docx / xlsx / pdf 原文，补全半截标题与截断正文，标注版本日期；</w:t>
      </w:r>
    </w:p>
    <w:p>
      <w:pPr>
        <w:pStyle w:val="ListNumber"/>
        <w:numPr>
          <w:ilvl w:val="0"/>
          <w:numId w:val="10"/>
        </w:numPr>
      </w:pPr>
      <w:r>
        <w:t>章节化拆分：长文（读书报告 8-10 万字总量级）按章节拆分，不存超大单条；</w:t>
      </w:r>
    </w:p>
    <w:p>
      <w:pPr>
        <w:pStyle w:val="ListNumber"/>
        <w:numPr>
          <w:ilvl w:val="0"/>
          <w:numId w:val="10"/>
        </w:numPr>
      </w:pPr>
      <w:r>
        <w:t>元数据补全：按 5.3 规范补齐字段，维护 18 行元数据台账；</w:t>
      </w:r>
    </w:p>
    <w:p>
      <w:pPr>
        <w:pStyle w:val="ListNumber"/>
        <w:numPr>
          <w:ilvl w:val="0"/>
          <w:numId w:val="10"/>
        </w:numPr>
      </w:pPr>
      <w:r>
        <w:t>入站渲染：按映射表分批写入 data.js，每入站一份即完成一次可验证的增量交付；</w:t>
      </w:r>
    </w:p>
    <w:p>
      <w:pPr>
        <w:pStyle w:val="ListNumber"/>
        <w:numPr>
          <w:ilvl w:val="0"/>
          <w:numId w:val="10"/>
        </w:numPr>
      </w:pPr>
      <w:r>
        <w:t>校验上线：核对标题完整、正文无缺口、链接与下载可用后发布，更新"最近更新"。</w:t>
      </w:r>
    </w:p>
    <w:p>
      <w:pPr>
        <w:pStyle w:val="BodyText"/>
      </w:pPr>
      <w:r>
        <w:t>典型示例：读书报告四段式入站（每篇拆为摘要 / 框架 / 章节拆解 / 企业适配四段），既保留原文结构，又为用户提供"先看摘要、再入章节"的阅读路径。</w:t>
      </w:r>
    </w:p>
    <w:p>
      <w:pPr>
        <w:pStyle w:val="BodyText"/>
      </w:pPr>
      <w:r>
        <w:t>第 19 份素材按"一文多用"策略拆解入站：岗位认知 4 篇进理论课堂、方法论 5 张卡进工具箱、谈判剧本整编为沙盘第 5 场景、抽取 2 则案例进案例库；同一源头在不同栏目携带不同元数据与阅读路径，全程可溯源回原稿。</w:t>
      </w:r>
    </w:p>
    <w:p>
      <w:pPr>
        <w:pStyle w:val="Heading1"/>
      </w:pPr>
      <w:r>
        <w:t>6 学习路径设计</w:t>
      </w:r>
    </w:p>
    <w:p>
      <w:pPr>
        <w:pStyle w:val="Heading2"/>
      </w:pPr>
      <w:r>
        <w:t>6.1 13 周成才路径</w:t>
      </w:r>
    </w:p>
    <w:p>
      <w:pPr>
        <w:pStyle w:val="BodyText"/>
      </w:pPr>
      <w:r>
        <w:t>基于三个月成才方案的结构化演绎，每周一个主题，配站内内容与输出物：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周次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本周主题与内容锚点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输出物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W0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启程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入站引导：岗位认知（顾问角色与职责 / 画像自评）、学习节奏、工具箱索引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画像自评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风险处置全景 + 民法典担保基础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风险类型自绘地图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W2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尽调基础 I：工商 / 涉诉 / 资产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简易排查简报①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尽调基础 II：合同 / 舆情 / 资金 + 风险定级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排查简报② + 定级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W4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非诉处置逻辑 + 尽调出报告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风险评估报告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W5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筑基验收：预判-止损-复盘三环节串讲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排查简报 + 评估报告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不良资产行业生态与尽调估值（债务重组六步法入门）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估值思路卡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W7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损失测算 × 处置方案书结构（三套预案）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方案书①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W8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四大高频场景 × 谈判力（五层心法）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方案书②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W9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进阶验收：债务纾困思维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完整处置方案书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W10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成型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风险隔离与止损 SOP（五层隔离）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隔离方案演练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成型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非常规风险与反脆弱（黑天鹅）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脆弱性扫描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W12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成型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舆情攻防与声誉修复（闪电战）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舆情预案卡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W13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成型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沙盘毕业考 + 复盘沉淀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整套处置交付物</w:t>
            </w:r>
          </w:p>
        </w:tc>
      </w:tr>
    </w:tbl>
    <w:p>
      <w:pPr>
        <w:pStyle w:val="Heading2"/>
      </w:pPr>
      <w:r>
        <w:t>6.2 打卡与徽章机制</w:t>
      </w:r>
    </w:p>
    <w:p>
      <w:pPr>
        <w:pStyle w:val="BodyText"/>
      </w:pPr>
      <w:r>
        <w:t>每周完成"阅读 → 工具使用 → 输出物"三步即打勾；筑基期（W1-W5）、进阶期（W6-W9）、成型期（W10-W13）全部打勾点亮对应阶段徽章。进度存 localStorage，纯本地、无账号成本，双击即用场景下零部署即可完成进度追踪。</w:t>
      </w:r>
    </w:p>
    <w:p>
      <w:pPr>
        <w:pStyle w:val="Heading2"/>
      </w:pPr>
      <w:r>
        <w:t>6.3 输出物验收清单</w:t>
      </w:r>
    </w:p>
    <w:p>
      <w:pPr>
        <w:pStyle w:val="ListBullet"/>
      </w:pPr>
      <w:r>
        <w:t>筑基验收（W5 末）：简易排查简报 + 风险评估报告；</w:t>
      </w:r>
    </w:p>
    <w:p>
      <w:pPr>
        <w:pStyle w:val="ListBullet"/>
      </w:pPr>
      <w:r>
        <w:t>进阶验收（W9 末）：一份独立成稿的完整处置方案书（风险概况 → 损失测算 → 三套预案 → 执行步骤 → 隔离止损 → 复盘建议）；</w:t>
      </w:r>
    </w:p>
    <w:p>
      <w:pPr>
        <w:pStyle w:val="ListBullet"/>
      </w:pPr>
      <w:r>
        <w:t>毕业验收（W13 末）：尽调表 + 评估报告 + 处置方案 + 谈判话术 + 执行时间表整套交付物。</w:t>
      </w:r>
    </w:p>
    <w:p>
      <w:pPr>
        <w:pStyle w:val="Heading2"/>
      </w:pPr>
      <w:r>
        <w:t>6.4 沙盘训练与案例库设计</w:t>
      </w:r>
    </w:p>
    <w:p>
      <w:pPr>
        <w:pStyle w:val="ListBullet"/>
      </w:pPr>
      <w:r>
        <w:t>沙盘训练：对应学习方案第 3 月四大爆雷场景（客户拖欠大额款项 / 项目中途违约停工 / 多方债务集中到期 / 合作方恶意扣货违约），每场景给出题干，要求输出尽调、方案、话术与时间表，参考答案折叠展示；另设高阶沙盘「金融机构谈判推演」（星汉智造 × 鼎泰银行），以完整对话剧本 + 复盘批注 + 四大铁律作进阶训练，置于成型期 W13 毕业考之前；</w:t>
      </w:r>
    </w:p>
    <w:p>
      <w:pPr>
        <w:pStyle w:val="ListBullet"/>
      </w:pPr>
      <w:r>
        <w:t>案例库：从读书报告与实战剧本中抽取 17 个标注案例（新增并购交割卡壳、房企重组 AMC 两则），按处置手法打标签（止损 / 谈判 / 重组 / 舆情 / 协同），支持标签检索，形成"看案例学处置"的素材池。</w:t>
      </w:r>
    </w:p>
    <w:p>
      <w:pPr>
        <w:pStyle w:val="Heading1"/>
      </w:pPr>
      <w:r>
        <w:t>7 技术支持方案</w:t>
      </w:r>
    </w:p>
    <w:p>
      <w:pPr>
        <w:pStyle w:val="Heading2"/>
      </w:pPr>
      <w:r>
        <w:t>7.1 技术架构</w:t>
      </w:r>
    </w:p>
    <w:p>
      <w:pPr>
        <w:pStyle w:val="BodyText"/>
      </w:pPr>
      <w:r>
        <w:t>延续已验证的纯静态路线，零依赖、零部署成本、双击即用：</w:t>
      </w:r>
    </w:p>
    <w:p>
      <w:pPr>
        <w:pStyle w:val="ListBullet"/>
      </w:pPr>
      <w:r>
        <w:t>index.html：入口壳（侧栏 + 主内容 + 脚本挂载）；</w:t>
      </w:r>
    </w:p>
    <w:p>
      <w:pPr>
        <w:pStyle w:val="ListBullet"/>
      </w:pPr>
      <w:r>
        <w:t>style.css：品牌变量、组件、移动端与打印样式；</w:t>
      </w:r>
    </w:p>
    <w:p>
      <w:pPr>
        <w:pStyle w:val="ListBullet"/>
      </w:pPr>
      <w:r>
        <w:t>app.js：导航 / 路由 / 搜索 / 进度 / 沙盘交互逻辑；</w:t>
      </w:r>
    </w:p>
    <w:p>
      <w:pPr>
        <w:pStyle w:val="ListBullet"/>
      </w:pPr>
      <w:r>
        <w:t>data.js：数据层核心，site / sections / articles 三段结构，每篇文章含 id、title、tags、difficulty、week、source、content；</w:t>
      </w:r>
    </w:p>
    <w:p>
      <w:pPr>
        <w:pStyle w:val="ListBullet"/>
      </w:pPr>
      <w:r>
        <w:t>assets/：模板与工具下载文件引用目录。</w:t>
      </w:r>
    </w:p>
    <w:p>
      <w:pPr>
        <w:pStyle w:val="BodyText"/>
      </w:pPr>
      <w:r>
        <w:t>关键决策：data.js 用 JS 对象而非 fetch JSON，file:// 双击直接可用，天然规避 CORS 限制。</w:t>
      </w:r>
    </w:p>
    <w:p>
      <w:pPr>
        <w:pStyle w:val="Heading2"/>
      </w:pPr>
      <w:r>
        <w:t>7.2 交互功能清单</w:t>
      </w:r>
    </w:p>
    <w:p>
      <w:pPr>
        <w:pStyle w:val="ListBullet"/>
      </w:pPr>
      <w:r>
        <w:t>13 周时间线：路径页主视觉，周进度自动高亮；</w:t>
      </w:r>
    </w:p>
    <w:p>
      <w:pPr>
        <w:pStyle w:val="ListBullet"/>
      </w:pPr>
      <w:r>
        <w:t>周历打卡：三项打勾 + 阶段徽章，localStorage 持久化；</w:t>
      </w:r>
    </w:p>
    <w:p>
      <w:pPr>
        <w:pStyle w:val="ListBullet"/>
      </w:pPr>
      <w:r>
        <w:t>工具卡片墙：模板 / 工具封面卡 + 下载 + 使用时机标签；</w:t>
      </w:r>
    </w:p>
    <w:p>
      <w:pPr>
        <w:pStyle w:val="ListBullet"/>
      </w:pPr>
      <w:r>
        <w:t>全文搜索：标题 + 标签 + 正文摘要联合索引，高亮命中；</w:t>
      </w:r>
    </w:p>
    <w:p>
      <w:pPr>
        <w:pStyle w:val="ListBullet"/>
      </w:pPr>
      <w:r>
        <w:t>已读标记：侧栏文章阅读后淡色 / 打勾；</w:t>
      </w:r>
    </w:p>
    <w:p>
      <w:pPr>
        <w:pStyle w:val="ListBullet"/>
      </w:pPr>
      <w:r>
        <w:t>风险矩阵四象限图：SVG 可视化定级逻辑；</w:t>
      </w:r>
    </w:p>
    <w:p>
      <w:pPr>
        <w:pStyle w:val="ListBullet"/>
      </w:pPr>
      <w:r>
        <w:t>五层隔离示意图：SOP 专属层级示意；</w:t>
      </w:r>
    </w:p>
    <w:p>
      <w:pPr>
        <w:pStyle w:val="ListBullet"/>
      </w:pPr>
      <w:r>
        <w:t>沙盘答题式交互：题干 → 输出框 → 参考答案折叠；</w:t>
      </w:r>
    </w:p>
    <w:p>
      <w:pPr>
        <w:pStyle w:val="ListBullet"/>
      </w:pPr>
      <w:r>
        <w:t>导出能力：文章打印样式 + 一键导出全文，全站知识地图。</w:t>
      </w:r>
    </w:p>
    <w:p>
      <w:pPr>
        <w:pStyle w:val="Heading2"/>
      </w:pPr>
      <w:r>
        <w:t>7.3 实现避坑清单</w:t>
      </w:r>
    </w:p>
    <w:p>
      <w:pPr>
        <w:pStyle w:val="ListBullet"/>
      </w:pPr>
      <w:r>
        <w:t>字符串卫生：JS 字符串内禁裸双引号，中文语境用「」替代，杜绝引号逃逸；</w:t>
      </w:r>
    </w:p>
    <w:p>
      <w:pPr>
        <w:pStyle w:val="ListBullet"/>
      </w:pPr>
      <w:r>
        <w:t>长文渲染：正文用 contentHtml 字段直接存 HTML，绕开简易 Markdown 渲染器已知缺陷（有序列表、多行引用块）；</w:t>
      </w:r>
    </w:p>
    <w:p>
      <w:pPr>
        <w:pStyle w:val="ListBullet"/>
      </w:pPr>
      <w:r>
        <w:t>缓存规避：data.js 结构升级后改文件名或版本号强制刷新；</w:t>
      </w:r>
    </w:p>
    <w:p>
      <w:pPr>
        <w:pStyle w:val="ListBullet"/>
      </w:pPr>
      <w:r>
        <w:t>兼容降级：:has() 等新选择器提供降级方案，支持 Safari 旧版；</w:t>
      </w:r>
    </w:p>
    <w:p>
      <w:pPr>
        <w:pStyle w:val="ListBullet"/>
      </w:pPr>
      <w:r>
        <w:t>本地校验：开发期以 python -m http.server 起本地服务调试，交付形态仍为双击可用；</w:t>
      </w:r>
    </w:p>
    <w:p>
      <w:pPr>
        <w:pStyle w:val="ListBullet"/>
      </w:pPr>
      <w:r>
        <w:t>合规标注：白皮书版权归融智研究院，站内标注出处；读书报告为个人学习笔记，站内声明"个人学习整理"。</w:t>
      </w:r>
    </w:p>
    <w:p>
      <w:pPr>
        <w:pStyle w:val="Heading1"/>
      </w:pPr>
      <w:r>
        <w:t>8 视觉与交互方向</w:t>
      </w:r>
    </w:p>
    <w:p>
      <w:pPr>
        <w:pStyle w:val="BodyText"/>
      </w:pPr>
      <w:r>
        <w:t>现有站点雏形为深色侧栏文档站，本次在保留骨架的基础上做品牌化升级，不推翻架构只换皮肤与组件：</w:t>
      </w:r>
    </w:p>
    <w:p>
      <w:pPr>
        <w:pStyle w:val="ListBullet"/>
      </w:pPr>
      <w:r>
        <w:t>色彩基调：深海军蓝 #132C47 主色 + 琥珀金 #C89B3C 强调色 + 冷灰内容区，传递"沉稳 · 专业 · 权威"；</w:t>
      </w:r>
    </w:p>
    <w:p>
      <w:pPr>
        <w:pStyle w:val="ListBullet"/>
      </w:pPr>
      <w:r>
        <w:t>品牌意象：盾牌 / 仪表盘 / 风险矩阵四象限（SVG 内联，不依赖图片资源）；</w:t>
      </w:r>
    </w:p>
    <w:p>
      <w:pPr>
        <w:pStyle w:val="ListBullet"/>
      </w:pPr>
      <w:r>
        <w:t>排版：正文 15-16px、行高 1.8，长文留白为主，工具卡片走紧凑网格；</w:t>
      </w:r>
    </w:p>
    <w:p>
      <w:pPr>
        <w:pStyle w:val="ListBullet"/>
      </w:pPr>
      <w:r>
        <w:t>明暗模式：默认浅色，提供深色切换（CSS 变量驱动）；</w:t>
      </w:r>
    </w:p>
    <w:p>
      <w:pPr>
        <w:pStyle w:val="ListBullet"/>
      </w:pPr>
      <w:r>
        <w:t>移动端：侧栏抽屉导航，适配手机浏览与下载。</w:t>
      </w:r>
    </w:p>
    <w:p>
      <w:pPr>
        <w:pStyle w:val="Heading1"/>
      </w:pPr>
      <w:r>
        <w:t>9 建设路线与里程碑</w:t>
      </w:r>
    </w:p>
    <w:p>
      <w:pPr>
        <w:pStyle w:val="BodyText"/>
      </w:pPr>
      <w:r>
        <w:t>按四个阶段推进，每阶段有可验证的站内成果：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核心动作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验收标准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工作量参考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P0 内容标准化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目录重组 + 统一命名 + 18 文件元数据表定稿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工作区 5+1 目录结构清晰，元数据表 18 行完整，无孤文件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1-2 天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 内容全量入站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 篇读书报告章节化入站；白皮书标题与正文修复；岗位认知 4 篇上线；工具箱 8 件套 + 5 张方法论卡上线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站内文章约 55 篇，导航按 6 栏目分组，白皮书无半截标题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4-6 天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P2 学习闭环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全文搜索 + 13 周打卡 + 已读标记 + 工具下载区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搜索可命中正文；W0 至 W13 逐周打勾点亮三段徽章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一周内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P3 训练站升级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沙盘 5 场景（含金融机构谈判推演）+ 案例库 17 篇 + 方法论卡 5 张 + 法规要点卡 + 笔记高亮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独立完成至少 1 个爆雷场景与 1 场谈判推演的整套处置交付；案例可检索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后续迭代</w:t>
            </w:r>
          </w:p>
        </w:tc>
      </w:tr>
    </w:tbl>
    <w:p>
      <w:pPr>
        <w:pStyle w:val="BodyText"/>
      </w:pPr>
      <w:r>
        <w:t>实施顺序建议：先执行 P0 内容标准化，随后按映射表分批生成 data.js——每入站一份读书报告即完成一次可验证的增量交付，全程可控、可回溯。</w:t>
      </w:r>
    </w:p>
    <w:p>
      <w:pPr>
        <w:pStyle w:val="Heading1"/>
      </w:pPr>
      <w:r>
        <w:t>10 内容持续运营机制</w:t>
      </w:r>
    </w:p>
    <w:p>
      <w:pPr>
        <w:pStyle w:val="ListBullet"/>
      </w:pPr>
      <w:r>
        <w:t>入站 SOP：新读书报告、新模板、新法规按 5.5 五步流程入站，更新元数据台账与"最近更新"；</w:t>
      </w:r>
    </w:p>
    <w:p>
      <w:pPr>
        <w:pStyle w:val="ListBullet"/>
      </w:pPr>
      <w:r>
        <w:t>复盘沉淀：将实际项目处置、合同审核、纠纷处理经验按"情境 → 处置 → 启示"沉淀为案例卡，持续补充案例库；</w:t>
      </w:r>
    </w:p>
    <w:p>
      <w:pPr>
        <w:pStyle w:val="ListBullet"/>
      </w:pPr>
      <w:r>
        <w:t>跨境特色扩展：结合跨境物流与电商实务（海外仓转型、清关政策变化、跨境纠纷）逐步增设行业专题板块，与既有读书报告的跨境适配章节形成呼应；</w:t>
      </w:r>
    </w:p>
    <w:p>
      <w:pPr>
        <w:pStyle w:val="ListBullet"/>
      </w:pPr>
      <w:r>
        <w:t>版本管理：数据层升级通过版本号记录，白皮书等外部版权内容仅标注出处、不做改写。</w:t>
      </w:r>
    </w:p>
    <w:p>
      <w:pPr>
        <w:pStyle w:val="Heading1"/>
      </w:pPr>
      <w:r>
        <w:t>11 风险与合规</w:t>
      </w:r>
    </w:p>
    <w:p>
      <w:pPr>
        <w:pStyle w:val="ListBullet"/>
      </w:pPr>
      <w:r>
        <w:t>版权边界：白皮书为融智研究院版权内容，仅作引用与要点化处理并标注出处；读书报告为个人学习整理，站内声明性质；</w:t>
      </w:r>
    </w:p>
    <w:p>
      <w:pPr>
        <w:pStyle w:val="ListBullet"/>
      </w:pPr>
      <w:r>
        <w:t>内容准确性：法规要点卡以原文为索引，不替代原文，注明"精读原文可从站外 PDF 获取"；</w:t>
      </w:r>
    </w:p>
    <w:p>
      <w:pPr>
        <w:pStyle w:val="ListBullet"/>
      </w:pPr>
      <w:r>
        <w:t>技术风险：浏览器缓存导致旧数据残留，通过版本文件名规避；纯静态方案无服务端，数据备份依靠本地文件版本控制。</w:t>
      </w:r>
    </w:p>
    <w:p>
      <w:pPr>
        <w:pStyle w:val="Heading1"/>
      </w:pPr>
      <w:r>
        <w:t>12 结论与下一步建议</w:t>
      </w:r>
    </w:p>
    <w:p>
      <w:pPr>
        <w:pStyle w:val="Heading2"/>
      </w:pPr>
      <w:r>
        <w:t>12.1 结论</w:t>
      </w:r>
    </w:p>
    <w:p>
      <w:pPr>
        <w:pStyle w:val="BodyText"/>
      </w:pPr>
      <w:r>
        <w:t>本方案将 18 份存量内容资产重新组织为"知识沉淀 → 知识库 → 知识学习"三位一体的学习网站：以标准化的入站流水线保证知识可持续沉淀，以六大栏目与元数据体系保证知识有序可达，以 13 周路径与沙盘验收保证知识转化为职业能力。方案延续已验证的纯静态技术路线，建设成本低、阶段成果可验证、扩展路径清晰，具备直接进入实施的条件。</w:t>
      </w:r>
    </w:p>
    <w:p>
      <w:pPr>
        <w:pStyle w:val="Heading2"/>
      </w:pPr>
      <w:r>
        <w:t>12.2 待确认事项</w:t>
      </w:r>
    </w:p>
    <w:p>
      <w:pPr>
        <w:pStyle w:val="BodyText"/>
      </w:pPr>
      <w:r>
        <w:t>实施前需确认以下方向：</w:t>
      </w:r>
    </w:p>
    <w:p>
      <w:pPr>
        <w:pStyle w:val="ListBullet"/>
      </w:pPr>
      <w:r>
        <w:t>启动方式：选择"P0 原型搭建"、"仅内容标准化"或"单篇读书报告入站试跑"三者之一作为第一步；</w:t>
      </w:r>
    </w:p>
    <w:p>
      <w:pPr>
        <w:pStyle w:val="ListBullet"/>
      </w:pPr>
      <w:r>
        <w:t>视觉确认：深海军蓝 + 琥珀金的品牌基调是否符合预期（可提供明暗双方案对比）；</w:t>
      </w:r>
    </w:p>
    <w:p>
      <w:pPr>
        <w:pStyle w:val="ListBullet"/>
      </w:pPr>
      <w:r>
        <w:t>栏目裁量：六大栏目是否全部纳入 Phase 1，或按"路径 + 理论 + 工具箱"先行的方式收敛首期范围。</w:t>
      </w:r>
    </w:p>
    <w:p>
      <w:pPr>
        <w:pStyle w:val="BodyText"/>
      </w:pPr>
      <w:r>
        <w:t>确认后即可按第 9 章路线启动实施，每阶段交付可验证的站内成果。</w:t>
      </w:r>
    </w:p>
    <w:p>
      <w:pPr>
        <w:pStyle w:val="Heading1"/>
      </w:pPr>
      <w:r>
        <w:t>附录 源文件到栏目映射表</w:t>
      </w:r>
    </w:p>
    <w:p>
      <w:pPr>
        <w:pStyle w:val="BodyText"/>
      </w:pPr>
      <w:r>
        <w:t>18 份内容资产的目标栏目与拆分策略（实施时据此生成 data.js）：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源文件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256"/>
            <w:shd w:val="clear" w:color="auto" w:fill="132C47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目标栏目与拆分策略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读书报告《危机应对的道与术》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理论课堂·危机处置思辨，拆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读书报告《掘金》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理论课堂·不良资产，拆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读书报告《稳评指南》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理论课堂·风险评估方法论，拆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4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读书报告《黑天鹅》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理论课堂·反脆弱，拆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5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读书报告《闪电战》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理论课堂·舆情攻防，拆 5 篇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商业风控白皮书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认知理论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理论课堂·风控资产化，24 条目合并为 7 章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7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投资人五大标准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扩展素材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理论课堂·资本视角，单篇延伸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8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风险处置学习方案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学习规划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学习路径页数据源，13 周拆解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9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标准风险处置方案模板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10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风险评估报告模板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项目结案复盘报告模板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12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风险隔离与止损 SOP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谈判沟通话术框架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实操模板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工具箱·模板讲解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14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企业风险全面尽调清单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评估工具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工具箱·工具指南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15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风险损失测算模板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评估工具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工具箱·工具指南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风险等级评估表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评估工具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工具箱·工具指南 + 下载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17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中央企业应急管理办法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法规参考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法规要点卡 + 架构图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18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民法典担保制度解释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法规参考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 条核心要点卡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19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商业风险处置顾问.md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岗位认知方法论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理论课堂·岗位认知 4 篇；工具箱·方法论卡 5 张；沙盘·金融机构谈判 1 场景；案例库 +2 则</w:t>
            </w:r>
          </w:p>
        </w:tc>
      </w:tr>
    </w:tbl>
    <w:p>
      <w:pPr>
        <w:pStyle w:val="BodyText"/>
      </w:pPr>
      <w:r>
        <w:t>本方案与《风险处置内容整理分析与优化建议》《学习网站架构与内容体系规划》配套使用：前者为内容底座清单，后者为架构蓝图，本方案为设计定稿与实施契约。第 19 份素材为 2026-09-17 补充的职业画像与实战方法论稿，整合后理论课堂扩容至 8 个子板块、工具箱增设方法论卡层、沙盘与案例库各扩容。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Calibri" w:hAnsi="Calibri" w:eastAsia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65"/>
      <w:ind w:firstLine="440"/>
    </w:pPr>
    <w:rPr>
      <w:rFonts w:ascii="Calibri" w:hAnsi="Calibri" w:eastAsia="微软雅黑"/>
      <w:color w:val="2525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32C4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32C4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C89B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5" w:line="384" w:lineRule="auto"/>
      <w:ind w:firstLine="440"/>
    </w:pPr>
    <w:rPr>
      <w:rFonts w:ascii="Calibri" w:hAnsi="Calibri" w:eastAsia="微软雅黑"/>
      <w:color w:val="252525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微软雅黑"/>
      <w:color w:val="252525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微软雅黑"/>
      <w:b/>
      <w:bCs/>
      <w:i/>
      <w:iCs/>
      <w:color w:val="252525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商业风险处置学习网站设计方案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"4e6a53db-f7f3-4535-aeac-3c1c877f7637", "ReservedCode1": "72dafc97cd38b92e5f3d5cdfd0dfbbe6", "ContentPropagator": "001191110000802100433B11010001191110000802100433B11010", "PropagateID": "7e11fb22-b15e-4ed2-b102-d903f3f8721c", "ReservedCode2": "2734827274df537123a472bf4de01eb5"}</vt:lpwstr>
  </property>
</Properties>
</file>