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《危机应对的道与术》读书报告</w:t>
      </w:r>
    </w:p>
    <w:p>
      <w:pPr>
        <w:pStyle w:val="BodyText"/>
      </w:pPr>
      <w:r>
        <w:rPr>
          <w:b/>
        </w:rPr>
        <w:t>风险预判、止损、复盘底层逻辑——企业突发风险处置思维搭建</w:t>
      </w:r>
    </w:p>
    <w:p>
      <w:pPr>
        <w:pStyle w:val="BodyText"/>
      </w:pPr>
      <w:r>
        <w:rPr>
          <w:b/>
        </w:rPr>
        <w:t>报告人：</w:t>
      </w:r>
      <w:r>
        <w:t xml:space="preserve"> 个人学习整理 </w:t>
      </w:r>
      <w:r>
        <w:rPr>
          <w:b/>
        </w:rPr>
        <w:t>日期：</w:t>
      </w:r>
      <w:r>
        <w:t xml:space="preserve"> 2026年9月14日 </w:t>
      </w:r>
      <w:r>
        <w:rPr>
          <w:b/>
        </w:rPr>
        <w:t>书籍信息：</w:t>
      </w:r>
      <w:r>
        <w:t xml:space="preserve"> 《危机应对的道与术》，徐忠、朱满洲、任晴 著，人民日报出版社，2024年2月第1版，ISBN：978-7-5115-8114-3，352页，284千字</w:t>
      </w:r>
    </w:p>
    <w:p>
      <w:pPr>
        <w:spacing w:before="80" w:after="80"/>
        <w:ind w:firstLine="0"/>
        <w:pBdr>
          <w:bottom w:val="single" w:sz="6" w:space="0" w:color="808080"/>
        </w:pBdr>
      </w:pPr>
    </w:p>
    <w:p>
      <w:pPr>
        <w:pStyle w:val="Heading2"/>
      </w:pPr>
      <w:r>
        <w:t>摘要</w:t>
      </w:r>
    </w:p>
    <w:p>
      <w:pPr>
        <w:pStyle w:val="BodyText"/>
      </w:pPr>
      <w:r>
        <w:t>本书聚焦危机处置与应对的核心问题，围绕"确定处置时机、确定关键救助者、进行损失分担、选择处置平台"四个关键环节展开，试图从百年金融史中提炼规律，为中国未来可能面临的系统性风险提供参照。全书通过近20个国际案例（美国大萧条与次贷危机、日本房地产泡沫破灭、欧洲主权债务危机、硅谷银行破产、北岩银行倒闭等）和10余个国内案例（海南发展银行、四大行改制、德隆系、包商银行等），论证了"危机是推动金融监管改革的重要契机"这一核心结论。</w:t>
      </w:r>
    </w:p>
    <w:p>
      <w:pPr>
        <w:pStyle w:val="BodyText"/>
      </w:pPr>
      <w:r>
        <w:t>本报告并非简单复述书中内容，而是聚焦于</w:t>
      </w:r>
      <w:r>
        <w:rPr>
          <w:b/>
        </w:rPr>
        <w:t>风险预判、止损、复盘</w:t>
      </w:r>
      <w:r>
        <w:t>三大底层逻辑，将原书的宏观金融监管视角</w:t>
      </w:r>
      <w:r>
        <w:rPr>
          <w:b/>
        </w:rPr>
        <w:t>适配到企业微观突发风险处置场景</w:t>
      </w:r>
      <w:r>
        <w:t>，为个人建立可落地的企业风险处置思维框架。</w:t>
      </w:r>
    </w:p>
    <w:p>
      <w:pPr>
        <w:spacing w:before="80" w:after="80"/>
        <w:ind w:firstLine="0"/>
        <w:pBdr>
          <w:bottom w:val="single" w:sz="6" w:space="0" w:color="808080"/>
        </w:pBdr>
      </w:pPr>
    </w:p>
    <w:p>
      <w:pPr>
        <w:pStyle w:val="Heading2"/>
      </w:pPr>
      <w:r>
        <w:t>第一部分：书籍核心框架与"四个关键环节"</w:t>
      </w:r>
    </w:p>
    <w:p>
      <w:pPr>
        <w:pStyle w:val="Heading3"/>
      </w:pPr>
      <w:r>
        <w:t>1.1 全书结构与核心观点</w:t>
      </w:r>
    </w:p>
    <w:p>
      <w:pPr>
        <w:pStyle w:val="BodyText"/>
      </w:pPr>
      <w:r>
        <w:t>本书共八章，按照"理论认知→危机类型→处置环节→改革启示"的逻辑递进展开：</w:t>
      </w:r>
    </w:p>
    <w:p>
      <w:pPr>
        <w:pStyle w:val="ListBullet"/>
      </w:pPr>
      <w:r>
        <w:rPr>
          <w:b/>
        </w:rPr>
        <w:t>第一章：危机时期的宏观政策选择</w:t>
      </w:r>
      <w:r>
        <w:t>——厘清关于危机的核心认识，以美国大萧条为例解析危机时期的政策取向。</w:t>
      </w:r>
    </w:p>
    <w:p>
      <w:pPr>
        <w:pStyle w:val="ListBullet"/>
      </w:pPr>
      <w:r>
        <w:rPr>
          <w:b/>
        </w:rPr>
        <w:t>第二章：房地产危机时首先要保住金融机构的功能</w:t>
      </w:r>
      <w:r>
        <w:t>——以房地产危机与财政危机为例，解读两种常见危机种类的处置逻辑。</w:t>
      </w:r>
    </w:p>
    <w:p>
      <w:pPr>
        <w:pStyle w:val="ListBullet"/>
      </w:pPr>
      <w:r>
        <w:rPr>
          <w:b/>
        </w:rPr>
        <w:t>第三章：财政危机的短期应对与中长期改革</w:t>
      </w:r>
      <w:r>
        <w:t>——聚焦财政危机的分层处置策略。</w:t>
      </w:r>
    </w:p>
    <w:p>
      <w:pPr>
        <w:pStyle w:val="ListBullet"/>
      </w:pPr>
      <w:r>
        <w:rPr>
          <w:b/>
        </w:rPr>
        <w:t>第四章：金融风险处置不能拖延</w:t>
      </w:r>
      <w:r>
        <w:t>——强调处置时机的极端重要性。</w:t>
      </w:r>
    </w:p>
    <w:p>
      <w:pPr>
        <w:pStyle w:val="ListBullet"/>
      </w:pPr>
      <w:r>
        <w:rPr>
          <w:b/>
        </w:rPr>
        <w:t>第五章：央行最后贷款人职能的讨论</w:t>
      </w:r>
      <w:r>
        <w:t>——论证关键救助者的角色定位。</w:t>
      </w:r>
    </w:p>
    <w:p>
      <w:pPr>
        <w:pStyle w:val="ListBullet"/>
      </w:pPr>
      <w:r>
        <w:rPr>
          <w:b/>
        </w:rPr>
        <w:t>第六章：公共资金的政策选择</w:t>
      </w:r>
      <w:r>
        <w:t>——分析损失分担的政治经济学。</w:t>
      </w:r>
    </w:p>
    <w:p>
      <w:pPr>
        <w:pStyle w:val="ListBullet"/>
      </w:pPr>
      <w:r>
        <w:rPr>
          <w:b/>
        </w:rPr>
        <w:t>第七章：存款保险公司：及时校正与专业处置平台</w:t>
      </w:r>
      <w:r>
        <w:t>——探讨专业处置平台的制度设计。</w:t>
      </w:r>
    </w:p>
    <w:p>
      <w:pPr>
        <w:pStyle w:val="ListBullet"/>
      </w:pPr>
      <w:r>
        <w:rPr>
          <w:b/>
        </w:rPr>
        <w:t>第八章：危机是推动金融监管改革的重要契机</w:t>
      </w:r>
      <w:r>
        <w:t>——全书结论，提出改革方向。</w:t>
      </w:r>
    </w:p>
    <w:p>
      <w:pPr>
        <w:pStyle w:val="BodyText"/>
      </w:pPr>
      <w:r>
        <w:t>从企业风险处置的视角看，这八章虽然围绕金融系统展开，但其底层逻辑具有</w:t>
      </w:r>
      <w:r>
        <w:rPr>
          <w:b/>
        </w:rPr>
        <w:t>跨场景的通用性</w:t>
      </w:r>
      <w:r>
        <w:t>。正如书中所言："历史不是简单的重复，但有惊人的相似"——企业层面的合同违约、应收款逾期、债务压力、合作纠纷，虽然规模远小于系统性金融危机，但危机应对的底层逻辑高度同源。</w:t>
      </w:r>
    </w:p>
    <w:p>
      <w:pPr>
        <w:pStyle w:val="Heading3"/>
      </w:pPr>
      <w:r>
        <w:t>1.2 "四个关键环节"的微观适配</w:t>
      </w:r>
    </w:p>
    <w:p>
      <w:pPr>
        <w:pStyle w:val="BodyText"/>
      </w:pPr>
      <w:r>
        <w:t>书中提出的危机应对四个关键环节，可以一一对应到企业突发风险处置：</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shd w:val="clear" w:color="auto" w:fill="F2F2F2"/>
            <w:vAlign w:val="center"/>
          </w:tcPr>
          <w:p>
            <w:pPr>
              <w:spacing w:before="0" w:after="0" w:line="240" w:lineRule="auto"/>
              <w:ind w:firstLine="0" w:left="0" w:right="0"/>
              <w:jc w:val="center"/>
            </w:pPr>
            <w:r>
              <w:rPr>
                <w:b/>
              </w:rPr>
            </w:r>
            <w:r>
              <w:rPr>
                <w:b/>
              </w:rPr>
              <w:t>原书环节</w:t>
            </w:r>
          </w:p>
        </w:tc>
        <w:tc>
          <w:tcPr>
            <w:tcW w:type="dxa" w:w="3009"/>
            <w:shd w:val="clear" w:color="auto" w:fill="F2F2F2"/>
            <w:vAlign w:val="center"/>
          </w:tcPr>
          <w:p>
            <w:pPr>
              <w:spacing w:before="0" w:after="0" w:line="240" w:lineRule="auto"/>
              <w:ind w:firstLine="0" w:left="0" w:right="0"/>
              <w:jc w:val="center"/>
            </w:pPr>
            <w:r>
              <w:rPr>
                <w:b/>
              </w:rPr>
            </w:r>
            <w:r>
              <w:rPr>
                <w:b/>
              </w:rPr>
              <w:t>金融系统层面</w:t>
            </w:r>
          </w:p>
        </w:tc>
        <w:tc>
          <w:tcPr>
            <w:tcW w:type="dxa" w:w="3009"/>
            <w:shd w:val="clear" w:color="auto" w:fill="F2F2F2"/>
            <w:vAlign w:val="center"/>
          </w:tcPr>
          <w:p>
            <w:pPr>
              <w:spacing w:before="0" w:after="0" w:line="240" w:lineRule="auto"/>
              <w:ind w:firstLine="0" w:left="0" w:right="0"/>
              <w:jc w:val="center"/>
            </w:pPr>
            <w:r>
              <w:rPr>
                <w:b/>
              </w:rPr>
            </w:r>
            <w:r>
              <w:rPr>
                <w:b/>
              </w:rPr>
              <w:t>企业微观层面</w:t>
            </w:r>
          </w:p>
        </w:tc>
      </w:tr>
      <w:tr>
        <w:tc>
          <w:tcPr>
            <w:tcW w:type="dxa" w:w="3009"/>
            <w:vAlign w:val="center"/>
          </w:tcPr>
          <w:p>
            <w:pPr>
              <w:spacing w:before="0" w:after="0" w:line="240" w:lineRule="auto"/>
              <w:ind w:firstLine="0" w:left="0" w:right="0"/>
              <w:jc w:val="center"/>
            </w:pPr>
            <w:r/>
            <w:r>
              <w:rPr>
                <w:b/>
              </w:rPr>
              <w:t>确定处置时机</w:t>
            </w:r>
          </w:p>
        </w:tc>
        <w:tc>
          <w:tcPr>
            <w:tcW w:type="dxa" w:w="3009"/>
            <w:vAlign w:val="center"/>
          </w:tcPr>
          <w:p>
            <w:pPr>
              <w:spacing w:before="0" w:after="0" w:line="240" w:lineRule="auto"/>
              <w:ind w:firstLine="0" w:left="0" w:right="0"/>
              <w:jc w:val="center"/>
            </w:pPr>
            <w:r/>
            <w:r>
              <w:t>金融风险处置不能拖延，拖延成本指数级上升</w:t>
            </w:r>
          </w:p>
        </w:tc>
        <w:tc>
          <w:tcPr>
            <w:tcW w:type="dxa" w:w="3009"/>
            <w:vAlign w:val="center"/>
          </w:tcPr>
          <w:p>
            <w:pPr>
              <w:spacing w:before="0" w:after="0" w:line="240" w:lineRule="auto"/>
              <w:ind w:firstLine="0" w:left="0" w:right="0"/>
              <w:jc w:val="center"/>
            </w:pPr>
            <w:r/>
            <w:r>
              <w:t>发现风险后的"黄金窗口期"判断：何时启动止损、何时启动谈判、何时启动诉讼</w:t>
            </w:r>
          </w:p>
        </w:tc>
      </w:tr>
      <w:tr>
        <w:tc>
          <w:tcPr>
            <w:tcW w:type="dxa" w:w="3009"/>
            <w:vAlign w:val="center"/>
          </w:tcPr>
          <w:p>
            <w:pPr>
              <w:spacing w:before="0" w:after="0" w:line="240" w:lineRule="auto"/>
              <w:ind w:firstLine="0" w:left="0" w:right="0"/>
              <w:jc w:val="center"/>
            </w:pPr>
            <w:r/>
            <w:r>
              <w:rPr>
                <w:b/>
              </w:rPr>
              <w:t>确定关键救助者</w:t>
            </w:r>
          </w:p>
        </w:tc>
        <w:tc>
          <w:tcPr>
            <w:tcW w:type="dxa" w:w="3009"/>
            <w:vAlign w:val="center"/>
          </w:tcPr>
          <w:p>
            <w:pPr>
              <w:spacing w:before="0" w:after="0" w:line="240" w:lineRule="auto"/>
              <w:ind w:firstLine="0" w:left="0" w:right="0"/>
              <w:jc w:val="center"/>
            </w:pPr>
            <w:r/>
            <w:r>
              <w:t>央行最后贷款人职能，向市场注入流动性信心</w:t>
            </w:r>
          </w:p>
        </w:tc>
        <w:tc>
          <w:tcPr>
            <w:tcW w:type="dxa" w:w="3009"/>
            <w:vAlign w:val="center"/>
          </w:tcPr>
          <w:p>
            <w:pPr>
              <w:spacing w:before="0" w:after="0" w:line="240" w:lineRule="auto"/>
              <w:ind w:firstLine="0" w:left="0" w:right="0"/>
              <w:jc w:val="center"/>
            </w:pPr>
            <w:r/>
            <w:r>
              <w:t>企业内部谁有最终决策权（股东/高管）、外部谁能提供资源（法务/财务/合作方）</w:t>
            </w:r>
          </w:p>
        </w:tc>
      </w:tr>
      <w:tr>
        <w:tc>
          <w:tcPr>
            <w:tcW w:type="dxa" w:w="3009"/>
            <w:vAlign w:val="center"/>
          </w:tcPr>
          <w:p>
            <w:pPr>
              <w:spacing w:before="0" w:after="0" w:line="240" w:lineRule="auto"/>
              <w:ind w:firstLine="0" w:left="0" w:right="0"/>
              <w:jc w:val="center"/>
            </w:pPr>
            <w:r/>
            <w:r>
              <w:rPr>
                <w:b/>
              </w:rPr>
              <w:t>进行损失分担</w:t>
            </w:r>
          </w:p>
        </w:tc>
        <w:tc>
          <w:tcPr>
            <w:tcW w:type="dxa" w:w="3009"/>
            <w:vAlign w:val="center"/>
          </w:tcPr>
          <w:p>
            <w:pPr>
              <w:spacing w:before="0" w:after="0" w:line="240" w:lineRule="auto"/>
              <w:ind w:firstLine="0" w:left="0" w:right="0"/>
              <w:jc w:val="center"/>
            </w:pPr>
            <w:r/>
            <w:r>
              <w:t>公共资金的政策选择，如何在不引发道德风险的前提下分担损失</w:t>
            </w:r>
          </w:p>
        </w:tc>
        <w:tc>
          <w:tcPr>
            <w:tcW w:type="dxa" w:w="3009"/>
            <w:vAlign w:val="center"/>
          </w:tcPr>
          <w:p>
            <w:pPr>
              <w:spacing w:before="0" w:after="0" w:line="240" w:lineRule="auto"/>
              <w:ind w:firstLine="0" w:left="0" w:right="0"/>
              <w:jc w:val="center"/>
            </w:pPr>
            <w:r/>
            <w:r>
              <w:t>损失由谁承担：自身消化、合作方分担、担保方代偿、保险覆盖，还是股东增资</w:t>
            </w:r>
          </w:p>
        </w:tc>
      </w:tr>
      <w:tr>
        <w:tc>
          <w:tcPr>
            <w:tcW w:type="dxa" w:w="3009"/>
            <w:vAlign w:val="center"/>
          </w:tcPr>
          <w:p>
            <w:pPr>
              <w:spacing w:before="0" w:after="0" w:line="240" w:lineRule="auto"/>
              <w:ind w:firstLine="0" w:left="0" w:right="0"/>
              <w:jc w:val="center"/>
            </w:pPr>
            <w:r/>
            <w:r>
              <w:rPr>
                <w:b/>
              </w:rPr>
              <w:t>选择处置平台</w:t>
            </w:r>
          </w:p>
        </w:tc>
        <w:tc>
          <w:tcPr>
            <w:tcW w:type="dxa" w:w="3009"/>
            <w:vAlign w:val="center"/>
          </w:tcPr>
          <w:p>
            <w:pPr>
              <w:spacing w:before="0" w:after="0" w:line="240" w:lineRule="auto"/>
              <w:ind w:firstLine="0" w:left="0" w:right="0"/>
              <w:jc w:val="center"/>
            </w:pPr>
            <w:r/>
            <w:r>
              <w:t>存款保险公司的专业处置功能</w:t>
            </w:r>
          </w:p>
        </w:tc>
        <w:tc>
          <w:tcPr>
            <w:tcW w:type="dxa" w:w="3009"/>
            <w:vAlign w:val="center"/>
          </w:tcPr>
          <w:p>
            <w:pPr>
              <w:spacing w:before="0" w:after="0" w:line="240" w:lineRule="auto"/>
              <w:ind w:firstLine="0" w:left="0" w:right="0"/>
              <w:jc w:val="center"/>
            </w:pPr>
            <w:r/>
            <w:r>
              <w:t>选择谈判桌（私下和解）、调解机构（行业协会）、仲裁庭（合同约定）还是法院（诉讼保全）</w:t>
            </w:r>
          </w:p>
        </w:tc>
      </w:tr>
    </w:tbl>
    <w:p>
      <w:pPr>
        <w:pStyle w:val="BodyText"/>
      </w:pPr>
      <w:r>
        <w:t>这四个环节构成一个</w:t>
      </w:r>
      <w:r>
        <w:rPr>
          <w:b/>
        </w:rPr>
        <w:t>闭环决策模型</w:t>
      </w:r>
      <w:r>
        <w:t>：时机判断是起点，救助者是执行主体，损失分担是核心博弈，处置平台是出口选择。任何一个环节判断失误，都可能导致处置失败或成本失控。</w:t>
      </w:r>
    </w:p>
    <w:p>
      <w:pPr>
        <w:spacing w:before="80" w:after="80"/>
        <w:ind w:firstLine="0"/>
        <w:pBdr>
          <w:bottom w:val="single" w:sz="6" w:space="0" w:color="808080"/>
        </w:pBdr>
      </w:pPr>
    </w:p>
    <w:p>
      <w:pPr>
        <w:pStyle w:val="Heading2"/>
      </w:pPr>
      <w:r>
        <w:t>第二部分：风险预判的底层逻辑</w:t>
      </w:r>
    </w:p>
    <w:p>
      <w:pPr>
        <w:pStyle w:val="Heading3"/>
      </w:pPr>
      <w:r>
        <w:t>2.1 预判前提：经济的正常循环应置于首位</w:t>
      </w:r>
    </w:p>
    <w:p>
      <w:pPr>
        <w:pStyle w:val="BodyText"/>
      </w:pPr>
      <w:r>
        <w:t>本书开篇即提出一个根本性认知：</w:t>
      </w:r>
      <w:r>
        <w:rPr>
          <w:b/>
        </w:rPr>
        <w:t>"经济的正常循环应置于政策目标的首位"</w:t>
      </w:r>
      <w:r>
        <w:t>。这一原则在金融系统中的含义是：危机应对的首要目标不是惩罚违规者，也不是维护某个机构的生存，而是确保整个经济系统的信贷循环、支付清算和资源配置功能不被中断。</w:t>
      </w:r>
    </w:p>
    <w:p>
      <w:pPr>
        <w:pStyle w:val="BodyText"/>
      </w:pPr>
      <w:r>
        <w:t>将这一原则适配到企业微观层面，意味着：</w:t>
      </w:r>
    </w:p>
    <w:p>
      <w:pPr>
        <w:pStyle w:val="ListBullet"/>
      </w:pPr>
      <w:r>
        <w:rPr>
          <w:b/>
        </w:rPr>
        <w:t>企业风险预判的首要目标不是消灭风险，而是识别哪些风险会中断企业的"正常经营循环"</w:t>
      </w:r>
      <w:r>
        <w:t>。企业的正常经营循环包括：现金流循环（回款→支付→再投入）、合同履约循环（接单→交付→收款）、债务循环（融资→使用→归还）。任何可能中断这些循环的风险，都是最高优先级的预警对象。</w:t>
      </w:r>
    </w:p>
    <w:p>
      <w:pPr>
        <w:pStyle w:val="ListBullet"/>
      </w:pPr>
      <w:r>
        <w:rPr>
          <w:b/>
        </w:rPr>
        <w:t>风险预判的边界不是"有没有风险"，而是"风险会不会传导并放大"</w:t>
      </w:r>
      <w:r>
        <w:t>。单一风险点（如某客户逾期付款）本身并不可怕，可怕的是它触发连锁反应（如该笔逾期导致本企业无法按期支付供应商，进而引发供应商断供，最终导致项目停滞）。</w:t>
      </w:r>
    </w:p>
    <w:p>
      <w:pPr>
        <w:pStyle w:val="Heading3"/>
      </w:pPr>
      <w:r>
        <w:t>2.2 预判方法：从"信号监测"到"模式识别"</w:t>
      </w:r>
    </w:p>
    <w:p>
      <w:pPr>
        <w:pStyle w:val="BodyText"/>
      </w:pPr>
      <w:r>
        <w:t>本书反复强调，"历史不是简单的重复，但有惊人的相似"。作者通过近40个国内外案例的对比分析，证明</w:t>
      </w:r>
      <w:r>
        <w:rPr>
          <w:b/>
        </w:rPr>
        <w:t>大多数危机在爆发前都有可识别的模式</w:t>
      </w:r>
      <w:r>
        <w:t>。</w:t>
      </w:r>
    </w:p>
    <w:p>
      <w:pPr>
        <w:pStyle w:val="BodyText"/>
      </w:pPr>
      <w:r>
        <w:rPr>
          <w:b/>
        </w:rPr>
        <w:t>在金融系统中的模式识别：</w:t>
      </w:r>
    </w:p>
    <w:p>
      <w:pPr>
        <w:pStyle w:val="ListBullet"/>
      </w:pPr>
      <w:r>
        <w:t>美国大萧条前的模式：信贷过度扩张→资产价格泡沫→杠杆堆积→流动性突然收紧→连锁违约。</w:t>
      </w:r>
    </w:p>
    <w:p>
      <w:pPr>
        <w:pStyle w:val="ListBullet"/>
      </w:pPr>
      <w:r>
        <w:t>日本"失去的二十年"前的模式：房地产价格飙升→银行过度放贷→企业过度投资→资产价格崩盘→资产负债表衰退。</w:t>
      </w:r>
    </w:p>
    <w:p>
      <w:pPr>
        <w:pStyle w:val="ListBullet"/>
      </w:pPr>
      <w:r>
        <w:t>硅谷银行破产前的模式：负债端大量 uninsured deposits（无保险存款）→资产端长期持有债券→利率快速上升→债券账面亏损→存款挤兑→流动性枯竭。</w:t>
      </w:r>
    </w:p>
    <w:p>
      <w:pPr>
        <w:pStyle w:val="BodyText"/>
      </w:pPr>
      <w:r>
        <w:rPr>
          <w:b/>
        </w:rPr>
        <w:t>在企业层面的模式识别：</w:t>
      </w:r>
    </w:p>
    <w:p>
      <w:pPr>
        <w:pStyle w:val="BodyText"/>
      </w:pPr>
      <w:r>
        <w:t>企业风险预判同样需要建立"模式库"。以商业风险处置顾问的常见场景为例：</w:t>
      </w:r>
    </w:p>
    <w:p>
      <w:pPr>
        <w:pStyle w:val="ListBullet"/>
      </w:pPr>
      <w:r>
        <w:rPr>
          <w:b/>
        </w:rPr>
        <w:t>应收款逾期模式</w:t>
      </w:r>
      <w:r>
        <w:t>：客户付款周期从30天延长至60天→90天→120天，同时伴随客户方的裁员消息、业务收缩信号、诉讼增加信号。这种模式的历史结局往往是坏账或长期拖欠。</w:t>
      </w:r>
    </w:p>
    <w:p>
      <w:pPr>
        <w:pStyle w:val="ListBullet"/>
      </w:pPr>
      <w:r>
        <w:rPr>
          <w:b/>
        </w:rPr>
        <w:t>合同违约模式</w:t>
      </w:r>
      <w:r>
        <w:t>：合作方开始频繁提出"补充协议"要求→关键对接人离职→付款审批流程异常延长→开始以"质量问题"为由拒付尾款。这种模式往往指向"蓄意违约"。</w:t>
      </w:r>
    </w:p>
    <w:p>
      <w:pPr>
        <w:pStyle w:val="ListBullet"/>
      </w:pPr>
      <w:r>
        <w:rPr>
          <w:b/>
        </w:rPr>
        <w:t>债务压力模式</w:t>
      </w:r>
      <w:r>
        <w:t>：企业开始以"过桥借款"名义短期拆借→利息支付出现拖延→开始出现"以贷还贷"操作→实际控制人开始质押个人资产。这种模式往往指向资金链断裂边缘。</w:t>
      </w:r>
    </w:p>
    <w:p>
      <w:pPr>
        <w:pStyle w:val="Heading3"/>
      </w:pPr>
      <w:r>
        <w:t>2.3 预判工具：企业风险监测仪表盘</w:t>
      </w:r>
    </w:p>
    <w:p>
      <w:pPr>
        <w:pStyle w:val="BodyText"/>
      </w:pPr>
      <w:r>
        <w:t>本书中反复出现的核心方法论是"监测—预警—干预"的闭环。作者强调，成功的危机应对往往在危机全面爆发之前就已经启动，而失败的应对往往是在"不得不救"时才仓促行动。</w:t>
      </w:r>
    </w:p>
    <w:p>
      <w:pPr>
        <w:pStyle w:val="BodyText"/>
      </w:pPr>
      <w:r>
        <w:t>将这一方法论适配到企业层面，可以建立以下</w:t>
      </w:r>
      <w:r>
        <w:rPr>
          <w:b/>
        </w:rPr>
        <w:t>"风险监测仪表盘"</w:t>
      </w:r>
      <w:r>
        <w:t>：</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shd w:val="clear" w:color="auto" w:fill="F2F2F2"/>
            <w:vAlign w:val="center"/>
          </w:tcPr>
          <w:p>
            <w:pPr>
              <w:spacing w:before="0" w:after="0" w:line="240" w:lineRule="auto"/>
              <w:ind w:firstLine="0" w:left="0" w:right="0"/>
              <w:jc w:val="center"/>
            </w:pPr>
            <w:r>
              <w:rPr>
                <w:b/>
              </w:rPr>
            </w:r>
            <w:r>
              <w:rPr>
                <w:b/>
              </w:rPr>
              <w:t>监测维度</w:t>
            </w:r>
          </w:p>
        </w:tc>
        <w:tc>
          <w:tcPr>
            <w:tcW w:type="dxa" w:w="3009"/>
            <w:shd w:val="clear" w:color="auto" w:fill="F2F2F2"/>
            <w:vAlign w:val="center"/>
          </w:tcPr>
          <w:p>
            <w:pPr>
              <w:spacing w:before="0" w:after="0" w:line="240" w:lineRule="auto"/>
              <w:ind w:firstLine="0" w:left="0" w:right="0"/>
              <w:jc w:val="center"/>
            </w:pPr>
            <w:r>
              <w:rPr>
                <w:b/>
              </w:rPr>
            </w:r>
            <w:r>
              <w:rPr>
                <w:b/>
              </w:rPr>
              <w:t>预警信号</w:t>
            </w:r>
          </w:p>
        </w:tc>
        <w:tc>
          <w:tcPr>
            <w:tcW w:type="dxa" w:w="3009"/>
            <w:shd w:val="clear" w:color="auto" w:fill="F2F2F2"/>
            <w:vAlign w:val="center"/>
          </w:tcPr>
          <w:p>
            <w:pPr>
              <w:spacing w:before="0" w:after="0" w:line="240" w:lineRule="auto"/>
              <w:ind w:firstLine="0" w:left="0" w:right="0"/>
              <w:jc w:val="center"/>
            </w:pPr>
            <w:r>
              <w:rPr>
                <w:b/>
              </w:rPr>
            </w:r>
            <w:r>
              <w:rPr>
                <w:b/>
              </w:rPr>
              <w:t>阈值设定</w:t>
            </w:r>
          </w:p>
        </w:tc>
      </w:tr>
      <w:tr>
        <w:tc>
          <w:tcPr>
            <w:tcW w:type="dxa" w:w="3009"/>
            <w:vAlign w:val="center"/>
          </w:tcPr>
          <w:p>
            <w:pPr>
              <w:spacing w:before="0" w:after="0" w:line="240" w:lineRule="auto"/>
              <w:ind w:firstLine="0" w:left="0" w:right="0"/>
              <w:jc w:val="center"/>
            </w:pPr>
            <w:r/>
            <w:r>
              <w:rPr>
                <w:b/>
              </w:rPr>
              <w:t>现金流</w:t>
            </w:r>
          </w:p>
        </w:tc>
        <w:tc>
          <w:tcPr>
            <w:tcW w:type="dxa" w:w="3009"/>
            <w:vAlign w:val="center"/>
          </w:tcPr>
          <w:p>
            <w:pPr>
              <w:spacing w:before="0" w:after="0" w:line="240" w:lineRule="auto"/>
              <w:ind w:firstLine="0" w:left="0" w:right="0"/>
              <w:jc w:val="center"/>
            </w:pPr>
            <w:r/>
            <w:r>
              <w:t>经营性现金流连续3个月为负；现金储备低于3个月运营支出</w:t>
            </w:r>
          </w:p>
        </w:tc>
        <w:tc>
          <w:tcPr>
            <w:tcW w:type="dxa" w:w="3009"/>
            <w:vAlign w:val="center"/>
          </w:tcPr>
          <w:p>
            <w:pPr>
              <w:spacing w:before="0" w:after="0" w:line="240" w:lineRule="auto"/>
              <w:ind w:firstLine="0" w:left="0" w:right="0"/>
              <w:jc w:val="center"/>
            </w:pPr>
            <w:r/>
            <w:r>
              <w:t>现金覆盖率&lt;1</w:t>
            </w:r>
          </w:p>
        </w:tc>
      </w:tr>
      <w:tr>
        <w:tc>
          <w:tcPr>
            <w:tcW w:type="dxa" w:w="3009"/>
            <w:vAlign w:val="center"/>
          </w:tcPr>
          <w:p>
            <w:pPr>
              <w:spacing w:before="0" w:after="0" w:line="240" w:lineRule="auto"/>
              <w:ind w:firstLine="0" w:left="0" w:right="0"/>
              <w:jc w:val="center"/>
            </w:pPr>
            <w:r/>
            <w:r>
              <w:rPr>
                <w:b/>
              </w:rPr>
              <w:t>应收款</w:t>
            </w:r>
          </w:p>
        </w:tc>
        <w:tc>
          <w:tcPr>
            <w:tcW w:type="dxa" w:w="3009"/>
            <w:vAlign w:val="center"/>
          </w:tcPr>
          <w:p>
            <w:pPr>
              <w:spacing w:before="0" w:after="0" w:line="240" w:lineRule="auto"/>
              <w:ind w:firstLine="0" w:left="0" w:right="0"/>
              <w:jc w:val="center"/>
            </w:pPr>
            <w:r/>
            <w:r>
              <w:t>账龄超过90天的应收款占比超过20%；单一客户应收款超过总应收30%</w:t>
            </w:r>
          </w:p>
        </w:tc>
        <w:tc>
          <w:tcPr>
            <w:tcW w:type="dxa" w:w="3009"/>
            <w:vAlign w:val="center"/>
          </w:tcPr>
          <w:p>
            <w:pPr>
              <w:spacing w:before="0" w:after="0" w:line="240" w:lineRule="auto"/>
              <w:ind w:firstLine="0" w:left="0" w:right="0"/>
              <w:jc w:val="center"/>
            </w:pPr>
            <w:r/>
            <w:r>
              <w:t>集中度&gt;30%</w:t>
            </w:r>
          </w:p>
        </w:tc>
      </w:tr>
      <w:tr>
        <w:tc>
          <w:tcPr>
            <w:tcW w:type="dxa" w:w="3009"/>
            <w:vAlign w:val="center"/>
          </w:tcPr>
          <w:p>
            <w:pPr>
              <w:spacing w:before="0" w:after="0" w:line="240" w:lineRule="auto"/>
              <w:ind w:firstLine="0" w:left="0" w:right="0"/>
              <w:jc w:val="center"/>
            </w:pPr>
            <w:r/>
            <w:r>
              <w:rPr>
                <w:b/>
              </w:rPr>
              <w:t>合同履约</w:t>
            </w:r>
          </w:p>
        </w:tc>
        <w:tc>
          <w:tcPr>
            <w:tcW w:type="dxa" w:w="3009"/>
            <w:vAlign w:val="center"/>
          </w:tcPr>
          <w:p>
            <w:pPr>
              <w:spacing w:before="0" w:after="0" w:line="240" w:lineRule="auto"/>
              <w:ind w:firstLine="0" w:left="0" w:right="0"/>
              <w:jc w:val="center"/>
            </w:pPr>
            <w:r/>
            <w:r>
              <w:t>合同变更率超过15%；客户投诉率超过5%；交付延迟率超过10%</w:t>
            </w:r>
          </w:p>
        </w:tc>
        <w:tc>
          <w:tcPr>
            <w:tcW w:type="dxa" w:w="3009"/>
            <w:vAlign w:val="center"/>
          </w:tcPr>
          <w:p>
            <w:pPr>
              <w:spacing w:before="0" w:after="0" w:line="240" w:lineRule="auto"/>
              <w:ind w:firstLine="0" w:left="0" w:right="0"/>
              <w:jc w:val="center"/>
            </w:pPr>
            <w:r/>
            <w:r>
              <w:t>变更率&gt;10%</w:t>
            </w:r>
          </w:p>
        </w:tc>
      </w:tr>
      <w:tr>
        <w:tc>
          <w:tcPr>
            <w:tcW w:type="dxa" w:w="3009"/>
            <w:vAlign w:val="center"/>
          </w:tcPr>
          <w:p>
            <w:pPr>
              <w:spacing w:before="0" w:after="0" w:line="240" w:lineRule="auto"/>
              <w:ind w:firstLine="0" w:left="0" w:right="0"/>
              <w:jc w:val="center"/>
            </w:pPr>
            <w:r/>
            <w:r>
              <w:rPr>
                <w:b/>
              </w:rPr>
              <w:t>债务结构</w:t>
            </w:r>
          </w:p>
        </w:tc>
        <w:tc>
          <w:tcPr>
            <w:tcW w:type="dxa" w:w="3009"/>
            <w:vAlign w:val="center"/>
          </w:tcPr>
          <w:p>
            <w:pPr>
              <w:spacing w:before="0" w:after="0" w:line="240" w:lineRule="auto"/>
              <w:ind w:firstLine="0" w:left="0" w:right="0"/>
              <w:jc w:val="center"/>
            </w:pPr>
            <w:r/>
            <w:r>
              <w:t>短期债务占比超过60%；利息覆盖倍数低于2；即将到期债务超过现金储备</w:t>
            </w:r>
          </w:p>
        </w:tc>
        <w:tc>
          <w:tcPr>
            <w:tcW w:type="dxa" w:w="3009"/>
            <w:vAlign w:val="center"/>
          </w:tcPr>
          <w:p>
            <w:pPr>
              <w:spacing w:before="0" w:after="0" w:line="240" w:lineRule="auto"/>
              <w:ind w:firstLine="0" w:left="0" w:right="0"/>
              <w:jc w:val="center"/>
            </w:pPr>
            <w:r/>
            <w:r>
              <w:t>短债比&gt;50%</w:t>
            </w:r>
          </w:p>
        </w:tc>
      </w:tr>
      <w:tr>
        <w:tc>
          <w:tcPr>
            <w:tcW w:type="dxa" w:w="3009"/>
            <w:vAlign w:val="center"/>
          </w:tcPr>
          <w:p>
            <w:pPr>
              <w:spacing w:before="0" w:after="0" w:line="240" w:lineRule="auto"/>
              <w:ind w:firstLine="0" w:left="0" w:right="0"/>
              <w:jc w:val="center"/>
            </w:pPr>
            <w:r/>
            <w:r>
              <w:rPr>
                <w:b/>
              </w:rPr>
              <w:t>舆情信息</w:t>
            </w:r>
          </w:p>
        </w:tc>
        <w:tc>
          <w:tcPr>
            <w:tcW w:type="dxa" w:w="3009"/>
            <w:vAlign w:val="center"/>
          </w:tcPr>
          <w:p>
            <w:pPr>
              <w:spacing w:before="0" w:after="0" w:line="240" w:lineRule="auto"/>
              <w:ind w:firstLine="0" w:left="0" w:right="0"/>
              <w:jc w:val="center"/>
            </w:pPr>
            <w:r/>
            <w:r>
              <w:t>合作方出现失信被执行信息；主要供应商被查封；行业出现大规模违约</w:t>
            </w:r>
          </w:p>
        </w:tc>
        <w:tc>
          <w:tcPr>
            <w:tcW w:type="dxa" w:w="3009"/>
            <w:vAlign w:val="center"/>
          </w:tcPr>
          <w:p>
            <w:pPr>
              <w:spacing w:before="0" w:after="0" w:line="240" w:lineRule="auto"/>
              <w:ind w:firstLine="0" w:left="0" w:right="0"/>
              <w:jc w:val="center"/>
            </w:pPr>
            <w:r/>
            <w:r>
              <w:t>出现负面信号</w:t>
            </w:r>
          </w:p>
        </w:tc>
      </w:tr>
    </w:tbl>
    <w:p>
      <w:pPr>
        <w:pStyle w:val="BodyText"/>
      </w:pPr>
      <w:r>
        <w:t>本书的核心启示在于：</w:t>
      </w:r>
      <w:r>
        <w:rPr>
          <w:b/>
        </w:rPr>
        <w:t>预判不是算命，而是建立"如果A则B"的条件反射</w:t>
      </w:r>
      <w:r>
        <w:t>。一旦仪表盘中的任何一个指标触发预警，就应该启动"风险排查→等级划分→处置预案"的标准流程，而不是等待事态自然演变。</w:t>
      </w:r>
    </w:p>
    <w:p>
      <w:pPr>
        <w:spacing w:before="80" w:after="80"/>
        <w:ind w:firstLine="0"/>
        <w:pBdr>
          <w:bottom w:val="single" w:sz="6" w:space="0" w:color="808080"/>
        </w:pBdr>
      </w:pPr>
    </w:p>
    <w:p>
      <w:pPr>
        <w:pStyle w:val="Heading2"/>
      </w:pPr>
      <w:r>
        <w:t>第三部分：止损的底层逻辑</w:t>
      </w:r>
    </w:p>
    <w:p>
      <w:pPr>
        <w:pStyle w:val="Heading3"/>
      </w:pPr>
      <w:r>
        <w:t>3.1 "逆周期操作"：危机时期的非常态决策</w:t>
      </w:r>
    </w:p>
    <w:p>
      <w:pPr>
        <w:pStyle w:val="BodyText"/>
      </w:pPr>
      <w:r>
        <w:t>本书在分析危机时期的宏观政策时，提出了一个关键原则：</w:t>
      </w:r>
      <w:r>
        <w:rPr>
          <w:b/>
        </w:rPr>
        <w:t>危机时期必须实施"逆周期操作"</w:t>
      </w:r>
      <w:r>
        <w:t>——当经济过热时收紧，当经济衰退时扩张。这一原则在宏观层面的体现是美联储在大萧条时期的错误（未及时扩张货币供应）与2008年次贷危机后的正确（迅速推出量化宽松）。</w:t>
      </w:r>
    </w:p>
    <w:p>
      <w:pPr>
        <w:pStyle w:val="BodyText"/>
      </w:pPr>
      <w:r>
        <w:t>将"逆周期操作"适配到企业突发风险处置：</w:t>
      </w:r>
    </w:p>
    <w:p>
      <w:pPr>
        <w:pStyle w:val="ListBullet"/>
      </w:pPr>
      <w:r>
        <w:rPr>
          <w:b/>
        </w:rPr>
        <w:t>常规时期的逻辑</w:t>
      </w:r>
      <w:r>
        <w:t>：追求利润最大化、市场份额最大化、业务规模最大化。</w:t>
      </w:r>
    </w:p>
    <w:p>
      <w:pPr>
        <w:pStyle w:val="ListBullet"/>
      </w:pPr>
      <w:r>
        <w:rPr>
          <w:b/>
        </w:rPr>
        <w:t>危机时期的逻辑</w:t>
      </w:r>
      <w:r>
        <w:t>：保住核心功能、止住损失蔓延、确保生存底线。</w:t>
      </w:r>
    </w:p>
    <w:p>
      <w:pPr>
        <w:pStyle w:val="BodyText"/>
      </w:pPr>
      <w:r>
        <w:t>这意味着，当企业面临突发风险时，</w:t>
      </w:r>
      <w:r>
        <w:rPr>
          <w:b/>
        </w:rPr>
        <w:t>不能用常规经营逻辑来应对</w:t>
      </w:r>
      <w:r>
        <w:t>。例如：</w:t>
      </w:r>
    </w:p>
    <w:p>
      <w:pPr>
        <w:pStyle w:val="ListBullet"/>
      </w:pPr>
      <w:r>
        <w:t>应收款逾期时，常规逻辑是"继续催收、维护客户关系"；危机逻辑是"立即启动保全、评估坏账风险、准备替代供应商"。</w:t>
      </w:r>
    </w:p>
    <w:p>
      <w:pPr>
        <w:pStyle w:val="ListBullet"/>
      </w:pPr>
      <w:r>
        <w:t>合同违约时，常规逻辑是"协商解决、尽量履约"；危机逻辑是"评估替代方案成本、准备解约止损、测算索赔金额"。</w:t>
      </w:r>
    </w:p>
    <w:p>
      <w:pPr>
        <w:pStyle w:val="ListBullet"/>
      </w:pPr>
      <w:r>
        <w:t>债务压力时，常规逻辑是"继续借新还旧、维持信用记录"；危机逻辑是"主动与债权人谈判展期、准备资产剥离方案、启动资产重组"。</w:t>
      </w:r>
    </w:p>
    <w:p>
      <w:pPr>
        <w:pStyle w:val="Heading3"/>
      </w:pPr>
      <w:r>
        <w:t>3.2 "保住核心功能"优先于"保住全部资产"</w:t>
      </w:r>
    </w:p>
    <w:p>
      <w:pPr>
        <w:pStyle w:val="BodyText"/>
      </w:pPr>
      <w:r>
        <w:t>本书第二章在分析房地产危机时特别强调：</w:t>
      </w:r>
      <w:r>
        <w:rPr>
          <w:b/>
        </w:rPr>
        <w:t>"房地产危机时首先要保住金融机构的功能"</w:t>
      </w:r>
      <w:r>
        <w:t>。换言之，危机处置的核心目标不是保全所有资产，而是确保系统中最关键的功能不被中断。</w:t>
      </w:r>
    </w:p>
    <w:p>
      <w:pPr>
        <w:pStyle w:val="BodyText"/>
      </w:pPr>
      <w:r>
        <w:t>在企业层面，这一原则的适配是：</w:t>
      </w:r>
      <w:r>
        <w:rPr>
          <w:b/>
        </w:rPr>
        <w:t>保住"核心现金流通道"和"核心客户关系"，优先于保全所有业务线</w:t>
      </w:r>
      <w:r>
        <w:t>。</w:t>
      </w:r>
    </w:p>
    <w:p>
      <w:pPr>
        <w:pStyle w:val="BodyText"/>
      </w:pPr>
      <w:r>
        <w:t>具体案例推演：</w:t>
      </w:r>
    </w:p>
    <w:p>
      <w:pPr>
        <w:pStyle w:val="BodyText"/>
      </w:pPr>
      <w:r>
        <w:t>假设某企业同时面临三个风险：</w:t>
      </w:r>
    </w:p>
    <w:p>
      <w:pPr>
        <w:pStyle w:val="ListNumber"/>
        <w:numPr>
          <w:ilvl w:val="0"/>
          <w:numId w:val="10"/>
        </w:numPr>
      </w:pPr>
      <w:r>
        <w:t>一个大客户应收款逾期500万（占总应收40%）；</w:t>
      </w:r>
    </w:p>
    <w:p>
      <w:pPr>
        <w:pStyle w:val="ListNumber"/>
        <w:numPr>
          <w:ilvl w:val="0"/>
          <w:numId w:val="10"/>
        </w:numPr>
      </w:pPr>
      <w:r>
        <w:t>一个亏损业务线每月烧钱100万；</w:t>
      </w:r>
    </w:p>
    <w:p>
      <w:pPr>
        <w:pStyle w:val="ListNumber"/>
        <w:numPr>
          <w:ilvl w:val="0"/>
          <w:numId w:val="10"/>
        </w:numPr>
      </w:pPr>
      <w:r>
        <w:t>一笔银行贷款即将到期200万。</w:t>
      </w:r>
    </w:p>
    <w:p>
      <w:pPr>
        <w:pStyle w:val="BodyText"/>
      </w:pPr>
      <w:r>
        <w:t>常规思维的止损动作是"全面收缩"，但按照本书的"核心功能优先"原则：</w:t>
      </w:r>
    </w:p>
    <w:p>
      <w:pPr>
        <w:pStyle w:val="ListBullet"/>
      </w:pPr>
      <w:r>
        <w:rPr>
          <w:b/>
        </w:rPr>
        <w:t>第一步</w:t>
      </w:r>
      <w:r>
        <w:t>：评估核心功能是什么。如果该大客户是维持企业现金流的关键（例如是唯一的长期订单来源），则优先保全该客户（谈判分期付款、提供替代方案、以货抵债等）。</w:t>
      </w:r>
    </w:p>
    <w:p>
      <w:pPr>
        <w:pStyle w:val="ListBullet"/>
      </w:pPr>
      <w:r>
        <w:rPr>
          <w:b/>
        </w:rPr>
        <w:t>第二步</w:t>
      </w:r>
      <w:r>
        <w:t>：评估非核心资产/业务。如果亏损业务线与核心功能无关，且停止后不影响主业，则果断止损（关闭、转让、剥离）。</w:t>
      </w:r>
    </w:p>
    <w:p>
      <w:pPr>
        <w:pStyle w:val="ListBullet"/>
      </w:pPr>
      <w:r>
        <w:rPr>
          <w:b/>
        </w:rPr>
        <w:t>第三步</w:t>
      </w:r>
      <w:r>
        <w:t>：评估融资通道。如果银行贷款是维持短期流动性的关键，则优先协商展期，而不是试图一次性还清。</w:t>
      </w:r>
    </w:p>
    <w:p>
      <w:pPr>
        <w:pStyle w:val="Heading3"/>
      </w:pPr>
      <w:r>
        <w:t>3.3 "拖延成本"的指数级增长</w:t>
      </w:r>
    </w:p>
    <w:p>
      <w:pPr>
        <w:pStyle w:val="BodyText"/>
      </w:pPr>
      <w:r>
        <w:t>本书第四章反复强调：</w:t>
      </w:r>
      <w:r>
        <w:rPr>
          <w:b/>
        </w:rPr>
        <w:t>"金融风险处置不能拖延"</w:t>
      </w:r>
      <w:r>
        <w:t>。拖延的后果不是线性增长，而是指数级恶化。</w:t>
      </w:r>
    </w:p>
    <w:p>
      <w:pPr>
        <w:pStyle w:val="BodyText"/>
      </w:pPr>
      <w:r>
        <w:t>书中列举的反面教材包括：</w:t>
      </w:r>
    </w:p>
    <w:p>
      <w:pPr>
        <w:pStyle w:val="ListBullet"/>
      </w:pPr>
      <w:r>
        <w:t>海南发展银行1998年被关闭，清算工作至今仍未结束。</w:t>
      </w:r>
    </w:p>
    <w:p>
      <w:pPr>
        <w:pStyle w:val="ListBullet"/>
      </w:pPr>
      <w:r>
        <w:t>日本房地产泡沫破灭后，政府和银行系统长期"僵尸化"处理（不确认损失、不重组债务），导致经济陷入"失去的二十年"。</w:t>
      </w:r>
    </w:p>
    <w:p>
      <w:pPr>
        <w:pStyle w:val="BodyText"/>
      </w:pPr>
      <w:r>
        <w:t>将这一原则适配到企业层面：</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shd w:val="clear" w:color="auto" w:fill="F2F2F2"/>
            <w:vAlign w:val="center"/>
          </w:tcPr>
          <w:p>
            <w:pPr>
              <w:spacing w:before="0" w:after="0" w:line="240" w:lineRule="auto"/>
              <w:ind w:firstLine="0" w:left="0" w:right="0"/>
              <w:jc w:val="center"/>
            </w:pPr>
            <w:r>
              <w:rPr>
                <w:b/>
              </w:rPr>
            </w:r>
            <w:r>
              <w:rPr>
                <w:b/>
              </w:rPr>
              <w:t>风险类型</w:t>
            </w:r>
          </w:p>
        </w:tc>
        <w:tc>
          <w:tcPr>
            <w:tcW w:type="dxa" w:w="2256"/>
            <w:shd w:val="clear" w:color="auto" w:fill="F2F2F2"/>
            <w:vAlign w:val="center"/>
          </w:tcPr>
          <w:p>
            <w:pPr>
              <w:spacing w:before="0" w:after="0" w:line="240" w:lineRule="auto"/>
              <w:ind w:firstLine="0" w:left="0" w:right="0"/>
              <w:jc w:val="center"/>
            </w:pPr>
            <w:r>
              <w:rPr>
                <w:b/>
              </w:rPr>
            </w:r>
            <w:r>
              <w:rPr>
                <w:b/>
              </w:rPr>
              <w:t>拖延1个月</w:t>
            </w:r>
          </w:p>
        </w:tc>
        <w:tc>
          <w:tcPr>
            <w:tcW w:type="dxa" w:w="2256"/>
            <w:shd w:val="clear" w:color="auto" w:fill="F2F2F2"/>
            <w:vAlign w:val="center"/>
          </w:tcPr>
          <w:p>
            <w:pPr>
              <w:spacing w:before="0" w:after="0" w:line="240" w:lineRule="auto"/>
              <w:ind w:firstLine="0" w:left="0" w:right="0"/>
              <w:jc w:val="center"/>
            </w:pPr>
            <w:r>
              <w:rPr>
                <w:b/>
              </w:rPr>
            </w:r>
            <w:r>
              <w:rPr>
                <w:b/>
              </w:rPr>
              <w:t>拖延3个月</w:t>
            </w:r>
          </w:p>
        </w:tc>
        <w:tc>
          <w:tcPr>
            <w:tcW w:type="dxa" w:w="2256"/>
            <w:shd w:val="clear" w:color="auto" w:fill="F2F2F2"/>
            <w:vAlign w:val="center"/>
          </w:tcPr>
          <w:p>
            <w:pPr>
              <w:spacing w:before="0" w:after="0" w:line="240" w:lineRule="auto"/>
              <w:ind w:firstLine="0" w:left="0" w:right="0"/>
              <w:jc w:val="center"/>
            </w:pPr>
            <w:r>
              <w:rPr>
                <w:b/>
              </w:rPr>
            </w:r>
            <w:r>
              <w:rPr>
                <w:b/>
              </w:rPr>
              <w:t>拖延6个月</w:t>
            </w:r>
          </w:p>
        </w:tc>
      </w:tr>
      <w:tr>
        <w:tc>
          <w:tcPr>
            <w:tcW w:type="dxa" w:w="2256"/>
            <w:vAlign w:val="center"/>
          </w:tcPr>
          <w:p>
            <w:pPr>
              <w:spacing w:before="0" w:after="0" w:line="240" w:lineRule="auto"/>
              <w:ind w:firstLine="0" w:left="0" w:right="0"/>
              <w:jc w:val="center"/>
            </w:pPr>
            <w:r/>
            <w:r>
              <w:rPr>
                <w:b/>
              </w:rPr>
              <w:t>应收款逾期</w:t>
            </w:r>
          </w:p>
        </w:tc>
        <w:tc>
          <w:tcPr>
            <w:tcW w:type="dxa" w:w="2256"/>
            <w:vAlign w:val="center"/>
          </w:tcPr>
          <w:p>
            <w:pPr>
              <w:spacing w:before="0" w:after="0" w:line="240" w:lineRule="auto"/>
              <w:ind w:firstLine="0" w:left="0" w:right="0"/>
              <w:jc w:val="center"/>
            </w:pPr>
            <w:r/>
            <w:r>
              <w:t>回款概率95%</w:t>
            </w:r>
          </w:p>
        </w:tc>
        <w:tc>
          <w:tcPr>
            <w:tcW w:type="dxa" w:w="2256"/>
            <w:vAlign w:val="center"/>
          </w:tcPr>
          <w:p>
            <w:pPr>
              <w:spacing w:before="0" w:after="0" w:line="240" w:lineRule="auto"/>
              <w:ind w:firstLine="0" w:left="0" w:right="0"/>
              <w:jc w:val="center"/>
            </w:pPr>
            <w:r/>
            <w:r>
              <w:t>回款概率70%</w:t>
            </w:r>
          </w:p>
        </w:tc>
        <w:tc>
          <w:tcPr>
            <w:tcW w:type="dxa" w:w="2256"/>
            <w:vAlign w:val="center"/>
          </w:tcPr>
          <w:p>
            <w:pPr>
              <w:spacing w:before="0" w:after="0" w:line="240" w:lineRule="auto"/>
              <w:ind w:firstLine="0" w:left="0" w:right="0"/>
              <w:jc w:val="center"/>
            </w:pPr>
            <w:r/>
            <w:r>
              <w:t>回款概率30%</w:t>
            </w:r>
          </w:p>
        </w:tc>
      </w:tr>
      <w:tr>
        <w:tc>
          <w:tcPr>
            <w:tcW w:type="dxa" w:w="2256"/>
            <w:vAlign w:val="center"/>
          </w:tcPr>
          <w:p>
            <w:pPr>
              <w:spacing w:before="0" w:after="0" w:line="240" w:lineRule="auto"/>
              <w:ind w:firstLine="0" w:left="0" w:right="0"/>
              <w:jc w:val="center"/>
            </w:pPr>
            <w:r/>
            <w:r>
              <w:rPr>
                <w:b/>
              </w:rPr>
              <w:t>合同违约</w:t>
            </w:r>
          </w:p>
        </w:tc>
        <w:tc>
          <w:tcPr>
            <w:tcW w:type="dxa" w:w="2256"/>
            <w:vAlign w:val="center"/>
          </w:tcPr>
          <w:p>
            <w:pPr>
              <w:spacing w:before="0" w:after="0" w:line="240" w:lineRule="auto"/>
              <w:ind w:firstLine="0" w:left="0" w:right="0"/>
              <w:jc w:val="center"/>
            </w:pPr>
            <w:r/>
            <w:r>
              <w:t>替代方案成本低</w:t>
            </w:r>
          </w:p>
        </w:tc>
        <w:tc>
          <w:tcPr>
            <w:tcW w:type="dxa" w:w="2256"/>
            <w:vAlign w:val="center"/>
          </w:tcPr>
          <w:p>
            <w:pPr>
              <w:spacing w:before="0" w:after="0" w:line="240" w:lineRule="auto"/>
              <w:ind w:firstLine="0" w:left="0" w:right="0"/>
              <w:jc w:val="center"/>
            </w:pPr>
            <w:r/>
            <w:r>
              <w:t>替代方案成本翻倍</w:t>
            </w:r>
          </w:p>
        </w:tc>
        <w:tc>
          <w:tcPr>
            <w:tcW w:type="dxa" w:w="2256"/>
            <w:vAlign w:val="center"/>
          </w:tcPr>
          <w:p>
            <w:pPr>
              <w:spacing w:before="0" w:after="0" w:line="240" w:lineRule="auto"/>
              <w:ind w:firstLine="0" w:left="0" w:right="0"/>
              <w:jc w:val="center"/>
            </w:pPr>
            <w:r/>
            <w:r>
              <w:t>替代方案不可用</w:t>
            </w:r>
          </w:p>
        </w:tc>
      </w:tr>
      <w:tr>
        <w:tc>
          <w:tcPr>
            <w:tcW w:type="dxa" w:w="2256"/>
            <w:vAlign w:val="center"/>
          </w:tcPr>
          <w:p>
            <w:pPr>
              <w:spacing w:before="0" w:after="0" w:line="240" w:lineRule="auto"/>
              <w:ind w:firstLine="0" w:left="0" w:right="0"/>
              <w:jc w:val="center"/>
            </w:pPr>
            <w:r/>
            <w:r>
              <w:rPr>
                <w:b/>
              </w:rPr>
              <w:t>债务逾期</w:t>
            </w:r>
          </w:p>
        </w:tc>
        <w:tc>
          <w:tcPr>
            <w:tcW w:type="dxa" w:w="2256"/>
            <w:vAlign w:val="center"/>
          </w:tcPr>
          <w:p>
            <w:pPr>
              <w:spacing w:before="0" w:after="0" w:line="240" w:lineRule="auto"/>
              <w:ind w:firstLine="0" w:left="0" w:right="0"/>
              <w:jc w:val="center"/>
            </w:pPr>
            <w:r/>
            <w:r>
              <w:t>协商展期可行</w:t>
            </w:r>
          </w:p>
        </w:tc>
        <w:tc>
          <w:tcPr>
            <w:tcW w:type="dxa" w:w="2256"/>
            <w:vAlign w:val="center"/>
          </w:tcPr>
          <w:p>
            <w:pPr>
              <w:spacing w:before="0" w:after="0" w:line="240" w:lineRule="auto"/>
              <w:ind w:firstLine="0" w:left="0" w:right="0"/>
              <w:jc w:val="center"/>
            </w:pPr>
            <w:r/>
            <w:r>
              <w:t>进入征信黑名单</w:t>
            </w:r>
          </w:p>
        </w:tc>
        <w:tc>
          <w:tcPr>
            <w:tcW w:type="dxa" w:w="2256"/>
            <w:vAlign w:val="center"/>
          </w:tcPr>
          <w:p>
            <w:pPr>
              <w:spacing w:before="0" w:after="0" w:line="240" w:lineRule="auto"/>
              <w:ind w:firstLine="0" w:left="0" w:right="0"/>
              <w:jc w:val="center"/>
            </w:pPr>
            <w:r/>
            <w:r>
              <w:t>进入诉讼程序</w:t>
            </w:r>
          </w:p>
        </w:tc>
      </w:tr>
      <w:tr>
        <w:tc>
          <w:tcPr>
            <w:tcW w:type="dxa" w:w="2256"/>
            <w:vAlign w:val="center"/>
          </w:tcPr>
          <w:p>
            <w:pPr>
              <w:spacing w:before="0" w:after="0" w:line="240" w:lineRule="auto"/>
              <w:ind w:firstLine="0" w:left="0" w:right="0"/>
              <w:jc w:val="center"/>
            </w:pPr>
            <w:r/>
            <w:r>
              <w:rPr>
                <w:b/>
              </w:rPr>
              <w:t>合作纠纷</w:t>
            </w:r>
          </w:p>
        </w:tc>
        <w:tc>
          <w:tcPr>
            <w:tcW w:type="dxa" w:w="2256"/>
            <w:vAlign w:val="center"/>
          </w:tcPr>
          <w:p>
            <w:pPr>
              <w:spacing w:before="0" w:after="0" w:line="240" w:lineRule="auto"/>
              <w:ind w:firstLine="0" w:left="0" w:right="0"/>
              <w:jc w:val="center"/>
            </w:pPr>
            <w:r/>
            <w:r>
              <w:t>双方尚有信任</w:t>
            </w:r>
          </w:p>
        </w:tc>
        <w:tc>
          <w:tcPr>
            <w:tcW w:type="dxa" w:w="2256"/>
            <w:vAlign w:val="center"/>
          </w:tcPr>
          <w:p>
            <w:pPr>
              <w:spacing w:before="0" w:after="0" w:line="240" w:lineRule="auto"/>
              <w:ind w:firstLine="0" w:left="0" w:right="0"/>
              <w:jc w:val="center"/>
            </w:pPr>
            <w:r/>
            <w:r>
              <w:t>信任破裂</w:t>
            </w:r>
          </w:p>
        </w:tc>
        <w:tc>
          <w:tcPr>
            <w:tcW w:type="dxa" w:w="2256"/>
            <w:vAlign w:val="center"/>
          </w:tcPr>
          <w:p>
            <w:pPr>
              <w:spacing w:before="0" w:after="0" w:line="240" w:lineRule="auto"/>
              <w:ind w:firstLine="0" w:left="0" w:right="0"/>
              <w:jc w:val="center"/>
            </w:pPr>
            <w:r/>
            <w:r>
              <w:t>关系不可修复</w:t>
            </w:r>
          </w:p>
        </w:tc>
      </w:tr>
    </w:tbl>
    <w:p>
      <w:pPr>
        <w:pStyle w:val="BodyText"/>
      </w:pPr>
      <w:r>
        <w:rPr>
          <w:b/>
        </w:rPr>
        <w:t>核心启示</w:t>
      </w:r>
      <w:r>
        <w:t>：企业突发风险处置的"黄金窗口期"通常是发现后的</w:t>
      </w:r>
      <w:r>
        <w:rPr>
          <w:b/>
        </w:rPr>
        <w:t>前30天</w:t>
      </w:r>
      <w:r>
        <w:t>。超过这个时间窗口，处置成本将指数级上升，可选方案将急剧减少。</w:t>
      </w:r>
    </w:p>
    <w:p>
      <w:pPr>
        <w:spacing w:before="80" w:after="80"/>
        <w:ind w:firstLine="0"/>
        <w:pBdr>
          <w:bottom w:val="single" w:sz="6" w:space="0" w:color="808080"/>
        </w:pBdr>
      </w:pPr>
    </w:p>
    <w:p>
      <w:pPr>
        <w:pStyle w:val="Heading2"/>
      </w:pPr>
      <w:r>
        <w:t>第四部分：复盘的底层逻辑</w:t>
      </w:r>
    </w:p>
    <w:p>
      <w:pPr>
        <w:pStyle w:val="Heading3"/>
      </w:pPr>
      <w:r>
        <w:t>4.1 "危机是推动改革的重要契机"</w:t>
      </w:r>
    </w:p>
    <w:p>
      <w:pPr>
        <w:pStyle w:val="BodyText"/>
      </w:pPr>
      <w:r>
        <w:t>本书第八章的核心结论是：</w:t>
      </w:r>
      <w:r>
        <w:rPr>
          <w:b/>
        </w:rPr>
        <w:t>"危机是推动金融监管改革的重要契机"</w:t>
      </w:r>
      <w:r>
        <w:t>。作者通过比较美国历次金融危机后的改革（如大萧条后的《格拉斯-斯蒂格尔法案》、2008年后的《多德-弗兰克法案》），证明成功的危机应对往往带来制度层面的深层改进。</w:t>
      </w:r>
    </w:p>
    <w:p>
      <w:pPr>
        <w:pStyle w:val="BodyText"/>
      </w:pPr>
      <w:r>
        <w:t>将这一结论适配到企业层面：</w:t>
      </w:r>
    </w:p>
    <w:p>
      <w:pPr>
        <w:pStyle w:val="ListBullet"/>
      </w:pPr>
      <w:r>
        <w:rPr>
          <w:b/>
        </w:rPr>
        <w:t>复盘不是追责，而是系统升级</w:t>
      </w:r>
      <w:r>
        <w:t>。每次风险事件后，企业需要回答的不是"谁该负责"，而是"系统哪里失效了"：信息传递哪里断裂了、决策链条哪里卡住了、预警机制哪里失灵了、执行流程哪里延误了。</w:t>
      </w:r>
    </w:p>
    <w:p>
      <w:pPr>
        <w:pStyle w:val="ListBullet"/>
      </w:pPr>
      <w:r>
        <w:rPr>
          <w:b/>
        </w:rPr>
        <w:t>建立"风险处置案例库"</w:t>
      </w:r>
      <w:r>
        <w:t>。书中使用"正反面对照"方法（如美国大萧条vs2008年次贷危机的应对、日本僵尸企业vs中国四大行"在线修复"），企业复盘也应建立同类风险的对照库，提炼出适合自己业务模式的处置SOP（标准操作程序）。</w:t>
      </w:r>
    </w:p>
    <w:p>
      <w:pPr>
        <w:pStyle w:val="Heading3"/>
      </w:pPr>
      <w:r>
        <w:t>4.2 "案例学习"作为核心能力</w:t>
      </w:r>
    </w:p>
    <w:p>
      <w:pPr>
        <w:pStyle w:val="BodyText"/>
      </w:pPr>
      <w:r>
        <w:t>本书最大的价值之一，是作者通过近40个真实案例反复验证分析框架。作者指出："案例分析的方法非常适合危机研究，既可以验证直觉猜想，也可以启发新的认识，还可以就多个正反面案例进行比较。"</w:t>
      </w:r>
    </w:p>
    <w:p>
      <w:pPr>
        <w:pStyle w:val="BodyText"/>
      </w:pPr>
      <w:r>
        <w:t>对企业风险处置顾问而言，</w:t>
      </w:r>
      <w:r>
        <w:rPr>
          <w:b/>
        </w:rPr>
        <w:t>案例库建设是核心能力建设</w:t>
      </w:r>
      <w:r>
        <w:t>：</w:t>
      </w:r>
    </w:p>
    <w:p>
      <w:pPr>
        <w:pStyle w:val="ListNumber"/>
        <w:numPr>
          <w:ilvl w:val="0"/>
          <w:numId w:val="11"/>
        </w:numPr>
      </w:pPr>
      <w:r>
        <w:rPr>
          <w:b/>
        </w:rPr>
        <w:t>分类归档</w:t>
      </w:r>
      <w:r>
        <w:t>：按照风险类型（应收款、合同、债务、股权、合作等）建立分类案例库。</w:t>
      </w:r>
    </w:p>
    <w:p>
      <w:pPr>
        <w:pStyle w:val="ListNumber"/>
        <w:numPr>
          <w:ilvl w:val="0"/>
          <w:numId w:val="11"/>
        </w:numPr>
      </w:pPr>
      <w:r>
        <w:rPr>
          <w:b/>
        </w:rPr>
        <w:t>正反面对照</w:t>
      </w:r>
      <w:r>
        <w:t>：每个案例记录"成功处置路径"和"失败处置路径"的对照。</w:t>
      </w:r>
    </w:p>
    <w:p>
      <w:pPr>
        <w:pStyle w:val="ListNumber"/>
        <w:numPr>
          <w:ilvl w:val="0"/>
          <w:numId w:val="11"/>
        </w:numPr>
      </w:pPr>
      <w:r>
        <w:rPr>
          <w:b/>
        </w:rPr>
        <w:t>模式提炼</w:t>
      </w:r>
      <w:r>
        <w:t>：从案例中提炼可复用的"预警信号—处置时机—止损动作—复盘要点"四段式模板。</w:t>
      </w:r>
    </w:p>
    <w:p>
      <w:pPr>
        <w:pStyle w:val="ListNumber"/>
        <w:numPr>
          <w:ilvl w:val="0"/>
          <w:numId w:val="11"/>
        </w:numPr>
      </w:pPr>
      <w:r>
        <w:rPr>
          <w:b/>
        </w:rPr>
        <w:t>定期更新</w:t>
      </w:r>
      <w:r>
        <w:t>：随着业务拓展，持续补充新案例，淘汰过时案例。</w:t>
      </w:r>
    </w:p>
    <w:p>
      <w:pPr>
        <w:pStyle w:val="Heading3"/>
      </w:pPr>
      <w:r>
        <w:t>4.3 从"事后复盘"到"事前预防"</w:t>
      </w:r>
    </w:p>
    <w:p>
      <w:pPr>
        <w:pStyle w:val="BodyText"/>
      </w:pPr>
      <w:r>
        <w:t>本书开篇即提出，危机应对的最高境界不是"事后处置得好"，而是"事前预防到位"。书中提到的存款保险制度的"早期纠正机制"就是一个典型案例——在风险尚处于萌芽阶段时就介入干预，而不是等到银行资不抵债时才被动处置。</w:t>
      </w:r>
    </w:p>
    <w:p>
      <w:pPr>
        <w:pStyle w:val="BodyText"/>
      </w:pPr>
      <w:r>
        <w:t>在企业层面，这意味着：</w:t>
      </w:r>
    </w:p>
    <w:p>
      <w:pPr>
        <w:pStyle w:val="ListBullet"/>
      </w:pPr>
      <w:r>
        <w:rPr>
          <w:b/>
        </w:rPr>
        <w:t>建立"风险预警前置机制"</w:t>
      </w:r>
      <w:r>
        <w:t>：不是等到客户逾期才行动，而是在客户付款周期开始延长时就启动预警。</w:t>
      </w:r>
    </w:p>
    <w:p>
      <w:pPr>
        <w:pStyle w:val="ListBullet"/>
      </w:pPr>
      <w:r>
        <w:rPr>
          <w:b/>
        </w:rPr>
        <w:t>建立"多预案推演机制"</w:t>
      </w:r>
      <w:r>
        <w:t>：如你的学习计划中所要求，任何一个风险必须输出三套方案（最优和解/保守处置/兜底诉讼）。</w:t>
      </w:r>
    </w:p>
    <w:p>
      <w:pPr>
        <w:pStyle w:val="ListBullet"/>
      </w:pPr>
      <w:r>
        <w:rPr>
          <w:b/>
        </w:rPr>
        <w:t>建立"压力测试机制"</w:t>
      </w:r>
      <w:r>
        <w:t>：定期假设"如果最大客户突然违约""如果主要供应商断供""如果银行抽贷"，测试企业的风险承受能力和应对预案。</w:t>
      </w:r>
    </w:p>
    <w:p>
      <w:pPr>
        <w:spacing w:before="80" w:after="80"/>
        <w:ind w:firstLine="0"/>
        <w:pBdr>
          <w:bottom w:val="single" w:sz="6" w:space="0" w:color="808080"/>
        </w:pBdr>
      </w:pPr>
    </w:p>
    <w:p>
      <w:pPr>
        <w:pStyle w:val="Heading2"/>
      </w:pPr>
      <w:r>
        <w:t>第五部分：企业突发风险处置思维框架的搭建</w:t>
      </w:r>
    </w:p>
    <w:p>
      <w:pPr>
        <w:pStyle w:val="Heading3"/>
      </w:pPr>
      <w:r>
        <w:t>5.1 从"四个关键环节"到企业处置SOP</w:t>
      </w:r>
    </w:p>
    <w:p>
      <w:pPr>
        <w:pStyle w:val="BodyText"/>
      </w:pPr>
      <w:r>
        <w:t>综合全书核心逻辑，将危机应对的四个关键环节转化为企业突发风险处置的标准操作程序（SOP）：</w:t>
      </w:r>
    </w:p>
    <w:p>
      <w:pPr>
        <w:pStyle w:val="BodyText"/>
      </w:pPr>
      <w:r>
        <w:rPr>
          <w:b/>
        </w:rPr>
        <w:t>第一步：风险识别与等级划分（对应"确定处置时机"）</w:t>
      </w:r>
    </w:p>
    <w:p>
      <w:pPr>
        <w:pStyle w:val="ListBullet"/>
      </w:pPr>
      <w:r>
        <w:t>发现风险信号（仪表盘预警）。</w:t>
      </w:r>
    </w:p>
    <w:p>
      <w:pPr>
        <w:pStyle w:val="ListBullet"/>
      </w:pPr>
      <w:r>
        <w:t>启动简易排查：风险点 + 影响范围 + 紧急程度 + 初步建议。</w:t>
      </w:r>
    </w:p>
    <w:p>
      <w:pPr>
        <w:pStyle w:val="ListBullet"/>
      </w:pPr>
      <w:r>
        <w:t>等级划分：低（观察）/ 中（准备预案）/ 高（立即行动）/ 致命（启动紧急止损）。</w:t>
      </w:r>
    </w:p>
    <w:p>
      <w:pPr>
        <w:pStyle w:val="BodyText"/>
      </w:pPr>
      <w:r>
        <w:rPr>
          <w:b/>
        </w:rPr>
        <w:t>第二步：确定处置主体与资源调配（对应"确定关键救助者"）</w:t>
      </w:r>
    </w:p>
    <w:p>
      <w:pPr>
        <w:pStyle w:val="ListBullet"/>
      </w:pPr>
      <w:r>
        <w:t>内部：谁有决策权（股东/董事会/CEO）、谁有执行权（法务/财务/业务负责人）。</w:t>
      </w:r>
    </w:p>
    <w:p>
      <w:pPr>
        <w:pStyle w:val="ListBullet"/>
      </w:pPr>
      <w:r>
        <w:t>外部：法律顾问、会计师、行业专家、调解机构、潜在接盘方。</w:t>
      </w:r>
    </w:p>
    <w:p>
      <w:pPr>
        <w:pStyle w:val="ListBullet"/>
      </w:pPr>
      <w:r>
        <w:t>资源盘点：可用现金、可抵押资产、可谈判筹码、可替代方案。</w:t>
      </w:r>
    </w:p>
    <w:p>
      <w:pPr>
        <w:pStyle w:val="BodyText"/>
      </w:pPr>
      <w:r>
        <w:rPr>
          <w:b/>
        </w:rPr>
        <w:t>第三步：损失评估与分担方案设计（对应"进行损失分担"）</w:t>
      </w:r>
    </w:p>
    <w:p>
      <w:pPr>
        <w:pStyle w:val="ListBullet"/>
      </w:pPr>
      <w:r>
        <w:t>直接损失：逾期金额、违约成本、资产减值。</w:t>
      </w:r>
    </w:p>
    <w:p>
      <w:pPr>
        <w:pStyle w:val="ListBullet"/>
      </w:pPr>
      <w:r>
        <w:t>间接损失：业务中断损失、声誉损失、机会成本。</w:t>
      </w:r>
    </w:p>
    <w:p>
      <w:pPr>
        <w:pStyle w:val="ListBullet"/>
      </w:pPr>
      <w:r>
        <w:t>分担方案：对方全额承担 / 双方分担 / 我方承担（换取其他利益）。</w:t>
      </w:r>
    </w:p>
    <w:p>
      <w:pPr>
        <w:pStyle w:val="BodyText"/>
      </w:pPr>
      <w:r>
        <w:rPr>
          <w:b/>
        </w:rPr>
        <w:t>第四步：处置平台选择与执行（对应"选择处置平台"）</w:t>
      </w:r>
    </w:p>
    <w:p>
      <w:pPr>
        <w:pStyle w:val="ListBullet"/>
      </w:pPr>
      <w:r>
        <w:t>私下和解（成本最低、关系可修复）。</w:t>
      </w:r>
    </w:p>
    <w:p>
      <w:pPr>
        <w:pStyle w:val="ListBullet"/>
      </w:pPr>
      <w:r>
        <w:t>行业协会/商会调解（第三方介入、有公信力）。</w:t>
      </w:r>
    </w:p>
    <w:p>
      <w:pPr>
        <w:pStyle w:val="ListBullet"/>
      </w:pPr>
      <w:r>
        <w:t>仲裁（有合同约定、保密性强）。</w:t>
      </w:r>
    </w:p>
    <w:p>
      <w:pPr>
        <w:pStyle w:val="ListBullet"/>
      </w:pPr>
      <w:r>
        <w:t>诉讼（证据充分、对方无诚意谈判）。</w:t>
      </w:r>
    </w:p>
    <w:p>
      <w:pPr>
        <w:pStyle w:val="Heading3"/>
      </w:pPr>
      <w:r>
        <w:t>5.2 从"预判-止损-复盘"到个人能力体系</w:t>
      </w:r>
    </w:p>
    <w:p>
      <w:pPr>
        <w:pStyle w:val="BodyText"/>
      </w:pPr>
      <w:r>
        <w:t>作为风险处置顾问的学习者，应将全书核心逻辑内化为个人能力体系：</w:t>
      </w:r>
    </w:p>
    <w:p>
      <w:pPr>
        <w:pStyle w:val="BodyText"/>
      </w:pPr>
      <w:r>
        <w:rPr>
          <w:b/>
        </w:rPr>
        <w:t>第一层：认知层（道）</w:t>
      </w:r>
    </w:p>
    <w:p>
      <w:pPr>
        <w:pStyle w:val="ListBullet"/>
      </w:pPr>
      <w:r>
        <w:t>理解"经济的正常循环优先"原则，识别核心功能与边缘业务。</w:t>
      </w:r>
    </w:p>
    <w:p>
      <w:pPr>
        <w:pStyle w:val="ListBullet"/>
      </w:pPr>
      <w:r>
        <w:t>理解"拖延成本指数级增长"规律，建立"黄金窗口期"意识。</w:t>
      </w:r>
    </w:p>
    <w:p>
      <w:pPr>
        <w:pStyle w:val="ListBullet"/>
      </w:pPr>
      <w:r>
        <w:t>理解"危机是改革契机"思维，将每次风险事件转化为系统升级机会。</w:t>
      </w:r>
    </w:p>
    <w:p>
      <w:pPr>
        <w:pStyle w:val="BodyText"/>
      </w:pPr>
      <w:r>
        <w:rPr>
          <w:b/>
        </w:rPr>
        <w:t>第二层：方法层（术）</w:t>
      </w:r>
    </w:p>
    <w:p>
      <w:pPr>
        <w:pStyle w:val="ListBullet"/>
      </w:pPr>
      <w:r>
        <w:t>掌握"四环节"SOP：时机判断→主体确定→损失分担→平台选择。</w:t>
      </w:r>
    </w:p>
    <w:p>
      <w:pPr>
        <w:pStyle w:val="ListBullet"/>
      </w:pPr>
      <w:r>
        <w:t>掌握"多预案推演"：任何风险必须输出A/B/C三套方案。</w:t>
      </w:r>
    </w:p>
    <w:p>
      <w:pPr>
        <w:pStyle w:val="ListBullet"/>
      </w:pPr>
      <w:r>
        <w:t>掌握"案例库建设"：分类归档、正反对照、模式提炼。</w:t>
      </w:r>
    </w:p>
    <w:p>
      <w:pPr>
        <w:pStyle w:val="BodyText"/>
      </w:pPr>
      <w:r>
        <w:rPr>
          <w:b/>
        </w:rPr>
        <w:t>第三层：工具层（器）</w:t>
      </w:r>
    </w:p>
    <w:p>
      <w:pPr>
        <w:pStyle w:val="ListBullet"/>
      </w:pPr>
      <w:r>
        <w:t>风险监测仪表盘（Excel/系统）。</w:t>
      </w:r>
    </w:p>
    <w:p>
      <w:pPr>
        <w:pStyle w:val="ListBullet"/>
      </w:pPr>
      <w:r>
        <w:t>简易风险排查报告模板。</w:t>
      </w:r>
    </w:p>
    <w:p>
      <w:pPr>
        <w:pStyle w:val="ListBullet"/>
      </w:pPr>
      <w:r>
        <w:t>标准风险处置方案书模板。</w:t>
      </w:r>
    </w:p>
    <w:p>
      <w:pPr>
        <w:pStyle w:val="ListBullet"/>
      </w:pPr>
      <w:r>
        <w:t>案例库归档模板。</w:t>
      </w:r>
    </w:p>
    <w:p>
      <w:pPr>
        <w:pStyle w:val="Heading3"/>
      </w:pPr>
      <w:r>
        <w:t>5.3 结合个人业务场景的落地思考</w:t>
      </w:r>
    </w:p>
    <w:p>
      <w:pPr>
        <w:pStyle w:val="BodyText"/>
      </w:pPr>
      <w:r>
        <w:t>作为在深圳市昆腾电子商务有限公司从事跨境物流相关工作的从业者，本书的底层逻辑对跨境业务场景同样具有高度适配性：</w:t>
      </w:r>
    </w:p>
    <w:p>
      <w:pPr>
        <w:pStyle w:val="ListBullet"/>
      </w:pPr>
      <w:r>
        <w:rPr>
          <w:b/>
        </w:rPr>
        <w:t>跨境物流的"正常循环"</w:t>
      </w:r>
      <w:r>
        <w:t>：订舱→装货→运输→清关→交付→收款。任何中断这一循环的风险（如航线停飞、目的港拥堵、客户拒收、汇率剧烈波动）都需要按照"四个关键环节"处置。</w:t>
      </w:r>
    </w:p>
    <w:p>
      <w:pPr>
        <w:pStyle w:val="ListBullet"/>
      </w:pPr>
      <w:r>
        <w:rPr>
          <w:b/>
        </w:rPr>
        <w:t>跨境业务的"风险预判"</w:t>
      </w:r>
      <w:r>
        <w:t>：建立针对跨境场景的仪表盘——航线准点率、目的港清关时效、客户付款周期、汇率波动幅度、目的国政策变动。</w:t>
      </w:r>
    </w:p>
    <w:p>
      <w:pPr>
        <w:pStyle w:val="ListBullet"/>
      </w:pPr>
      <w:r>
        <w:rPr>
          <w:b/>
        </w:rPr>
        <w:t>跨境业务的"止损"</w:t>
      </w:r>
      <w:r>
        <w:t>：当某条航线因不可抗力停航时，"保住核心功能"意味着优先保住高利润订单的运输通道，而不是试图保全所有订单。</w:t>
      </w:r>
    </w:p>
    <w:p>
      <w:pPr>
        <w:pStyle w:val="ListBullet"/>
      </w:pPr>
      <w:r>
        <w:rPr>
          <w:b/>
        </w:rPr>
        <w:t>跨境业务的"复盘"</w:t>
      </w:r>
      <w:r>
        <w:t>：每次运输延误或客户纠纷后，复盘"是信息传递滞后导致的预警失灵，还是处置预案本身不完整"，持续迭代SOP。</w:t>
      </w:r>
    </w:p>
    <w:p>
      <w:pPr>
        <w:spacing w:before="80" w:after="80"/>
        <w:ind w:firstLine="0"/>
        <w:pBdr>
          <w:bottom w:val="single" w:sz="6" w:space="0" w:color="808080"/>
        </w:pBdr>
      </w:pPr>
    </w:p>
    <w:p>
      <w:pPr>
        <w:pStyle w:val="Heading2"/>
      </w:pPr>
      <w:r>
        <w:t>结论</w:t>
      </w:r>
    </w:p>
    <w:p>
      <w:pPr>
        <w:pStyle w:val="BodyText"/>
      </w:pPr>
      <w:r>
        <w:t>《危机应对的道与术》是一本兼具理论深度与实操参照的金融危机处置手册，但其底层逻辑远不止于金融系统。书中提炼的"确定处置时机、确定关键救助者、进行损失分担、选择处置平台"四个关键环节，以及贯穿全书的风险预判、止损、复盘三大底层逻辑，对企业微观层面的突发风险处置同样具有高度指导价值。</w:t>
      </w:r>
    </w:p>
    <w:p>
      <w:pPr>
        <w:pStyle w:val="BodyText"/>
      </w:pPr>
      <w:r>
        <w:t>对个人学习者而言，本书最大的启示在于：</w:t>
      </w:r>
      <w:r>
        <w:rPr>
          <w:b/>
        </w:rPr>
        <w:t>危机处置不是应急反应，而是一种可训练、可体系化的职业能力</w:t>
      </w:r>
      <w:r>
        <w:t>。通过建立"监测仪表盘→等级划分→多预案推演→标准SOP→案例库复盘"的完整闭环，任何人都可以在三个月的系统训练中，从零基础成长到具备初级风险处置顾问的上岗水平。</w:t>
      </w:r>
    </w:p>
    <w:p>
      <w:pPr>
        <w:pStyle w:val="BodyText"/>
      </w:pPr>
      <w:r>
        <w:t>正如书中反复强调的那句话：</w:t>
      </w:r>
      <w:r>
        <w:rPr>
          <w:b/>
        </w:rPr>
        <w:t>"历史不是简单的重复，但有惊人的相似。"</w:t>
      </w:r>
      <w:r>
        <w:t xml:space="preserve"> 每一次成功的危机应对，都是建立在对历史规律的深刻理解和快速应用之上的。对个人而言，每一次对本书案例的深入研读和对自己业务场景的对照推演，都是在为未来可能到来的"突发风险"积累处置能力。</w:t>
      </w:r>
    </w:p>
    <w:p>
      <w:pPr>
        <w:spacing w:before="80" w:after="80"/>
        <w:ind w:firstLine="0"/>
        <w:pBdr>
          <w:bottom w:val="single" w:sz="6" w:space="0" w:color="808080"/>
        </w:pBdr>
      </w:pPr>
    </w:p>
    <w:p>
      <w:pPr>
        <w:pStyle w:val="BodyText"/>
      </w:pPr>
      <w:r>
        <w:rPr>
          <w:b/>
        </w:rPr>
        <w:t>附：推荐阅读顺序建议</w:t>
      </w:r>
    </w:p>
    <w:p>
      <w:pPr>
        <w:pStyle w:val="ListNumber"/>
        <w:numPr>
          <w:ilvl w:val="0"/>
          <w:numId w:val="12"/>
        </w:numPr>
      </w:pPr>
      <w:r>
        <w:t>先通读本书第一章（危机认知）和第八章（结论），建立整体框架。</w:t>
      </w:r>
    </w:p>
    <w:p>
      <w:pPr>
        <w:pStyle w:val="ListNumber"/>
        <w:numPr>
          <w:ilvl w:val="0"/>
          <w:numId w:val="12"/>
        </w:numPr>
      </w:pPr>
      <w:r>
        <w:t>再精读第四章（处置时机）和第二章（保住核心功能），掌握止损逻辑。</w:t>
      </w:r>
    </w:p>
    <w:p>
      <w:pPr>
        <w:pStyle w:val="ListNumber"/>
        <w:numPr>
          <w:ilvl w:val="0"/>
          <w:numId w:val="12"/>
        </w:numPr>
      </w:pPr>
      <w:r>
        <w:t>最后研读各章案例部分，建立"正反面对照"的案例库思维。</w:t>
      </w:r>
    </w:p>
    <w:p>
      <w:pPr>
        <w:pStyle w:val="ListNumber"/>
        <w:numPr>
          <w:ilvl w:val="0"/>
          <w:numId w:val="12"/>
        </w:numPr>
      </w:pPr>
      <w:r>
        <w:t>结合个人业务场景，输出至少3篇"企业突发风险处置方案"作为实操训练。</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Arial" w:hAnsi="Arial" w:eastAsia="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Arial" w:hAnsi="Arial"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ind w:firstLine="0"/>
      <w:jc w:val="center"/>
      <w:outlineLvl w:val="0"/>
    </w:pPr>
    <w:rPr>
      <w:rFonts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ind w:firstLine="0"/>
      <w:outlineLvl w:val="3"/>
    </w:pPr>
    <w:rPr>
      <w:rFonts w:cstheme="majorBidi" w:ascii="Arial" w:hAnsi="Arial" w:eastAsia="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ind w:firstLine="0"/>
      <w:outlineLvl w:val="4"/>
    </w:pPr>
    <w:rPr>
      <w:rFonts w:cstheme="majorBidi" w:ascii="Arial" w:hAnsi="Arial" w:eastAsia="黑体"/>
      <w:b/>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0"/>
      <w:ind w:firstLine="0"/>
      <w:outlineLvl w:val="5"/>
    </w:pPr>
    <w:rPr>
      <w:rFonts w:cstheme="majorBidi" w:ascii="Arial" w:hAnsi="Arial" w:eastAsia="黑体"/>
      <w:b/>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jc w:val="center"/>
    </w:pPr>
    <w:rPr>
      <w:rFonts w:cstheme="majorBidi" w:ascii="Arial" w:hAnsi="Arial" w:eastAsia="黑体"/>
      <w:b/>
      <w:color w:val="000000"/>
      <w:spacing w:val="5"/>
      <w:kern w:val="28"/>
      <w:sz w:val="4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ind w:firstLine="420"/>
    </w:pPr>
    <w:rPr>
      <w:rFonts w:ascii="Arial" w:hAnsi="Arial" w:eastAsia="宋体"/>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宋体"/>
      <w:color w:val="000000"/>
      <w:sz w:val="21"/>
    </w:rPr>
  </w:style>
  <w:style w:type="paragraph" w:styleId="ListBullet2">
    <w:name w:val="List Bullet 2"/>
    <w:basedOn w:val="Normal"/>
    <w:uiPriority w:val="99"/>
    <w:unhideWhenUsed/>
    <w:rsid w:val="00326F90"/>
    <w:pPr>
      <w:numPr>
        <w:numId w:val="2"/>
      </w:numPr>
      <w:contextualSpacing/>
    </w:pPr>
    <w:rPr>
      <w:rFonts w:ascii="Arial" w:hAnsi="Arial" w:eastAsia="宋体"/>
      <w:color w:val="000000"/>
      <w:sz w:val="21"/>
    </w:rPr>
  </w:style>
  <w:style w:type="paragraph" w:styleId="ListBullet3">
    <w:name w:val="List Bullet 3"/>
    <w:basedOn w:val="Normal"/>
    <w:uiPriority w:val="99"/>
    <w:unhideWhenUsed/>
    <w:rsid w:val="00326F90"/>
    <w:pPr>
      <w:numPr>
        <w:numId w:val="3"/>
      </w:numPr>
      <w:contextualSpacing/>
    </w:pPr>
    <w:rPr>
      <w:rFonts w:ascii="Arial" w:hAnsi="Arial" w:eastAsia="宋体"/>
      <w:color w:val="000000"/>
      <w:sz w:val="21"/>
    </w:rPr>
  </w:style>
  <w:style w:type="paragraph" w:styleId="ListNumber">
    <w:name w:val="List Number"/>
    <w:basedOn w:val="Normal"/>
    <w:uiPriority w:val="99"/>
    <w:unhideWhenUsed/>
    <w:rsid w:val="00326F90"/>
    <w:pPr>
      <w:numPr>
        <w:numId w:val="5"/>
      </w:numPr>
      <w:contextualSpacing/>
    </w:pPr>
    <w:rPr>
      <w:rFonts w:ascii="Arial" w:hAnsi="Arial" w:eastAsia="宋体"/>
      <w:color w:val="000000"/>
      <w:sz w:val="21"/>
    </w:rPr>
  </w:style>
  <w:style w:type="paragraph" w:styleId="ListNumber2">
    <w:name w:val="List Number 2"/>
    <w:basedOn w:val="Normal"/>
    <w:uiPriority w:val="99"/>
    <w:unhideWhenUsed/>
    <w:rsid w:val="0029639D"/>
    <w:pPr>
      <w:numPr>
        <w:numId w:val="6"/>
      </w:numPr>
      <w:contextualSpacing/>
    </w:pPr>
    <w:rPr>
      <w:rFonts w:ascii="Arial" w:hAnsi="Arial" w:eastAsia="宋体"/>
      <w:color w:val="000000"/>
      <w:sz w:val="21"/>
    </w:rPr>
  </w:style>
  <w:style w:type="paragraph" w:styleId="ListNumber3">
    <w:name w:val="List Number 3"/>
    <w:basedOn w:val="Normal"/>
    <w:uiPriority w:val="99"/>
    <w:unhideWhenUsed/>
    <w:rsid w:val="0029639D"/>
    <w:pPr>
      <w:numPr>
        <w:numId w:val="7"/>
      </w:numPr>
      <w:contextualSpacing/>
    </w:pPr>
    <w:rPr>
      <w:rFonts w:ascii="Arial" w:hAnsi="Arial" w:eastAsia="宋体"/>
      <w:color w:val="000000"/>
      <w:sz w:val="21"/>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宋体"/>
      <w:b/>
      <w:bCs/>
      <w:i/>
      <w:iCs/>
      <w:color w:val="000000"/>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黑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《危机应对的道与术》读书报告</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"ea4dcccd-615c-49d5-a354-fa58d5a9180a", "ReservedCode1": "72dafc97cd38b92e5f3d5cdfd0dfbbe6", "ContentPropagator": "001191110000802100433B11010001191110000802100433B11010", "PropagateID": "06b07a21-b191-4e13-b70c-837e9197c9b6", "ReservedCode2": "2734827274df537123a472bf4de01eb5"}</vt:lpwstr>
  </property>
</Properties>
</file>