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《掘金：不良资产经营与金融风险化解实操精要》读书报告</w:t>
      </w:r>
    </w:p>
    <w:p>
      <w:pPr>
        <w:pStyle w:val="BodyText"/>
      </w:pPr>
      <w:r>
        <w:rPr>
          <w:b/>
        </w:rPr>
        <w:t>不良资产化解、企业债务纾困与风险止损方案设计</w:t>
      </w:r>
    </w:p>
    <w:p>
      <w:pPr>
        <w:pStyle w:val="BodyText"/>
      </w:pPr>
      <w:r>
        <w:rPr>
          <w:b/>
        </w:rPr>
        <w:t>报告人：</w:t>
      </w:r>
      <w:r>
        <w:t xml:space="preserve"> 个人学习整理 </w:t>
      </w:r>
      <w:r>
        <w:rPr>
          <w:b/>
        </w:rPr>
        <w:t>日期：</w:t>
      </w:r>
      <w:r>
        <w:t xml:space="preserve"> 2026年9月14日 </w:t>
      </w:r>
      <w:r>
        <w:rPr>
          <w:b/>
        </w:rPr>
        <w:t>书籍信息：</w:t>
      </w:r>
      <w:r>
        <w:t xml:space="preserve"> 《掘金：不良资产经营与金融风险化解实操精要》，王彬 著，中国民主法制出版社，2026年5月第1版，ISBN：978-7-5162-4106-6，精装，791页</w:t>
      </w:r>
    </w:p>
    <w:p>
      <w:pPr>
        <w:spacing w:before="80" w:after="80"/>
        <w:ind w:firstLine="0"/>
        <w:pBdr>
          <w:bottom w:val="single" w:sz="6" w:space="0" w:color="808080"/>
        </w:pBdr>
      </w:pPr>
    </w:p>
    <w:p>
      <w:pPr>
        <w:pStyle w:val="Heading2"/>
      </w:pPr>
      <w:r>
        <w:t>摘要</w:t>
      </w:r>
    </w:p>
    <w:p>
      <w:pPr>
        <w:pStyle w:val="BodyText"/>
      </w:pPr>
      <w:r>
        <w:t>本书是近年来不良资产与金融风险化解领域罕见的</w:t>
      </w:r>
      <w:r>
        <w:rPr>
          <w:b/>
        </w:rPr>
        <w:t>实操导向型</w:t>
      </w:r>
      <w:r>
        <w:t>著作。作者王彬以不良资产行业生态格局为切入点，通过历史追溯与理论框架相结合的方式，系统梳理了从资产筛选识别、尽职调查、估值定价到业务开展的全流程方法论。全书分为五章，涵盖不良资产行业全景、尽调估值流程、个贷业务精要、对公业务精要及行业趋势预判，并附有大量可复用的处置流程模板、成本测算模型和交易结构案例。</w:t>
      </w:r>
    </w:p>
    <w:p>
      <w:pPr>
        <w:pStyle w:val="BodyText"/>
      </w:pPr>
      <w:r>
        <w:t>本报告聚焦于</w:t>
      </w:r>
      <w:r>
        <w:rPr>
          <w:b/>
        </w:rPr>
        <w:t>不良资产化解、企业债务纾困、风险止损方案设计</w:t>
      </w:r>
      <w:r>
        <w:t>三大核心主题，将书中提炼的实操方法论适配到企业微观风险处置场景，为个人建立可复用、可落地的商业风险处置思维框架。</w:t>
      </w:r>
    </w:p>
    <w:p>
      <w:pPr>
        <w:spacing w:before="80" w:after="80"/>
        <w:ind w:firstLine="0"/>
        <w:pBdr>
          <w:bottom w:val="single" w:sz="6" w:space="0" w:color="808080"/>
        </w:pBdr>
      </w:pPr>
    </w:p>
    <w:p>
      <w:pPr>
        <w:pStyle w:val="Heading2"/>
      </w:pPr>
      <w:r>
        <w:t>第一部分：不良资产行业生态与核心认知</w:t>
      </w:r>
    </w:p>
    <w:p>
      <w:pPr>
        <w:pStyle w:val="Heading3"/>
      </w:pPr>
      <w:r>
        <w:t>1.1 行业全景：从"被动处置"到"主动掘金"</w:t>
      </w:r>
    </w:p>
    <w:p>
      <w:pPr>
        <w:pStyle w:val="BodyText"/>
      </w:pPr>
      <w:r>
        <w:t>本书开篇即指出，中国不良资产行业经历了四个关键发展阶段：</w:t>
      </w:r>
    </w:p>
    <w:p>
      <w:pPr>
        <w:pStyle w:val="BodyText"/>
      </w:pPr>
      <w:r>
        <w:rPr>
          <w:b/>
        </w:rPr>
        <w:t>第一阶段：政策推动阶段（1999-2003）</w:t>
      </w:r>
    </w:p>
    <w:p>
      <w:pPr>
        <w:pStyle w:val="BodyText"/>
      </w:pPr>
      <w:r>
        <w:t>亚洲金融危机后，国家设立华融、长城、东方、信达四大资产管理公司（AMC），对口接收四大国有银行的不良资产。这一阶段的特点是"政策性剥离"——政府主导、行政划拨、批量处置，AMC扮演的是"清道夫"角色，而非市场化投资者。</w:t>
      </w:r>
    </w:p>
    <w:p>
      <w:pPr>
        <w:pStyle w:val="BodyText"/>
      </w:pPr>
      <w:r>
        <w:rPr>
          <w:b/>
        </w:rPr>
        <w:t>第二阶段：市场主体转型阶段（2004-2012）</w:t>
      </w:r>
    </w:p>
    <w:p>
      <w:pPr>
        <w:pStyle w:val="BodyText"/>
      </w:pPr>
      <w:r>
        <w:t>四大AMC开始商业化转型，从单纯的"收包-处置"模式转向综合金融服务。与此同时，地方AMC陆续获批设立，不良资产市场从"国家队"垄断走向多元化竞争。这一阶段的核心特征是"商业化处置"——竞价收购、分类处置、资产打包转让成为主流。</w:t>
      </w:r>
    </w:p>
    <w:p>
      <w:pPr>
        <w:pStyle w:val="BodyText"/>
      </w:pPr>
      <w:r>
        <w:rPr>
          <w:b/>
        </w:rPr>
        <w:t>第三阶段：政策放开与多元化发展阶段（2013-2019）</w:t>
      </w:r>
    </w:p>
    <w:p>
      <w:pPr>
        <w:pStyle w:val="BodyText"/>
      </w:pPr>
      <w:r>
        <w:t>随着不良资产规模持续攀升，监管层逐步放开市场准入。民营资本、外资机构、私募基金纷纷进入不良资产领域。不良资产证券化和债转股等创新工具落地，行业从"债权转让"扩展到"股权重组"和"产业整合"。</w:t>
      </w:r>
    </w:p>
    <w:p>
      <w:pPr>
        <w:pStyle w:val="BodyText"/>
      </w:pPr>
      <w:r>
        <w:rPr>
          <w:b/>
        </w:rPr>
        <w:t>第四阶段：疫情后解构重构阶段（2020至今）</w:t>
      </w:r>
    </w:p>
    <w:p>
      <w:pPr>
        <w:pStyle w:val="BodyText"/>
      </w:pPr>
      <w:r>
        <w:t>疫情冲击叠加房地产深度调整，不良资产来源从传统的银行贷款扩展到信托、非标、P2P、消费金融等多元渠道。处置手段也从传统的司法诉讼、以物抵债，升级到债务重组、破产重整、资本赋能等投行化手段。</w:t>
      </w:r>
    </w:p>
    <w:p>
      <w:pPr>
        <w:pStyle w:val="BodyText"/>
      </w:pPr>
      <w:r>
        <w:rPr>
          <w:b/>
        </w:rPr>
        <w:t>核心认知</w:t>
      </w:r>
      <w:r>
        <w:t>：不良资产的本质不是"垃圾"，而是</w:t>
      </w:r>
      <w:r>
        <w:rPr>
          <w:b/>
        </w:rPr>
        <w:t>"被暂时低估或错配的资产"</w:t>
      </w:r>
      <w:r>
        <w:t>。正如书中所言："不良资产的核心是持有方的经济状况不良，而非资产本身无价值。"这一认知是进入不良资产行业的第一性原理。</w:t>
      </w:r>
    </w:p>
    <w:p>
      <w:pPr>
        <w:pStyle w:val="Heading3"/>
      </w:pPr>
      <w:r>
        <w:t>1.2 行业生态格局：五方博弈与价值链</w:t>
      </w:r>
    </w:p>
    <w:p>
      <w:pPr>
        <w:pStyle w:val="BodyText"/>
      </w:pPr>
      <w:r>
        <w:t>本书详细梳理了不良资产行业的生态格局，核心参与者包括：</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shd w:val="clear" w:color="auto" w:fill="F2F2F2"/>
            <w:vAlign w:val="center"/>
          </w:tcPr>
          <w:p>
            <w:pPr>
              <w:spacing w:before="0" w:after="0" w:line="240" w:lineRule="auto"/>
              <w:ind w:firstLine="0" w:left="0" w:right="0"/>
              <w:jc w:val="center"/>
            </w:pPr>
            <w:r>
              <w:rPr>
                <w:b/>
              </w:rPr>
            </w:r>
            <w:r>
              <w:rPr>
                <w:b/>
              </w:rPr>
              <w:t>角色</w:t>
            </w:r>
          </w:p>
        </w:tc>
        <w:tc>
          <w:tcPr>
            <w:tcW w:type="dxa" w:w="3009"/>
            <w:shd w:val="clear" w:color="auto" w:fill="F2F2F2"/>
            <w:vAlign w:val="center"/>
          </w:tcPr>
          <w:p>
            <w:pPr>
              <w:spacing w:before="0" w:after="0" w:line="240" w:lineRule="auto"/>
              <w:ind w:firstLine="0" w:left="0" w:right="0"/>
              <w:jc w:val="center"/>
            </w:pPr>
            <w:r>
              <w:rPr>
                <w:b/>
              </w:rPr>
            </w:r>
            <w:r>
              <w:rPr>
                <w:b/>
              </w:rPr>
              <w:t>功能定位</w:t>
            </w:r>
          </w:p>
        </w:tc>
        <w:tc>
          <w:tcPr>
            <w:tcW w:type="dxa" w:w="3009"/>
            <w:shd w:val="clear" w:color="auto" w:fill="F2F2F2"/>
            <w:vAlign w:val="center"/>
          </w:tcPr>
          <w:p>
            <w:pPr>
              <w:spacing w:before="0" w:after="0" w:line="240" w:lineRule="auto"/>
              <w:ind w:firstLine="0" w:left="0" w:right="0"/>
              <w:jc w:val="center"/>
            </w:pPr>
            <w:r>
              <w:rPr>
                <w:b/>
              </w:rPr>
            </w:r>
            <w:r>
              <w:rPr>
                <w:b/>
              </w:rPr>
              <w:t>核心诉求</w:t>
            </w:r>
          </w:p>
        </w:tc>
      </w:tr>
      <w:tr>
        <w:tc>
          <w:tcPr>
            <w:tcW w:type="dxa" w:w="3009"/>
            <w:vAlign w:val="center"/>
          </w:tcPr>
          <w:p>
            <w:pPr>
              <w:spacing w:before="0" w:after="0" w:line="240" w:lineRule="auto"/>
              <w:ind w:firstLine="0" w:left="0" w:right="0"/>
              <w:jc w:val="center"/>
            </w:pPr>
            <w:r/>
            <w:r>
              <w:rPr>
                <w:b/>
              </w:rPr>
              <w:t>供应方（银行/非银机构）</w:t>
            </w:r>
          </w:p>
        </w:tc>
        <w:tc>
          <w:tcPr>
            <w:tcW w:type="dxa" w:w="3009"/>
            <w:vAlign w:val="center"/>
          </w:tcPr>
          <w:p>
            <w:pPr>
              <w:spacing w:before="0" w:after="0" w:line="240" w:lineRule="auto"/>
              <w:ind w:firstLine="0" w:left="0" w:right="0"/>
              <w:jc w:val="center"/>
            </w:pPr>
            <w:r/>
            <w:r>
              <w:t>不良资产的产生者和初始出让方</w:t>
            </w:r>
          </w:p>
        </w:tc>
        <w:tc>
          <w:tcPr>
            <w:tcW w:type="dxa" w:w="3009"/>
            <w:vAlign w:val="center"/>
          </w:tcPr>
          <w:p>
            <w:pPr>
              <w:spacing w:before="0" w:after="0" w:line="240" w:lineRule="auto"/>
              <w:ind w:firstLine="0" w:left="0" w:right="0"/>
              <w:jc w:val="center"/>
            </w:pPr>
            <w:r/>
            <w:r>
              <w:t>快速出表、回收现金、满足监管指标</w:t>
            </w:r>
          </w:p>
        </w:tc>
      </w:tr>
      <w:tr>
        <w:tc>
          <w:tcPr>
            <w:tcW w:type="dxa" w:w="3009"/>
            <w:vAlign w:val="center"/>
          </w:tcPr>
          <w:p>
            <w:pPr>
              <w:spacing w:before="0" w:after="0" w:line="240" w:lineRule="auto"/>
              <w:ind w:firstLine="0" w:left="0" w:right="0"/>
              <w:jc w:val="center"/>
            </w:pPr>
            <w:r/>
            <w:r>
              <w:rPr>
                <w:b/>
              </w:rPr>
              <w:t>收购方（AMC/民营机构/基金）</w:t>
            </w:r>
          </w:p>
        </w:tc>
        <w:tc>
          <w:tcPr>
            <w:tcW w:type="dxa" w:w="3009"/>
            <w:vAlign w:val="center"/>
          </w:tcPr>
          <w:p>
            <w:pPr>
              <w:spacing w:before="0" w:after="0" w:line="240" w:lineRule="auto"/>
              <w:ind w:firstLine="0" w:left="0" w:right="0"/>
              <w:jc w:val="center"/>
            </w:pPr>
            <w:r/>
            <w:r>
              <w:t>不良资产的受让方和处置主体</w:t>
            </w:r>
          </w:p>
        </w:tc>
        <w:tc>
          <w:tcPr>
            <w:tcW w:type="dxa" w:w="3009"/>
            <w:vAlign w:val="center"/>
          </w:tcPr>
          <w:p>
            <w:pPr>
              <w:spacing w:before="0" w:after="0" w:line="240" w:lineRule="auto"/>
              <w:ind w:firstLine="0" w:left="0" w:right="0"/>
              <w:jc w:val="center"/>
            </w:pPr>
            <w:r/>
            <w:r>
              <w:t>以折扣价收购资产、通过处置获取超额收益</w:t>
            </w:r>
          </w:p>
        </w:tc>
      </w:tr>
      <w:tr>
        <w:tc>
          <w:tcPr>
            <w:tcW w:type="dxa" w:w="3009"/>
            <w:vAlign w:val="center"/>
          </w:tcPr>
          <w:p>
            <w:pPr>
              <w:spacing w:before="0" w:after="0" w:line="240" w:lineRule="auto"/>
              <w:ind w:firstLine="0" w:left="0" w:right="0"/>
              <w:jc w:val="center"/>
            </w:pPr>
            <w:r/>
            <w:r>
              <w:rPr>
                <w:b/>
              </w:rPr>
              <w:t>服务商（律所/评估/拍卖机构）</w:t>
            </w:r>
          </w:p>
        </w:tc>
        <w:tc>
          <w:tcPr>
            <w:tcW w:type="dxa" w:w="3009"/>
            <w:vAlign w:val="center"/>
          </w:tcPr>
          <w:p>
            <w:pPr>
              <w:spacing w:before="0" w:after="0" w:line="240" w:lineRule="auto"/>
              <w:ind w:firstLine="0" w:left="0" w:right="0"/>
              <w:jc w:val="center"/>
            </w:pPr>
            <w:r/>
            <w:r>
              <w:t>处置过程中的专业服务机构</w:t>
            </w:r>
          </w:p>
        </w:tc>
        <w:tc>
          <w:tcPr>
            <w:tcW w:type="dxa" w:w="3009"/>
            <w:vAlign w:val="center"/>
          </w:tcPr>
          <w:p>
            <w:pPr>
              <w:spacing w:before="0" w:after="0" w:line="240" w:lineRule="auto"/>
              <w:ind w:firstLine="0" w:left="0" w:right="0"/>
              <w:jc w:val="center"/>
            </w:pPr>
            <w:r/>
            <w:r>
              <w:t>收取服务费、促成交易</w:t>
            </w:r>
          </w:p>
        </w:tc>
      </w:tr>
      <w:tr>
        <w:tc>
          <w:tcPr>
            <w:tcW w:type="dxa" w:w="3009"/>
            <w:vAlign w:val="center"/>
          </w:tcPr>
          <w:p>
            <w:pPr>
              <w:spacing w:before="0" w:after="0" w:line="240" w:lineRule="auto"/>
              <w:ind w:firstLine="0" w:left="0" w:right="0"/>
              <w:jc w:val="center"/>
            </w:pPr>
            <w:r/>
            <w:r>
              <w:rPr>
                <w:b/>
              </w:rPr>
              <w:t>债务方（企业/个人）</w:t>
            </w:r>
          </w:p>
        </w:tc>
        <w:tc>
          <w:tcPr>
            <w:tcW w:type="dxa" w:w="3009"/>
            <w:vAlign w:val="center"/>
          </w:tcPr>
          <w:p>
            <w:pPr>
              <w:spacing w:before="0" w:after="0" w:line="240" w:lineRule="auto"/>
              <w:ind w:firstLine="0" w:left="0" w:right="0"/>
              <w:jc w:val="center"/>
            </w:pPr>
            <w:r/>
            <w:r>
              <w:t>不良资产的底层义务承担方</w:t>
            </w:r>
          </w:p>
        </w:tc>
        <w:tc>
          <w:tcPr>
            <w:tcW w:type="dxa" w:w="3009"/>
            <w:vAlign w:val="center"/>
          </w:tcPr>
          <w:p>
            <w:pPr>
              <w:spacing w:before="0" w:after="0" w:line="240" w:lineRule="auto"/>
              <w:ind w:firstLine="0" w:left="0" w:right="0"/>
              <w:jc w:val="center"/>
            </w:pPr>
            <w:r/>
            <w:r>
              <w:t>减轻债务压力、争取和解或重组空间</w:t>
            </w:r>
          </w:p>
        </w:tc>
      </w:tr>
      <w:tr>
        <w:tc>
          <w:tcPr>
            <w:tcW w:type="dxa" w:w="3009"/>
            <w:vAlign w:val="center"/>
          </w:tcPr>
          <w:p>
            <w:pPr>
              <w:spacing w:before="0" w:after="0" w:line="240" w:lineRule="auto"/>
              <w:ind w:firstLine="0" w:left="0" w:right="0"/>
              <w:jc w:val="center"/>
            </w:pPr>
            <w:r/>
            <w:r>
              <w:rPr>
                <w:b/>
              </w:rPr>
              <w:t>投资方（配资方/优先级LP）</w:t>
            </w:r>
          </w:p>
        </w:tc>
        <w:tc>
          <w:tcPr>
            <w:tcW w:type="dxa" w:w="3009"/>
            <w:vAlign w:val="center"/>
          </w:tcPr>
          <w:p>
            <w:pPr>
              <w:spacing w:before="0" w:after="0" w:line="240" w:lineRule="auto"/>
              <w:ind w:firstLine="0" w:left="0" w:right="0"/>
              <w:jc w:val="center"/>
            </w:pPr>
            <w:r/>
            <w:r>
              <w:t>为收购方提供资金杠杆</w:t>
            </w:r>
          </w:p>
        </w:tc>
        <w:tc>
          <w:tcPr>
            <w:tcW w:type="dxa" w:w="3009"/>
            <w:vAlign w:val="center"/>
          </w:tcPr>
          <w:p>
            <w:pPr>
              <w:spacing w:before="0" w:after="0" w:line="240" w:lineRule="auto"/>
              <w:ind w:firstLine="0" w:left="0" w:right="0"/>
              <w:jc w:val="center"/>
            </w:pPr>
            <w:r/>
            <w:r>
              <w:t>获取固定收益或超额分成</w:t>
            </w:r>
          </w:p>
        </w:tc>
      </w:tr>
    </w:tbl>
    <w:p>
      <w:pPr>
        <w:pStyle w:val="BodyText"/>
      </w:pPr>
      <w:r>
        <w:rPr>
          <w:b/>
        </w:rPr>
        <w:t>价值链逻辑</w:t>
      </w:r>
      <w:r>
        <w:t>：不良资产行业的本质是"信息不对称下的价值发现与风险定价"。供应方急于出表（信息劣势），收购方专业评估（信息优势），通过尽职调查弥合信息差，通过交易结构设计分配风险收益，最终实现"低价收购—价值修复—高价退出"的闭环。</w:t>
      </w:r>
    </w:p>
    <w:p>
      <w:pPr>
        <w:pStyle w:val="Heading3"/>
      </w:pPr>
      <w:r>
        <w:t>1.3 企业微观适配：你的客户可能就是"不良资产"</w:t>
      </w:r>
    </w:p>
    <w:p>
      <w:pPr>
        <w:pStyle w:val="BodyText"/>
      </w:pPr>
      <w:r>
        <w:t>对于从事商业风险处置的学习者而言，本书的行业全景认知具有重要启示：</w:t>
      </w:r>
    </w:p>
    <w:p>
      <w:pPr>
        <w:pStyle w:val="ListBullet"/>
      </w:pPr>
      <w:r>
        <w:rPr>
          <w:b/>
        </w:rPr>
        <w:t>企业客户可能正处于不良资产化的边缘</w:t>
      </w:r>
      <w:r>
        <w:t>。当企业出现应收款逾期、债务违约、现金流断裂时，其资产负债表正在"不良化"。风险处置顾问的任务不是等到企业破产才介入，而是在"不良化的早期"就启动干预。</w:t>
      </w:r>
    </w:p>
    <w:p>
      <w:pPr>
        <w:pStyle w:val="ListBullet"/>
      </w:pPr>
      <w:r>
        <w:rPr>
          <w:b/>
        </w:rPr>
        <w:t>风险处置顾问的角色定位</w:t>
      </w:r>
      <w:r>
        <w:t>。在不良资产行业的生态格局中，风险处置顾问类似于"服务商+收购方"的混合角色——既需要为困境企业提供专业的纾困方案（服务商属性），又需要在方案设计中确保债权人的利益最大化（收购方思维）。</w:t>
      </w:r>
    </w:p>
    <w:p>
      <w:pPr>
        <w:pStyle w:val="ListBullet"/>
      </w:pPr>
      <w:r>
        <w:rPr>
          <w:b/>
        </w:rPr>
        <w:t>信息差思维</w:t>
      </w:r>
      <w:r>
        <w:t>。正如不良资产投资者赚取的是"信息差"，风险处置顾问的核心价值也在于：比客户更早识别风险信号、比债权人更懂企业的真实经营状况、比律师更懂商业谈判的博弈结构。</w:t>
      </w:r>
    </w:p>
    <w:p>
      <w:pPr>
        <w:spacing w:before="80" w:after="80"/>
        <w:ind w:firstLine="0"/>
        <w:pBdr>
          <w:bottom w:val="single" w:sz="6" w:space="0" w:color="808080"/>
        </w:pBdr>
      </w:pPr>
    </w:p>
    <w:p>
      <w:pPr>
        <w:pStyle w:val="Heading2"/>
      </w:pPr>
      <w:r>
        <w:t>第二部分：尽职调查与估值——风险识别的"手术刀"</w:t>
      </w:r>
    </w:p>
    <w:p>
      <w:pPr>
        <w:pStyle w:val="Heading3"/>
      </w:pPr>
      <w:r>
        <w:t>2.1 尽职调查三维度：财务、法律、业务</w:t>
      </w:r>
    </w:p>
    <w:p>
      <w:pPr>
        <w:pStyle w:val="BodyText"/>
      </w:pPr>
      <w:r>
        <w:t>本书第二章以"流程篇"为核心，系统梳理了不良资产处置中尽职调查的完整方法论。尽调不是走过场，而是决定投资成败的"手术刀"——尽调不充分，后续处置成本可能远超预期。</w:t>
      </w:r>
    </w:p>
    <w:p>
      <w:pPr>
        <w:pStyle w:val="BodyText"/>
      </w:pPr>
      <w:r>
        <w:rPr>
          <w:b/>
        </w:rPr>
        <w:t>财务尽职调查</w:t>
      </w:r>
    </w:p>
    <w:p>
      <w:pPr>
        <w:pStyle w:val="BodyText"/>
      </w:pPr>
      <w:r>
        <w:t>财务尽调的核心目标是回答三个问题：资产到底值多少钱？能收回多少钱？回收周期有多长？</w:t>
      </w:r>
    </w:p>
    <w:p>
      <w:pPr>
        <w:pStyle w:val="ListBullet"/>
      </w:pPr>
      <w:r>
        <w:rPr>
          <w:b/>
        </w:rPr>
        <w:t>资产负债表审查</w:t>
      </w:r>
      <w:r>
        <w:t>：核查资产的真实性、完整性、权利负担（抵押、质押、查封、轮候查封）。重点关注：资产是否被重复抵押、是否存在隐性负债、是否有未披露的对外担保。</w:t>
      </w:r>
    </w:p>
    <w:p>
      <w:pPr>
        <w:pStyle w:val="ListBullet"/>
      </w:pPr>
      <w:r>
        <w:rPr>
          <w:b/>
        </w:rPr>
        <w:t>现金流分析</w:t>
      </w:r>
      <w:r>
        <w:t>：分析企业经营性现金流的来源和去向。如果企业的现金流主要来自"借新还旧"而非经营活动，则意味着其偿债能力存在根本性缺陷。</w:t>
      </w:r>
    </w:p>
    <w:p>
      <w:pPr>
        <w:pStyle w:val="ListBullet"/>
      </w:pPr>
      <w:r>
        <w:rPr>
          <w:b/>
        </w:rPr>
        <w:t>关联方往来核查</w:t>
      </w:r>
      <w:r>
        <w:t>：重点关注实控人及关联方的资金占用、关联交易定价是否公允。许多企业风险的根源在于"掏空式"关联交易。</w:t>
      </w:r>
    </w:p>
    <w:p>
      <w:pPr>
        <w:pStyle w:val="BodyText"/>
      </w:pPr>
      <w:r>
        <w:rPr>
          <w:b/>
        </w:rPr>
        <w:t>法律尽职调查</w:t>
      </w:r>
    </w:p>
    <w:p>
      <w:pPr>
        <w:pStyle w:val="BodyText"/>
      </w:pPr>
      <w:r>
        <w:t>法律尽调的核心目标是回答：权利是否清晰？诉讼风险多大？执行难度如何？</w:t>
      </w:r>
    </w:p>
    <w:p>
      <w:pPr>
        <w:pStyle w:val="ListBullet"/>
      </w:pPr>
      <w:r>
        <w:rPr>
          <w:b/>
        </w:rPr>
        <w:t>权属审查</w:t>
      </w:r>
      <w:r>
        <w:t>：核查资产的所有权凭证、登记状态、权利限制。对于不动产，需核查产权证、抵押登记、查封记录、租赁关系；对于股权，需核查工商登记、质押登记、代持协议。</w:t>
      </w:r>
    </w:p>
    <w:p>
      <w:pPr>
        <w:pStyle w:val="ListBullet"/>
      </w:pPr>
      <w:r>
        <w:rPr>
          <w:b/>
        </w:rPr>
        <w:t>诉讼与执行审查</w:t>
      </w:r>
      <w:r>
        <w:t>：核查企业涉诉情况、执行进度、失信被执行记录。重点评估：首封权归属、轮候查封顺序、执行标的的可变现性。</w:t>
      </w:r>
    </w:p>
    <w:p>
      <w:pPr>
        <w:pStyle w:val="ListBullet"/>
      </w:pPr>
      <w:r>
        <w:rPr>
          <w:b/>
        </w:rPr>
        <w:t>担保链审查</w:t>
      </w:r>
      <w:r>
        <w:t>：对于互保、联保企业，需绘制担保关系图，评估担保链断裂后的传导风险。</w:t>
      </w:r>
    </w:p>
    <w:p>
      <w:pPr>
        <w:pStyle w:val="BodyText"/>
      </w:pPr>
      <w:r>
        <w:rPr>
          <w:b/>
        </w:rPr>
        <w:t>业务尽职调查</w:t>
      </w:r>
    </w:p>
    <w:p>
      <w:pPr>
        <w:pStyle w:val="BodyText"/>
      </w:pPr>
      <w:r>
        <w:t>业务尽调的核心目标是回答：企业还有没有救？如果救，需要什么条件？</w:t>
      </w:r>
    </w:p>
    <w:p>
      <w:pPr>
        <w:pStyle w:val="ListBullet"/>
      </w:pPr>
      <w:r>
        <w:rPr>
          <w:b/>
        </w:rPr>
        <w:t>行业与市场分析</w:t>
      </w:r>
      <w:r>
        <w:t>：评估企业所在行业的景气度、竞争格局、政策环境。一个处于夕阳行业的企业，即使短期债务问题解决，长期经营仍然困难。</w:t>
      </w:r>
    </w:p>
    <w:p>
      <w:pPr>
        <w:pStyle w:val="ListBullet"/>
      </w:pPr>
      <w:r>
        <w:rPr>
          <w:b/>
        </w:rPr>
        <w:t>核心竞争力评估</w:t>
      </w:r>
      <w:r>
        <w:t>：分析企业的技术、品牌、渠道、客户关系等核心资产。如果核心竞争力尚存，则债务重组的价值更大；如果核心竞争力已经丧失，则清算可能是更优选择。</w:t>
      </w:r>
    </w:p>
    <w:p>
      <w:pPr>
        <w:pStyle w:val="ListBullet"/>
      </w:pPr>
      <w:r>
        <w:rPr>
          <w:b/>
        </w:rPr>
        <w:t>管理团队评估</w:t>
      </w:r>
      <w:r>
        <w:t>：评估实控人的诚信度、专业能力、合作意愿。债务重组的本质是"与人合作"，如果实控人不可信或不配合，重组方案很难落地。</w:t>
      </w:r>
    </w:p>
    <w:p>
      <w:pPr>
        <w:pStyle w:val="Heading3"/>
      </w:pPr>
      <w:r>
        <w:t>2.2 估值方法：从"静态定价"到"动态增值"</w:t>
      </w:r>
    </w:p>
    <w:p>
      <w:pPr>
        <w:pStyle w:val="BodyText"/>
      </w:pPr>
      <w:r>
        <w:t>本书详细梳理了不良资产的估值方法论，强调估值不是静态的价格判断，而是支撑处置路径选择的决策工具。</w:t>
      </w:r>
    </w:p>
    <w:p>
      <w:pPr>
        <w:pStyle w:val="BodyText"/>
      </w:pPr>
      <w:r>
        <w:rPr>
          <w:b/>
        </w:rPr>
        <w:t>基础估值方法：</w:t>
      </w:r>
    </w:p>
    <w:p>
      <w:pPr>
        <w:pStyle w:val="ListBullet"/>
      </w:pPr>
      <w:r>
        <w:rPr>
          <w:b/>
        </w:rPr>
        <w:t>市场法</w:t>
      </w:r>
      <w:r>
        <w:t>：参照同类资产的市场交易价格。适用于有活跃交易市场的资产（如房产、上市公司股权）。</w:t>
      </w:r>
    </w:p>
    <w:p>
      <w:pPr>
        <w:pStyle w:val="ListBullet"/>
      </w:pPr>
      <w:r>
        <w:rPr>
          <w:b/>
        </w:rPr>
        <w:t>收益法</w:t>
      </w:r>
      <w:r>
        <w:t>：基于资产未来现金流的折现值。适用于有稳定经营收益的资产（如商业地产、运营中的企业股权）。</w:t>
      </w:r>
    </w:p>
    <w:p>
      <w:pPr>
        <w:pStyle w:val="ListBullet"/>
      </w:pPr>
      <w:r>
        <w:rPr>
          <w:b/>
        </w:rPr>
        <w:t>成本法</w:t>
      </w:r>
      <w:r>
        <w:t>：基于资产的重置成本扣除折旧。适用于专用设备、在建工程等。</w:t>
      </w:r>
    </w:p>
    <w:p>
      <w:pPr>
        <w:pStyle w:val="BodyText"/>
      </w:pPr>
      <w:r>
        <w:rPr>
          <w:b/>
        </w:rPr>
        <w:t>不良资产专用估值方法：</w:t>
      </w:r>
    </w:p>
    <w:p>
      <w:pPr>
        <w:pStyle w:val="ListBullet"/>
      </w:pPr>
      <w:r>
        <w:rPr>
          <w:b/>
        </w:rPr>
        <w:t>假设清算法</w:t>
      </w:r>
      <w:r>
        <w:t>：假设债务人立即清算，测算债权人在清算程序中可获得的清偿金额。核心公式：可回收金额 = 资产变现价值 - 清算费用 - 优先债权（职工工资、税款）- 共益债务。</w:t>
      </w:r>
    </w:p>
    <w:p>
      <w:pPr>
        <w:pStyle w:val="ListBullet"/>
      </w:pPr>
      <w:r>
        <w:rPr>
          <w:b/>
        </w:rPr>
        <w:t>现金流偿债法</w:t>
      </w:r>
      <w:r>
        <w:t>：基于债务人未来的经营性现金流，测算其在一定期限内可偿还的债务金额。适用于有持续经营能力但短期流动性困难的企业。</w:t>
      </w:r>
    </w:p>
    <w:p>
      <w:pPr>
        <w:pStyle w:val="ListBullet"/>
      </w:pPr>
      <w:r>
        <w:rPr>
          <w:b/>
        </w:rPr>
        <w:t>交易案例比较法</w:t>
      </w:r>
      <w:r>
        <w:t>：参照同类不良资产包的历史交易价格，结合当前市场环境和资产状况进行调整。</w:t>
      </w:r>
    </w:p>
    <w:p>
      <w:pPr>
        <w:pStyle w:val="ListBullet"/>
      </w:pPr>
      <w:r>
        <w:rPr>
          <w:b/>
        </w:rPr>
        <w:t>专家打分法</w:t>
      </w:r>
      <w:r>
        <w:t>：对于信息不完整或资产状况复杂的项目，组织行业专家对资产价值进行多维度打分评估。</w:t>
      </w:r>
    </w:p>
    <w:p>
      <w:pPr>
        <w:pStyle w:val="BodyText"/>
      </w:pPr>
      <w:r>
        <w:rPr>
          <w:b/>
        </w:rPr>
        <w:t>企业风险处置的估值适配：</w:t>
      </w:r>
    </w:p>
    <w:p>
      <w:pPr>
        <w:pStyle w:val="BodyText"/>
      </w:pPr>
      <w:r>
        <w:t>对于风险处置顾问而言，估值能力不是要学会精确计算资产价值，而是要建立"区间判断"思维：</w:t>
      </w:r>
    </w:p>
    <w:p>
      <w:pPr>
        <w:pStyle w:val="ListBullet"/>
      </w:pPr>
      <w:r>
        <w:rPr>
          <w:b/>
        </w:rPr>
        <w:t>清算价值（底线）</w:t>
      </w:r>
      <w:r>
        <w:t>：如果今天启动清算，债权人能收回多少钱？这是谈判的"底价"。</w:t>
      </w:r>
    </w:p>
    <w:p>
      <w:pPr>
        <w:pStyle w:val="ListBullet"/>
      </w:pPr>
      <w:r>
        <w:rPr>
          <w:b/>
        </w:rPr>
        <w:t>持续经营价值（中值）</w:t>
      </w:r>
      <w:r>
        <w:t>：如果企业进行债务重组并恢复经营，资产未来能创造多少价值？这是谈判的"基准价"。</w:t>
      </w:r>
    </w:p>
    <w:p>
      <w:pPr>
        <w:pStyle w:val="ListBullet"/>
      </w:pPr>
      <w:r>
        <w:rPr>
          <w:b/>
        </w:rPr>
        <w:t>重整价值（上限）</w:t>
      </w:r>
      <w:r>
        <w:t>：如果引入战略投资者、注入新资金、优化业务结构，资产的最大增值空间是多少？这是谈判的"天花板"。</w:t>
      </w:r>
    </w:p>
    <w:p>
      <w:pPr>
        <w:pStyle w:val="BodyText"/>
      </w:pPr>
      <w:r>
        <w:t>在风险处置谈判中，这三层估值区间构成了方案设计的核心依据。</w:t>
      </w:r>
    </w:p>
    <w:p>
      <w:pPr>
        <w:spacing w:before="80" w:after="80"/>
        <w:ind w:firstLine="0"/>
        <w:pBdr>
          <w:bottom w:val="single" w:sz="6" w:space="0" w:color="808080"/>
        </w:pBdr>
      </w:pPr>
    </w:p>
    <w:p>
      <w:pPr>
        <w:pStyle w:val="Heading2"/>
      </w:pPr>
      <w:r>
        <w:t>第三部分：不良资产化解的实操路径</w:t>
      </w:r>
    </w:p>
    <w:p>
      <w:pPr>
        <w:pStyle w:val="Heading3"/>
      </w:pPr>
      <w:r>
        <w:t>3.1 收购转让业务：最经典的不良资产处置模式</w:t>
      </w:r>
    </w:p>
    <w:p>
      <w:pPr>
        <w:pStyle w:val="BodyText"/>
      </w:pPr>
      <w:r>
        <w:t>本书第三章和第四章分别从个贷和对公两个维度，解析了不良资产的核心业务类型。其中，</w:t>
      </w:r>
      <w:r>
        <w:rPr>
          <w:b/>
        </w:rPr>
        <w:t>收购转让</w:t>
      </w:r>
      <w:r>
        <w:t>是最基础也是最经典的业务模式。</w:t>
      </w:r>
    </w:p>
    <w:p>
      <w:pPr>
        <w:pStyle w:val="BodyText"/>
      </w:pPr>
      <w:r>
        <w:rPr>
          <w:b/>
        </w:rPr>
        <w:t>业务流程六步法：</w:t>
      </w:r>
    </w:p>
    <w:p>
      <w:pPr>
        <w:pStyle w:val="ListNumber"/>
        <w:numPr>
          <w:ilvl w:val="0"/>
          <w:numId w:val="10"/>
        </w:numPr>
      </w:pPr>
      <w:r>
        <w:rPr>
          <w:b/>
        </w:rPr>
        <w:t>信息获取与筛选</w:t>
      </w:r>
      <w:r>
        <w:t>：通过银行保全部、AMC、交易平台、拍卖机构等渠道获取资产包信息，结合自身能力圈进行初步筛选。</w:t>
      </w:r>
    </w:p>
    <w:p>
      <w:pPr>
        <w:pStyle w:val="ListNumber"/>
        <w:numPr>
          <w:ilvl w:val="0"/>
          <w:numId w:val="10"/>
        </w:numPr>
      </w:pPr>
      <w:r>
        <w:rPr>
          <w:b/>
        </w:rPr>
        <w:t>尽职调查</w:t>
      </w:r>
      <w:r>
        <w:t>：按财务、法律、业务三维度开展尽调，形成资产估值报告。</w:t>
      </w:r>
    </w:p>
    <w:p>
      <w:pPr>
        <w:pStyle w:val="ListNumber"/>
        <w:numPr>
          <w:ilvl w:val="0"/>
          <w:numId w:val="10"/>
        </w:numPr>
      </w:pPr>
      <w:r>
        <w:rPr>
          <w:b/>
        </w:rPr>
        <w:t>竞价收购</w:t>
      </w:r>
      <w:r>
        <w:t>：参与银行或AMC组织的资产包竞价，以低于估值的价格收购。</w:t>
      </w:r>
    </w:p>
    <w:p>
      <w:pPr>
        <w:pStyle w:val="ListNumber"/>
        <w:numPr>
          <w:ilvl w:val="0"/>
          <w:numId w:val="10"/>
        </w:numPr>
      </w:pPr>
      <w:r>
        <w:rPr>
          <w:b/>
        </w:rPr>
        <w:t>资产分类</w:t>
      </w:r>
      <w:r>
        <w:t>：将收购的资产包按处置难度和回收预期进行分类（A类：快速回收；B类：需重组处置；C类：长期持有或核销）。</w:t>
      </w:r>
    </w:p>
    <w:p>
      <w:pPr>
        <w:pStyle w:val="ListNumber"/>
        <w:numPr>
          <w:ilvl w:val="0"/>
          <w:numId w:val="10"/>
        </w:numPr>
      </w:pPr>
      <w:r>
        <w:rPr>
          <w:b/>
        </w:rPr>
        <w:t>分类处置</w:t>
      </w:r>
      <w:r>
        <w:t>：对A类资产快速催收或转让；对B类资产启动债务重组或诉讼执行；对C类资产长期持有等待市场回暖。</w:t>
      </w:r>
    </w:p>
    <w:p>
      <w:pPr>
        <w:pStyle w:val="ListNumber"/>
        <w:numPr>
          <w:ilvl w:val="0"/>
          <w:numId w:val="10"/>
        </w:numPr>
      </w:pPr>
      <w:r>
        <w:rPr>
          <w:b/>
        </w:rPr>
        <w:t>退出变现</w:t>
      </w:r>
      <w:r>
        <w:t>：通过现金回收、资产转让、以物抵债、债转股等方式实现退出。</w:t>
      </w:r>
    </w:p>
    <w:p>
      <w:pPr>
        <w:pStyle w:val="BodyText"/>
      </w:pPr>
      <w:r>
        <w:rPr>
          <w:b/>
        </w:rPr>
        <w:t>成本测算模型：</w:t>
      </w:r>
    </w:p>
    <w:p>
      <w:pPr>
        <w:pStyle w:val="BodyText"/>
      </w:pPr>
      <w:r>
        <w:t>书中隐含的成本测算逻辑可以提炼为以下公式：</w:t>
      </w:r>
    </w:p>
    <w:p>
      <w:pPr>
        <w:pStyle w:val="Code"/>
      </w:pPr>
      <w:r>
        <w:t>处置收益率 = (回收金额 - 收购成本 - 处置费用 - 资金成本) / 收购成本</w:t>
        <w:br/>
        <w:br/>
        <w:t>其中：</w:t>
        <w:br/>
        <w:t>- 收购成本 = 资产账面价值 × 折扣率（通常0.5-3折）</w:t>
        <w:br/>
        <w:t>- 处置费用 = 尽调费 + 诉讼费 + 评估费 + 拍卖费 + 律师费 + 执行费</w:t>
        <w:br/>
        <w:t>- 资金成本 = 收购资金 × 资金利率 × 持有周期</w:t>
      </w:r>
    </w:p>
    <w:p>
      <w:pPr>
        <w:pStyle w:val="BodyText"/>
      </w:pPr>
      <w:r>
        <w:rPr>
          <w:b/>
        </w:rPr>
        <w:t>企业适配</w:t>
      </w:r>
      <w:r>
        <w:t>：对于风险处置顾问而言，"收购转让"的逻辑可以转化为"债权收购-重组处置-退出"的咨询方案设计。</w:t>
      </w:r>
    </w:p>
    <w:p>
      <w:pPr>
        <w:pStyle w:val="Heading3"/>
      </w:pPr>
      <w:r>
        <w:t>3.2 不良资产证券化：化整为零的创新工具</w:t>
      </w:r>
    </w:p>
    <w:p>
      <w:pPr>
        <w:pStyle w:val="BodyText"/>
      </w:pPr>
      <w:r>
        <w:t>不良资产证券化（NPL ABS）是将不良资产打包成资产支持证券，出售给投资者的创新工具。本书指出，这一工具的核心价值在于：</w:t>
      </w:r>
    </w:p>
    <w:p>
      <w:pPr>
        <w:pStyle w:val="ListBullet"/>
      </w:pPr>
      <w:r>
        <w:rPr>
          <w:b/>
        </w:rPr>
        <w:t>快速出表</w:t>
      </w:r>
      <w:r>
        <w:t>：银行通过资产证券化将不良资产从表内转移至表外，改善监管指标。</w:t>
      </w:r>
    </w:p>
    <w:p>
      <w:pPr>
        <w:pStyle w:val="ListBullet"/>
      </w:pPr>
      <w:r>
        <w:rPr>
          <w:b/>
        </w:rPr>
        <w:t>风险分散</w:t>
      </w:r>
      <w:r>
        <w:t>：将大额不良债权拆分为小额证券份额，分散给多个投资者承担。</w:t>
      </w:r>
    </w:p>
    <w:p>
      <w:pPr>
        <w:pStyle w:val="ListBullet"/>
      </w:pPr>
      <w:r>
        <w:rPr>
          <w:b/>
        </w:rPr>
        <w:t>定价发现</w:t>
      </w:r>
      <w:r>
        <w:t>：通过公开市场竞价，为不良资产提供市场化的定价参考。</w:t>
      </w:r>
    </w:p>
    <w:p>
      <w:pPr>
        <w:pStyle w:val="BodyText"/>
      </w:pPr>
      <w:r>
        <w:rPr>
          <w:b/>
        </w:rPr>
        <w:t>交易结构要点：</w:t>
      </w:r>
    </w:p>
    <w:p>
      <w:pPr>
        <w:pStyle w:val="BodyText"/>
      </w:pPr>
      <w:r>
        <w:t>典型的不良资产证券化交易结构包括：</w:t>
      </w:r>
    </w:p>
    <w:p>
      <w:pPr>
        <w:pStyle w:val="ListNumber"/>
        <w:numPr>
          <w:ilvl w:val="0"/>
          <w:numId w:val="11"/>
        </w:numPr>
      </w:pPr>
      <w:r>
        <w:rPr>
          <w:b/>
        </w:rPr>
        <w:t>发起机构（银行）</w:t>
      </w:r>
      <w:r>
        <w:t>：将不良资产打包出售给特殊目的载体（SPV）。</w:t>
      </w:r>
    </w:p>
    <w:p>
      <w:pPr>
        <w:pStyle w:val="ListNumber"/>
        <w:numPr>
          <w:ilvl w:val="0"/>
          <w:numId w:val="11"/>
        </w:numPr>
      </w:pPr>
      <w:r>
        <w:rPr>
          <w:b/>
        </w:rPr>
        <w:t>特殊目的载体（SPV）</w:t>
      </w:r>
      <w:r>
        <w:t>：以收购的不良资产为底层资产，发行资产支持证券。</w:t>
      </w:r>
    </w:p>
    <w:p>
      <w:pPr>
        <w:pStyle w:val="ListNumber"/>
        <w:numPr>
          <w:ilvl w:val="0"/>
          <w:numId w:val="11"/>
        </w:numPr>
      </w:pPr>
      <w:r>
        <w:rPr>
          <w:b/>
        </w:rPr>
        <w:t>分层设计</w:t>
      </w:r>
      <w:r>
        <w:t>：证券分为优先级（AAA评级，固定收益）和次级（无评级，超额收益）。</w:t>
      </w:r>
    </w:p>
    <w:p>
      <w:pPr>
        <w:pStyle w:val="ListNumber"/>
        <w:numPr>
          <w:ilvl w:val="0"/>
          <w:numId w:val="11"/>
        </w:numPr>
      </w:pPr>
      <w:r>
        <w:rPr>
          <w:b/>
        </w:rPr>
        <w:t>服务机构</w:t>
      </w:r>
      <w:r>
        <w:t>：负责底层资产的日常管理和处置回收。</w:t>
      </w:r>
    </w:p>
    <w:p>
      <w:pPr>
        <w:pStyle w:val="ListNumber"/>
        <w:numPr>
          <w:ilvl w:val="0"/>
          <w:numId w:val="11"/>
        </w:numPr>
      </w:pPr>
      <w:r>
        <w:rPr>
          <w:b/>
        </w:rPr>
        <w:t>投资者</w:t>
      </w:r>
      <w:r>
        <w:t>：购买优先级或次级份额，承担对应风险并获取收益。</w:t>
      </w:r>
    </w:p>
    <w:p>
      <w:pPr>
        <w:pStyle w:val="BodyText"/>
      </w:pPr>
      <w:r>
        <w:rPr>
          <w:b/>
        </w:rPr>
        <w:t>企业适配</w:t>
      </w:r>
      <w:r>
        <w:t>：虽然企业层面通常不会直接操作不良资产证券化，但其"分层设计"和"风险收益匹配"的逻辑可以应用于企业内部的债务重组方案——将企业的多笔债务按优先级分层，与不同债权人协商不同的清偿方案和利率水平。</w:t>
      </w:r>
    </w:p>
    <w:p>
      <w:pPr>
        <w:pStyle w:val="Heading3"/>
      </w:pPr>
      <w:r>
        <w:t>3.3 债务重组业务：困境企业的"续命术"</w:t>
      </w:r>
    </w:p>
    <w:p>
      <w:pPr>
        <w:pStyle w:val="BodyText"/>
      </w:pPr>
      <w:r>
        <w:t>债务重组是本书重点解析的业务类型，也是风险处置顾问最核心的技能领域。</w:t>
      </w:r>
    </w:p>
    <w:p>
      <w:pPr>
        <w:pStyle w:val="BodyText"/>
      </w:pPr>
      <w:r>
        <w:rPr>
          <w:b/>
        </w:rPr>
        <w:t>债务重组的五种经典模式：</w:t>
      </w:r>
    </w:p>
    <w:p>
      <w:pPr>
        <w:pStyle w:val="ListNumber"/>
        <w:numPr>
          <w:ilvl w:val="0"/>
          <w:numId w:val="12"/>
        </w:numPr>
      </w:pPr>
      <w:r>
        <w:rPr>
          <w:b/>
        </w:rPr>
        <w:t>展期</w:t>
      </w:r>
      <w:r>
        <w:t>：延长债务到期期限，降低企业短期偿债压力。适用于企业基本面尚可、只是短期流动性紧张的情况。</w:t>
      </w:r>
    </w:p>
    <w:p>
      <w:pPr>
        <w:pStyle w:val="ListNumber"/>
        <w:numPr>
          <w:ilvl w:val="0"/>
          <w:numId w:val="12"/>
        </w:numPr>
      </w:pPr>
      <w:r>
        <w:rPr>
          <w:b/>
        </w:rPr>
        <w:t>降息</w:t>
      </w:r>
      <w:r>
        <w:t>：降低债务利率，减轻企业财务负担。通常与展期配合使用。</w:t>
      </w:r>
    </w:p>
    <w:p>
      <w:pPr>
        <w:pStyle w:val="ListNumber"/>
        <w:numPr>
          <w:ilvl w:val="0"/>
          <w:numId w:val="12"/>
        </w:numPr>
      </w:pPr>
      <w:r>
        <w:rPr>
          <w:b/>
        </w:rPr>
        <w:t>债转股</w:t>
      </w:r>
      <w:r>
        <w:t>：将债权转换为股权，债权人成为企业股东。适用于企业有长期经营价值但短期无力偿债的情况。</w:t>
      </w:r>
    </w:p>
    <w:p>
      <w:pPr>
        <w:pStyle w:val="ListNumber"/>
        <w:numPr>
          <w:ilvl w:val="0"/>
          <w:numId w:val="12"/>
        </w:numPr>
      </w:pPr>
      <w:r>
        <w:rPr>
          <w:b/>
        </w:rPr>
        <w:t>债务豁免</w:t>
      </w:r>
      <w:r>
        <w:t>：债权人部分或全部豁免债务。通常作为企业破产重整方案的一部分，以换取企业其他债权人的配合。</w:t>
      </w:r>
    </w:p>
    <w:p>
      <w:pPr>
        <w:pStyle w:val="ListNumber"/>
        <w:numPr>
          <w:ilvl w:val="0"/>
          <w:numId w:val="12"/>
        </w:numPr>
      </w:pPr>
      <w:r>
        <w:rPr>
          <w:b/>
        </w:rPr>
        <w:t>以物抵债</w:t>
      </w:r>
      <w:r>
        <w:t>：债务人以实物资产（房产、设备、股权等）抵偿债务。适用于债务人持有可变现资产但缺乏现金的情况。</w:t>
      </w:r>
    </w:p>
    <w:p>
      <w:pPr>
        <w:pStyle w:val="BodyText"/>
      </w:pPr>
      <w:r>
        <w:rPr>
          <w:b/>
        </w:rPr>
        <w:t>债务重组的关键条件（书中提炼）：</w:t>
      </w:r>
    </w:p>
    <w:p>
      <w:pPr>
        <w:pStyle w:val="BodyText"/>
      </w:pPr>
      <w:r>
        <w:t>书中虽未明确列出，但从案例和流程描述中可以提炼出债务重组成功的关键条件：</w:t>
      </w:r>
    </w:p>
    <w:p>
      <w:pPr>
        <w:pStyle w:val="ListBullet"/>
      </w:pPr>
      <w:r>
        <w:rPr>
          <w:b/>
        </w:rPr>
        <w:t>企业具有挽救价值</w:t>
      </w:r>
      <w:r>
        <w:t>：有核心资产、有持续经营能力、有市场前景。</w:t>
      </w:r>
    </w:p>
    <w:p>
      <w:pPr>
        <w:pStyle w:val="ListBullet"/>
      </w:pPr>
      <w:r>
        <w:rPr>
          <w:b/>
        </w:rPr>
        <w:t>债权人达成一致</w:t>
      </w:r>
      <w:r>
        <w:t>：各债权人就重组方案达成合意，特别是有担保的债权人和大额债权人。</w:t>
      </w:r>
    </w:p>
    <w:p>
      <w:pPr>
        <w:pStyle w:val="ListBullet"/>
      </w:pPr>
      <w:r>
        <w:rPr>
          <w:b/>
        </w:rPr>
        <w:t>重组方案可执行</w:t>
      </w:r>
      <w:r>
        <w:t>：重组后的企业现金流能够覆盖运营成本和新债务的偿还。</w:t>
      </w:r>
    </w:p>
    <w:p>
      <w:pPr>
        <w:pStyle w:val="ListBullet"/>
      </w:pPr>
      <w:r>
        <w:rPr>
          <w:b/>
        </w:rPr>
        <w:t>实控人配合</w:t>
      </w:r>
      <w:r>
        <w:t>：企业实际控制人具有重组意愿，并愿意承担相应的责任和义务。</w:t>
      </w:r>
    </w:p>
    <w:p>
      <w:pPr>
        <w:pStyle w:val="ListBullet"/>
      </w:pPr>
      <w:r>
        <w:rPr>
          <w:b/>
        </w:rPr>
        <w:t>外部资源注入</w:t>
      </w:r>
      <w:r>
        <w:t>：有新的资金、新的管理团队或新的业务资源注入企业。</w:t>
      </w:r>
    </w:p>
    <w:p>
      <w:pPr>
        <w:pStyle w:val="BodyText"/>
      </w:pPr>
      <w:r>
        <w:rPr>
          <w:b/>
        </w:rPr>
        <w:t>交易结构设计要点：</w:t>
      </w:r>
    </w:p>
    <w:p>
      <w:pPr>
        <w:pStyle w:val="BodyText"/>
      </w:pPr>
      <w:r>
        <w:t>本书通过多个案例展示了债务重组交易结构的设计逻辑。一个完整的债务重组交易结构通常包括：</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shd w:val="clear" w:color="auto" w:fill="F2F2F2"/>
            <w:vAlign w:val="center"/>
          </w:tcPr>
          <w:p>
            <w:pPr>
              <w:spacing w:before="0" w:after="0" w:line="240" w:lineRule="auto"/>
              <w:ind w:firstLine="0" w:left="0" w:right="0"/>
              <w:jc w:val="center"/>
            </w:pPr>
            <w:r>
              <w:rPr>
                <w:b/>
              </w:rPr>
            </w:r>
            <w:r>
              <w:rPr>
                <w:b/>
              </w:rPr>
              <w:t>要素</w:t>
            </w:r>
          </w:p>
        </w:tc>
        <w:tc>
          <w:tcPr>
            <w:tcW w:type="dxa" w:w="4513"/>
            <w:shd w:val="clear" w:color="auto" w:fill="F2F2F2"/>
            <w:vAlign w:val="center"/>
          </w:tcPr>
          <w:p>
            <w:pPr>
              <w:spacing w:before="0" w:after="0" w:line="240" w:lineRule="auto"/>
              <w:ind w:firstLine="0" w:left="0" w:right="0"/>
              <w:jc w:val="center"/>
            </w:pPr>
            <w:r>
              <w:rPr>
                <w:b/>
              </w:rPr>
            </w:r>
            <w:r>
              <w:rPr>
                <w:b/>
              </w:rPr>
              <w:t>设计要点</w:t>
            </w:r>
          </w:p>
        </w:tc>
      </w:tr>
      <w:tr>
        <w:tc>
          <w:tcPr>
            <w:tcW w:type="dxa" w:w="4513"/>
            <w:vAlign w:val="center"/>
          </w:tcPr>
          <w:p>
            <w:pPr>
              <w:spacing w:before="0" w:after="0" w:line="240" w:lineRule="auto"/>
              <w:ind w:firstLine="0" w:left="0" w:right="0"/>
              <w:jc w:val="center"/>
            </w:pPr>
            <w:r/>
            <w:r>
              <w:rPr>
                <w:b/>
              </w:rPr>
              <w:t>清偿顺序</w:t>
            </w:r>
          </w:p>
        </w:tc>
        <w:tc>
          <w:tcPr>
            <w:tcW w:type="dxa" w:w="4513"/>
            <w:vAlign w:val="center"/>
          </w:tcPr>
          <w:p>
            <w:pPr>
              <w:spacing w:before="0" w:after="0" w:line="240" w:lineRule="auto"/>
              <w:ind w:firstLine="0" w:left="0" w:right="0"/>
              <w:jc w:val="center"/>
            </w:pPr>
            <w:r/>
            <w:r>
              <w:t>有担保债权优先于无担保债权；职工工资和税款优先于普通债权</w:t>
            </w:r>
          </w:p>
        </w:tc>
      </w:tr>
      <w:tr>
        <w:tc>
          <w:tcPr>
            <w:tcW w:type="dxa" w:w="4513"/>
            <w:vAlign w:val="center"/>
          </w:tcPr>
          <w:p>
            <w:pPr>
              <w:spacing w:before="0" w:after="0" w:line="240" w:lineRule="auto"/>
              <w:ind w:firstLine="0" w:left="0" w:right="0"/>
              <w:jc w:val="center"/>
            </w:pPr>
            <w:r/>
            <w:r>
              <w:rPr>
                <w:b/>
              </w:rPr>
              <w:t>清偿比例</w:t>
            </w:r>
          </w:p>
        </w:tc>
        <w:tc>
          <w:tcPr>
            <w:tcW w:type="dxa" w:w="4513"/>
            <w:vAlign w:val="center"/>
          </w:tcPr>
          <w:p>
            <w:pPr>
              <w:spacing w:before="0" w:after="0" w:line="240" w:lineRule="auto"/>
              <w:ind w:firstLine="0" w:left="0" w:right="0"/>
              <w:jc w:val="center"/>
            </w:pPr>
            <w:r/>
            <w:r>
              <w:t>大额债权人的清偿比例通常高于小额债权人（换取其配合重组）</w:t>
            </w:r>
          </w:p>
        </w:tc>
      </w:tr>
      <w:tr>
        <w:tc>
          <w:tcPr>
            <w:tcW w:type="dxa" w:w="4513"/>
            <w:vAlign w:val="center"/>
          </w:tcPr>
          <w:p>
            <w:pPr>
              <w:spacing w:before="0" w:after="0" w:line="240" w:lineRule="auto"/>
              <w:ind w:firstLine="0" w:left="0" w:right="0"/>
              <w:jc w:val="center"/>
            </w:pPr>
            <w:r/>
            <w:r>
              <w:rPr>
                <w:b/>
              </w:rPr>
              <w:t>清偿方式</w:t>
            </w:r>
          </w:p>
        </w:tc>
        <w:tc>
          <w:tcPr>
            <w:tcW w:type="dxa" w:w="4513"/>
            <w:vAlign w:val="center"/>
          </w:tcPr>
          <w:p>
            <w:pPr>
              <w:spacing w:before="0" w:after="0" w:line="240" w:lineRule="auto"/>
              <w:ind w:firstLine="0" w:left="0" w:right="0"/>
              <w:jc w:val="center"/>
            </w:pPr>
            <w:r/>
            <w:r>
              <w:t>现金清偿 + 实物清偿 + 股权清偿的组合方案</w:t>
            </w:r>
          </w:p>
        </w:tc>
      </w:tr>
      <w:tr>
        <w:tc>
          <w:tcPr>
            <w:tcW w:type="dxa" w:w="4513"/>
            <w:vAlign w:val="center"/>
          </w:tcPr>
          <w:p>
            <w:pPr>
              <w:spacing w:before="0" w:after="0" w:line="240" w:lineRule="auto"/>
              <w:ind w:firstLine="0" w:left="0" w:right="0"/>
              <w:jc w:val="center"/>
            </w:pPr>
            <w:r/>
            <w:r>
              <w:rPr>
                <w:b/>
              </w:rPr>
              <w:t>清偿期限</w:t>
            </w:r>
          </w:p>
        </w:tc>
        <w:tc>
          <w:tcPr>
            <w:tcW w:type="dxa" w:w="4513"/>
            <w:vAlign w:val="center"/>
          </w:tcPr>
          <w:p>
            <w:pPr>
              <w:spacing w:before="0" w:after="0" w:line="240" w:lineRule="auto"/>
              <w:ind w:firstLine="0" w:left="0" w:right="0"/>
              <w:jc w:val="center"/>
            </w:pPr>
            <w:r/>
            <w:r>
              <w:t>短期（6个月内）清偿优先债权；中期（1-3年）清偿普通债权；长期（3-5年）清偿劣后债权</w:t>
            </w:r>
          </w:p>
        </w:tc>
      </w:tr>
      <w:tr>
        <w:tc>
          <w:tcPr>
            <w:tcW w:type="dxa" w:w="4513"/>
            <w:vAlign w:val="center"/>
          </w:tcPr>
          <w:p>
            <w:pPr>
              <w:spacing w:before="0" w:after="0" w:line="240" w:lineRule="auto"/>
              <w:ind w:firstLine="0" w:left="0" w:right="0"/>
              <w:jc w:val="center"/>
            </w:pPr>
            <w:r/>
            <w:r>
              <w:rPr>
                <w:b/>
              </w:rPr>
              <w:t>担保安排</w:t>
            </w:r>
          </w:p>
        </w:tc>
        <w:tc>
          <w:tcPr>
            <w:tcW w:type="dxa" w:w="4513"/>
            <w:vAlign w:val="center"/>
          </w:tcPr>
          <w:p>
            <w:pPr>
              <w:spacing w:before="0" w:after="0" w:line="240" w:lineRule="auto"/>
              <w:ind w:firstLine="0" w:left="0" w:right="0"/>
              <w:jc w:val="center"/>
            </w:pPr>
            <w:r/>
            <w:r>
              <w:t>新注入资金通常要求新的担保措施；原有担保是否解除需单独协商</w:t>
            </w:r>
          </w:p>
        </w:tc>
      </w:tr>
      <w:tr>
        <w:tc>
          <w:tcPr>
            <w:tcW w:type="dxa" w:w="4513"/>
            <w:vAlign w:val="center"/>
          </w:tcPr>
          <w:p>
            <w:pPr>
              <w:spacing w:before="0" w:after="0" w:line="240" w:lineRule="auto"/>
              <w:ind w:firstLine="0" w:left="0" w:right="0"/>
              <w:jc w:val="center"/>
            </w:pPr>
            <w:r/>
            <w:r>
              <w:rPr>
                <w:b/>
              </w:rPr>
              <w:t>对赌条款</w:t>
            </w:r>
          </w:p>
        </w:tc>
        <w:tc>
          <w:tcPr>
            <w:tcW w:type="dxa" w:w="4513"/>
            <w:vAlign w:val="center"/>
          </w:tcPr>
          <w:p>
            <w:pPr>
              <w:spacing w:before="0" w:after="0" w:line="240" w:lineRule="auto"/>
              <w:ind w:firstLine="0" w:left="0" w:right="0"/>
              <w:jc w:val="center"/>
            </w:pPr>
            <w:r/>
            <w:r>
              <w:t>重组后的企业若达成约定业绩，债权人可进一步减免债务</w:t>
            </w:r>
          </w:p>
        </w:tc>
      </w:tr>
    </w:tbl>
    <w:p>
      <w:pPr>
        <w:pStyle w:val="Heading3"/>
      </w:pPr>
      <w:r>
        <w:t>3.4 破产重整业务：最后的风险化解出口</w:t>
      </w:r>
    </w:p>
    <w:p>
      <w:pPr>
        <w:pStyle w:val="BodyText"/>
      </w:pPr>
      <w:r>
        <w:t>当债务重组无法达成一致、企业已经资不抵债时，破产重整成为最后的法定化解出口。本书指出，破产重整不是"破产清算"的同义词，而是"在司法程序保护下的债务重组"。</w:t>
      </w:r>
    </w:p>
    <w:p>
      <w:pPr>
        <w:pStyle w:val="BodyText"/>
      </w:pPr>
      <w:r>
        <w:rPr>
          <w:b/>
        </w:rPr>
        <w:t>破产重整的核心优势：</w:t>
      </w:r>
    </w:p>
    <w:p>
      <w:pPr>
        <w:pStyle w:val="ListBullet"/>
      </w:pPr>
      <w:r>
        <w:rPr>
          <w:b/>
        </w:rPr>
        <w:t>债务停止计息</w:t>
      </w:r>
      <w:r>
        <w:t>：法院受理重整申请后，所有债务停止计息，减轻企业财务负担。</w:t>
      </w:r>
    </w:p>
    <w:p>
      <w:pPr>
        <w:pStyle w:val="ListBullet"/>
      </w:pPr>
      <w:r>
        <w:rPr>
          <w:b/>
        </w:rPr>
        <w:t>司法保护</w:t>
      </w:r>
      <w:r>
        <w:t>：企业的核心资产在重整期间受到司法保护，不会被个别债权人强制执行。</w:t>
      </w:r>
    </w:p>
    <w:p>
      <w:pPr>
        <w:pStyle w:val="ListBullet"/>
      </w:pPr>
      <w:r>
        <w:rPr>
          <w:b/>
        </w:rPr>
        <w:t>强制约束力</w:t>
      </w:r>
      <w:r>
        <w:t>：经法院批准的重整计划对所有债权人均有约束力，即使个别债权人不同意也无法阻止方案执行。</w:t>
      </w:r>
    </w:p>
    <w:p>
      <w:pPr>
        <w:pStyle w:val="ListBullet"/>
      </w:pPr>
      <w:r>
        <w:rPr>
          <w:b/>
        </w:rPr>
        <w:t>投资人引入</w:t>
      </w:r>
      <w:r>
        <w:t>：重整程序为企业引入战略投资者提供了法定通道。</w:t>
      </w:r>
    </w:p>
    <w:p>
      <w:pPr>
        <w:pStyle w:val="BodyText"/>
      </w:pPr>
      <w:r>
        <w:rPr>
          <w:b/>
        </w:rPr>
        <w:t>重整程序的关键流程：</w:t>
      </w:r>
    </w:p>
    <w:p>
      <w:pPr>
        <w:pStyle w:val="ListNumber"/>
        <w:numPr>
          <w:ilvl w:val="0"/>
          <w:numId w:val="13"/>
        </w:numPr>
      </w:pPr>
      <w:r>
        <w:rPr>
          <w:b/>
        </w:rPr>
        <w:t>申请与受理</w:t>
      </w:r>
      <w:r>
        <w:t>：债务人或债权人向法院申请重整，法院审查后裁定受理。</w:t>
      </w:r>
    </w:p>
    <w:p>
      <w:pPr>
        <w:pStyle w:val="ListNumber"/>
        <w:numPr>
          <w:ilvl w:val="0"/>
          <w:numId w:val="13"/>
        </w:numPr>
      </w:pPr>
      <w:r>
        <w:rPr>
          <w:b/>
        </w:rPr>
        <w:t>管理人指定</w:t>
      </w:r>
      <w:r>
        <w:t>：法院指定管理人（通常由律师事务所或会计师事务所担任），接管企业财产和营业事务。</w:t>
      </w:r>
    </w:p>
    <w:p>
      <w:pPr>
        <w:pStyle w:val="ListNumber"/>
        <w:numPr>
          <w:ilvl w:val="0"/>
          <w:numId w:val="13"/>
        </w:numPr>
      </w:pPr>
      <w:r>
        <w:rPr>
          <w:b/>
        </w:rPr>
        <w:t>债权申报与审查</w:t>
      </w:r>
      <w:r>
        <w:t>：债权人在规定期限内向管理人申报债权，管理人审查确认。</w:t>
      </w:r>
    </w:p>
    <w:p>
      <w:pPr>
        <w:pStyle w:val="ListNumber"/>
        <w:numPr>
          <w:ilvl w:val="0"/>
          <w:numId w:val="13"/>
        </w:numPr>
      </w:pPr>
      <w:r>
        <w:rPr>
          <w:b/>
        </w:rPr>
        <w:t>重整计划草案制定</w:t>
      </w:r>
      <w:r>
        <w:t>：管理人 or 债务人制定重整计划草案，包括债务清偿方案、经营方案、投资人引入方案等。</w:t>
      </w:r>
    </w:p>
    <w:p>
      <w:pPr>
        <w:pStyle w:val="ListNumber"/>
        <w:numPr>
          <w:ilvl w:val="0"/>
          <w:numId w:val="13"/>
        </w:numPr>
      </w:pPr>
      <w:r>
        <w:rPr>
          <w:b/>
        </w:rPr>
        <w:t>债权人会议表决</w:t>
      </w:r>
      <w:r>
        <w:t>：重整计划草案提交债权人会议分组表决（通常分为有担保债权组、职工债权组、税款债权组、普通债权组）。</w:t>
      </w:r>
    </w:p>
    <w:p>
      <w:pPr>
        <w:pStyle w:val="ListNumber"/>
        <w:numPr>
          <w:ilvl w:val="0"/>
          <w:numId w:val="13"/>
        </w:numPr>
      </w:pPr>
      <w:r>
        <w:rPr>
          <w:b/>
        </w:rPr>
        <w:t>法院批准</w:t>
      </w:r>
      <w:r>
        <w:t>：各表决组均通过，或部分表决组未通过但法院认为方案公平合理，法院裁定批准重整计划。</w:t>
      </w:r>
    </w:p>
    <w:p>
      <w:pPr>
        <w:pStyle w:val="ListNumber"/>
        <w:numPr>
          <w:ilvl w:val="0"/>
          <w:numId w:val="13"/>
        </w:numPr>
      </w:pPr>
      <w:r>
        <w:rPr>
          <w:b/>
        </w:rPr>
        <w:t>重整计划执行</w:t>
      </w:r>
      <w:r>
        <w:t>：债务人 or 管理人执行重整计划，完成债务清偿和资产处置。</w:t>
      </w:r>
    </w:p>
    <w:p>
      <w:pPr>
        <w:pStyle w:val="ListNumber"/>
        <w:numPr>
          <w:ilvl w:val="0"/>
          <w:numId w:val="13"/>
        </w:numPr>
      </w:pPr>
      <w:r>
        <w:rPr>
          <w:b/>
        </w:rPr>
        <w:t>终结重整程序</w:t>
      </w:r>
      <w:r>
        <w:t>：重整计划执行完毕，法院裁定终结重整程序。</w:t>
      </w:r>
    </w:p>
    <w:p>
      <w:pPr>
        <w:pStyle w:val="BodyText"/>
      </w:pPr>
      <w:r>
        <w:rPr>
          <w:b/>
        </w:rPr>
        <w:t>企业适配</w:t>
      </w:r>
      <w:r>
        <w:t>：对于风险处置顾问而言，破产重整不是终点而是工具。在谈判中，可以适时向债务人或债权人提示"如果不达成和解，可能进入破产重整程序"，以此作为谈判筹码。同时，也要熟悉重整程序中的债权人权利保护机制，确保客户利益最大化。</w:t>
      </w:r>
    </w:p>
    <w:p>
      <w:pPr>
        <w:pStyle w:val="Heading3"/>
      </w:pPr>
      <w:r>
        <w:t>3.5 债转股业务：从"债主"到"股东"的身份转换</w:t>
      </w:r>
    </w:p>
    <w:p>
      <w:pPr>
        <w:pStyle w:val="BodyText"/>
      </w:pPr>
      <w:r>
        <w:t>债转股是近年来政策大力推动的不良资产处置工具。本书指出，债转股的本质不是简单的"债务减免"，而是"以时间换空间"——将短期偿债压力转化为长期股权收益。</w:t>
      </w:r>
    </w:p>
    <w:p>
      <w:pPr>
        <w:pStyle w:val="BodyText"/>
      </w:pPr>
      <w:r>
        <w:rPr>
          <w:b/>
        </w:rPr>
        <w:t>债转股的适用条件：</w:t>
      </w:r>
    </w:p>
    <w:p>
      <w:pPr>
        <w:pStyle w:val="ListBullet"/>
      </w:pPr>
      <w:r>
        <w:t>企业具有持续经营能力和发展前景；</w:t>
      </w:r>
    </w:p>
    <w:p>
      <w:pPr>
        <w:pStyle w:val="ListBullet"/>
      </w:pPr>
      <w:r>
        <w:t>债务规模过大，单纯展期或降息无法解决根本问题；</w:t>
      </w:r>
    </w:p>
    <w:p>
      <w:pPr>
        <w:pStyle w:val="ListBullet"/>
      </w:pPr>
      <w:r>
        <w:t>债权人愿意承担股权风险，换取更高收益；</w:t>
      </w:r>
    </w:p>
    <w:p>
      <w:pPr>
        <w:pStyle w:val="ListBullet"/>
      </w:pPr>
      <w:r>
        <w:t>企业愿意接受新的股东治理结构。</w:t>
      </w:r>
    </w:p>
    <w:p>
      <w:pPr>
        <w:pStyle w:val="BodyText"/>
      </w:pPr>
      <w:r>
        <w:rPr>
          <w:b/>
        </w:rPr>
        <w:t>债转股的交易结构：</w:t>
      </w:r>
    </w:p>
    <w:p>
      <w:pPr>
        <w:pStyle w:val="BodyText"/>
      </w:pPr>
      <w:r>
        <w:t>典型的债转股交易结构包括：</w:t>
      </w:r>
    </w:p>
    <w:p>
      <w:pPr>
        <w:pStyle w:val="ListNumber"/>
        <w:numPr>
          <w:ilvl w:val="0"/>
          <w:numId w:val="14"/>
        </w:numPr>
      </w:pPr>
      <w:r>
        <w:rPr>
          <w:b/>
        </w:rPr>
        <w:t>设立SPV</w:t>
      </w:r>
      <w:r>
        <w:t>：债权人设立特殊目的公司（SPV），以债权作价出资。</w:t>
      </w:r>
    </w:p>
    <w:p>
      <w:pPr>
        <w:pStyle w:val="ListNumber"/>
        <w:numPr>
          <w:ilvl w:val="0"/>
          <w:numId w:val="14"/>
        </w:numPr>
      </w:pPr>
      <w:r>
        <w:rPr>
          <w:b/>
        </w:rPr>
        <w:t>股权注入</w:t>
      </w:r>
      <w:r>
        <w:t>：SPV以债权转为对企业的增资，获得企业股权。</w:t>
      </w:r>
    </w:p>
    <w:p>
      <w:pPr>
        <w:pStyle w:val="ListNumber"/>
        <w:numPr>
          <w:ilvl w:val="0"/>
          <w:numId w:val="14"/>
        </w:numPr>
      </w:pPr>
      <w:r>
        <w:rPr>
          <w:b/>
        </w:rPr>
        <w:t>治理安排</w:t>
      </w:r>
      <w:r>
        <w:t>：债权人通过股权进入企业治理结构，派驻董事、监事或高管。</w:t>
      </w:r>
    </w:p>
    <w:p>
      <w:pPr>
        <w:pStyle w:val="ListNumber"/>
        <w:numPr>
          <w:ilvl w:val="0"/>
          <w:numId w:val="14"/>
        </w:numPr>
      </w:pPr>
      <w:r>
        <w:rPr>
          <w:b/>
        </w:rPr>
        <w:t>退出机制</w:t>
      </w:r>
      <w:r>
        <w:t>：约定未来退出路径（IPO、股权转让、回购等）。</w:t>
      </w:r>
    </w:p>
    <w:p>
      <w:pPr>
        <w:pStyle w:val="BodyText"/>
      </w:pPr>
      <w:r>
        <w:rPr>
          <w:b/>
        </w:rPr>
        <w:t>风险点</w:t>
      </w:r>
      <w:r>
        <w:t>：本书提醒，债转股的最大风险在于"股权价值的不确定性"。如果企业经营状况持续恶化，股权可能一文不值。因此，债转股方案必须配套严格的经营改善计划和治理监督机制。</w:t>
      </w:r>
    </w:p>
    <w:p>
      <w:pPr>
        <w:spacing w:before="80" w:after="80"/>
        <w:ind w:firstLine="0"/>
        <w:pBdr>
          <w:bottom w:val="single" w:sz="6" w:space="0" w:color="808080"/>
        </w:pBdr>
      </w:pPr>
    </w:p>
    <w:p>
      <w:pPr>
        <w:pStyle w:val="Heading2"/>
      </w:pPr>
      <w:r>
        <w:t>第四部分：企业债务纾困与风险止损方案设计</w:t>
      </w:r>
    </w:p>
    <w:p>
      <w:pPr>
        <w:pStyle w:val="Heading3"/>
      </w:pPr>
      <w:r>
        <w:t>4.1 从不良资产处置到企业风险纾困：思维转换</w:t>
      </w:r>
    </w:p>
    <w:p>
      <w:pPr>
        <w:pStyle w:val="BodyText"/>
      </w:pPr>
      <w:r>
        <w:t>本书虽然聚焦于不良资产行业的专业操作，但其底层方法论完全可以适配到企业微观风险处置场景。核心思维转换包括：</w:t>
      </w:r>
    </w:p>
    <w:p>
      <w:pPr>
        <w:pStyle w:val="BodyText"/>
      </w:pPr>
      <w:r>
        <w:rPr>
          <w:b/>
        </w:rPr>
        <w:t>从"投资者思维"到"顾问思维"</w:t>
      </w:r>
    </w:p>
    <w:p>
      <w:pPr>
        <w:pStyle w:val="ListBullet"/>
      </w:pPr>
      <w:r>
        <w:t>不良资产投资者的思维是"我如何赚钱"：低价收购、高价退出。</w:t>
      </w:r>
    </w:p>
    <w:p>
      <w:pPr>
        <w:pStyle w:val="ListBullet"/>
      </w:pPr>
      <w:r>
        <w:t>风险处置顾问的思维是"我如何帮客户止损"：识别风险、设计方案、协调谈判、监督执行。</w:t>
      </w:r>
    </w:p>
    <w:p>
      <w:pPr>
        <w:pStyle w:val="BodyText"/>
      </w:pPr>
      <w:r>
        <w:rPr>
          <w:b/>
        </w:rPr>
        <w:t>从"债权视角"到"全资产负债表视角"</w:t>
      </w:r>
    </w:p>
    <w:p>
      <w:pPr>
        <w:pStyle w:val="ListBullet"/>
      </w:pPr>
      <w:r>
        <w:t>不良资产投资者通常以债权人的身份介入，关注的是"这笔债能收回多少"。</w:t>
      </w:r>
    </w:p>
    <w:p>
      <w:pPr>
        <w:pStyle w:val="ListBullet"/>
      </w:pPr>
      <w:r>
        <w:t>风险处置顾问需要同时关注债务方和债权方的利益，寻找"双赢"或"减损最大化"的方案。</w:t>
      </w:r>
    </w:p>
    <w:p>
      <w:pPr>
        <w:pStyle w:val="BodyText"/>
      </w:pPr>
      <w:r>
        <w:rPr>
          <w:b/>
        </w:rPr>
        <w:t>从"单一资产处置"到"企业整体纾困"</w:t>
      </w:r>
    </w:p>
    <w:p>
      <w:pPr>
        <w:pStyle w:val="ListBullet"/>
      </w:pPr>
      <w:r>
        <w:t>不良资产投资者通常收购的是"单笔债权"或"资产包"。</w:t>
      </w:r>
    </w:p>
    <w:p>
      <w:pPr>
        <w:pStyle w:val="ListBullet"/>
      </w:pPr>
      <w:r>
        <w:t>风险处置顾问面对的是"整个企业的风险化解"，需要统筹考虑企业的资产、负债、业务、团队、客户关系等多维度因素。</w:t>
      </w:r>
    </w:p>
    <w:p>
      <w:pPr>
        <w:pStyle w:val="Heading3"/>
      </w:pPr>
      <w:r>
        <w:t>4.2 企业债务纾困方案设计框架</w:t>
      </w:r>
    </w:p>
    <w:p>
      <w:pPr>
        <w:pStyle w:val="BodyText"/>
      </w:pPr>
      <w:r>
        <w:t>基于本书的方法论，可以提炼出企业债务纾困的</w:t>
      </w:r>
      <w:r>
        <w:rPr>
          <w:b/>
        </w:rPr>
        <w:t>五步设计框架</w:t>
      </w:r>
      <w:r>
        <w:t>：</w:t>
      </w:r>
    </w:p>
    <w:p>
      <w:pPr>
        <w:pStyle w:val="BodyText"/>
      </w:pPr>
      <w:r>
        <w:rPr>
          <w:b/>
        </w:rPr>
        <w:t>第一步：风险诊断与等级划分</w:t>
      </w:r>
    </w:p>
    <w:p>
      <w:pPr>
        <w:pStyle w:val="ListBullet"/>
      </w:pPr>
      <w:r>
        <w:t>梳理企业全部债务清单（债权人、金额、期限、利率、担保方式）。</w:t>
      </w:r>
    </w:p>
    <w:p>
      <w:pPr>
        <w:pStyle w:val="ListBullet"/>
      </w:pPr>
      <w:r>
        <w:t>评估企业资产状况（可变现资产、核心经营资产、隐性资产）。</w:t>
      </w:r>
    </w:p>
    <w:p>
      <w:pPr>
        <w:pStyle w:val="ListBullet"/>
      </w:pPr>
      <w:r>
        <w:t>判断企业是否"值得救"：是否有核心竞争力、是否有市场前景、实控人是否配合。</w:t>
      </w:r>
    </w:p>
    <w:p>
      <w:pPr>
        <w:pStyle w:val="ListBullet"/>
      </w:pPr>
      <w:r>
        <w:t>等级划分：A级（短期流动性困难，基本面良好）→ B级（债务结构失衡，需重组）→ C级（资不抵债，需破产重整）→ D级（无挽救价值，建议清算）。</w:t>
      </w:r>
    </w:p>
    <w:p>
      <w:pPr>
        <w:pStyle w:val="BodyText"/>
      </w:pPr>
      <w:r>
        <w:rPr>
          <w:b/>
        </w:rPr>
        <w:t>第二步：利益相关方分析</w:t>
      </w:r>
    </w:p>
    <w:p>
      <w:pPr>
        <w:pStyle w:val="ListBullet"/>
      </w:pPr>
      <w:r>
        <w:t>绘制利益相关方图谱：大股东、小股东、银行债权人、非银债权人、供应商、客户、员工、政府。</w:t>
      </w:r>
    </w:p>
    <w:p>
      <w:pPr>
        <w:pStyle w:val="ListBullet"/>
      </w:pPr>
      <w:r>
        <w:t>分析各方的核心诉求和谈判筹码。</w:t>
      </w:r>
    </w:p>
    <w:p>
      <w:pPr>
        <w:pStyle w:val="ListBullet"/>
      </w:pPr>
      <w:r>
        <w:t>识别"关键少数"：哪些债权人或股东的态度会决定方案成败。</w:t>
      </w:r>
    </w:p>
    <w:p>
      <w:pPr>
        <w:pStyle w:val="BodyText"/>
      </w:pPr>
      <w:r>
        <w:rPr>
          <w:b/>
        </w:rPr>
        <w:t>第三步：多预案推演</w:t>
      </w:r>
    </w:p>
    <w:p>
      <w:pPr>
        <w:pStyle w:val="BodyText"/>
      </w:pPr>
      <w:r>
        <w:t>正如你的学习计划所要求，任何一个风险必须输出三套方案：</w:t>
      </w:r>
    </w:p>
    <w:p>
      <w:pPr>
        <w:pStyle w:val="ListBullet"/>
      </w:pPr>
      <w:r>
        <w:rPr>
          <w:b/>
        </w:rPr>
        <w:t>方案A：最优和解方案</w:t>
      </w:r>
      <w:r>
        <w:t>。以最低成本、最快速度达成和解，维护各方关系。适用场景：风险发现早、各方尚有信任基础。</w:t>
      </w:r>
    </w:p>
    <w:p>
      <w:pPr>
        <w:pStyle w:val="ListBullet"/>
      </w:pPr>
      <w:r>
        <w:rPr>
          <w:b/>
        </w:rPr>
        <w:t>方案B：保守处置方案</w:t>
      </w:r>
      <w:r>
        <w:t>。以稳为主，不求最大收益，但求不扩大损失。适用场景：风险已发酵、各方关系紧张但尚未破裂。</w:t>
      </w:r>
    </w:p>
    <w:p>
      <w:pPr>
        <w:pStyle w:val="ListBullet"/>
      </w:pPr>
      <w:r>
        <w:rPr>
          <w:b/>
        </w:rPr>
        <w:t>方案C：兜底诉讼/破产方案</w:t>
      </w:r>
      <w:r>
        <w:t>。以法律手段为底线，确保核心利益不受损。适用场景：谈判破裂、对方恶意逃废债。</w:t>
      </w:r>
    </w:p>
    <w:p>
      <w:pPr>
        <w:pStyle w:val="BodyText"/>
      </w:pPr>
      <w:r>
        <w:rPr>
          <w:b/>
        </w:rPr>
        <w:t>第四步：交易结构设计</w:t>
      </w:r>
    </w:p>
    <w:p>
      <w:pPr>
        <w:pStyle w:val="BodyText"/>
      </w:pPr>
      <w:r>
        <w:t>根据企业的具体情况，设计差异化的交易结构：</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009"/>
            <w:shd w:val="clear" w:color="auto" w:fill="F2F2F2"/>
            <w:vAlign w:val="center"/>
          </w:tcPr>
          <w:p>
            <w:pPr>
              <w:spacing w:before="0" w:after="0" w:line="240" w:lineRule="auto"/>
              <w:ind w:firstLine="0" w:left="0" w:right="0"/>
              <w:jc w:val="center"/>
            </w:pPr>
            <w:r>
              <w:rPr>
                <w:b/>
              </w:rPr>
            </w:r>
            <w:r>
              <w:rPr>
                <w:b/>
              </w:rPr>
              <w:t>企业类型</w:t>
            </w:r>
          </w:p>
        </w:tc>
        <w:tc>
          <w:tcPr>
            <w:tcW w:type="dxa" w:w="3009"/>
            <w:shd w:val="clear" w:color="auto" w:fill="F2F2F2"/>
            <w:vAlign w:val="center"/>
          </w:tcPr>
          <w:p>
            <w:pPr>
              <w:spacing w:before="0" w:after="0" w:line="240" w:lineRule="auto"/>
              <w:ind w:firstLine="0" w:left="0" w:right="0"/>
              <w:jc w:val="center"/>
            </w:pPr>
            <w:r>
              <w:rPr>
                <w:b/>
              </w:rPr>
            </w:r>
            <w:r>
              <w:rPr>
                <w:b/>
              </w:rPr>
              <w:t>推荐交易结构</w:t>
            </w:r>
          </w:p>
        </w:tc>
        <w:tc>
          <w:tcPr>
            <w:tcW w:type="dxa" w:w="3009"/>
            <w:shd w:val="clear" w:color="auto" w:fill="F2F2F2"/>
            <w:vAlign w:val="center"/>
          </w:tcPr>
          <w:p>
            <w:pPr>
              <w:spacing w:before="0" w:after="0" w:line="240" w:lineRule="auto"/>
              <w:ind w:firstLine="0" w:left="0" w:right="0"/>
              <w:jc w:val="center"/>
            </w:pPr>
            <w:r>
              <w:rPr>
                <w:b/>
              </w:rPr>
            </w:r>
            <w:r>
              <w:rPr>
                <w:b/>
              </w:rPr>
              <w:t>核心要点</w:t>
            </w:r>
          </w:p>
        </w:tc>
      </w:tr>
      <w:tr>
        <w:tc>
          <w:tcPr>
            <w:tcW w:type="dxa" w:w="3009"/>
            <w:vAlign w:val="center"/>
          </w:tcPr>
          <w:p>
            <w:pPr>
              <w:spacing w:before="0" w:after="0" w:line="240" w:lineRule="auto"/>
              <w:ind w:firstLine="0" w:left="0" w:right="0"/>
              <w:jc w:val="center"/>
            </w:pPr>
            <w:r/>
            <w:r>
              <w:rPr>
                <w:b/>
              </w:rPr>
              <w:t>短期流动性困难</w:t>
            </w:r>
          </w:p>
        </w:tc>
        <w:tc>
          <w:tcPr>
            <w:tcW w:type="dxa" w:w="3009"/>
            <w:vAlign w:val="center"/>
          </w:tcPr>
          <w:p>
            <w:pPr>
              <w:spacing w:before="0" w:after="0" w:line="240" w:lineRule="auto"/>
              <w:ind w:firstLine="0" w:left="0" w:right="0"/>
              <w:jc w:val="center"/>
            </w:pPr>
            <w:r/>
            <w:r>
              <w:t>债务展期 + 新增过桥融资</w:t>
            </w:r>
          </w:p>
        </w:tc>
        <w:tc>
          <w:tcPr>
            <w:tcW w:type="dxa" w:w="3009"/>
            <w:vAlign w:val="center"/>
          </w:tcPr>
          <w:p>
            <w:pPr>
              <w:spacing w:before="0" w:after="0" w:line="240" w:lineRule="auto"/>
              <w:ind w:firstLine="0" w:left="0" w:right="0"/>
              <w:jc w:val="center"/>
            </w:pPr>
            <w:r/>
            <w:r>
              <w:t>以时间换空间，6-12个月缓冲期</w:t>
            </w:r>
          </w:p>
        </w:tc>
      </w:tr>
      <w:tr>
        <w:tc>
          <w:tcPr>
            <w:tcW w:type="dxa" w:w="3009"/>
            <w:vAlign w:val="center"/>
          </w:tcPr>
          <w:p>
            <w:pPr>
              <w:spacing w:before="0" w:after="0" w:line="240" w:lineRule="auto"/>
              <w:ind w:firstLine="0" w:left="0" w:right="0"/>
              <w:jc w:val="center"/>
            </w:pPr>
            <w:r/>
            <w:r>
              <w:rPr>
                <w:b/>
              </w:rPr>
              <w:t>债务结构失衡</w:t>
            </w:r>
          </w:p>
        </w:tc>
        <w:tc>
          <w:tcPr>
            <w:tcW w:type="dxa" w:w="3009"/>
            <w:vAlign w:val="center"/>
          </w:tcPr>
          <w:p>
            <w:pPr>
              <w:spacing w:before="0" w:after="0" w:line="240" w:lineRule="auto"/>
              <w:ind w:firstLine="0" w:left="0" w:right="0"/>
              <w:jc w:val="center"/>
            </w:pPr>
            <w:r/>
            <w:r>
              <w:t>债务重组（展期+降息+债转股）</w:t>
            </w:r>
          </w:p>
        </w:tc>
        <w:tc>
          <w:tcPr>
            <w:tcW w:type="dxa" w:w="3009"/>
            <w:vAlign w:val="center"/>
          </w:tcPr>
          <w:p>
            <w:pPr>
              <w:spacing w:before="0" w:after="0" w:line="240" w:lineRule="auto"/>
              <w:ind w:firstLine="0" w:left="0" w:right="0"/>
              <w:jc w:val="center"/>
            </w:pPr>
            <w:r/>
            <w:r>
              <w:t>优化债务期限结构和利率结构</w:t>
            </w:r>
          </w:p>
        </w:tc>
      </w:tr>
      <w:tr>
        <w:tc>
          <w:tcPr>
            <w:tcW w:type="dxa" w:w="3009"/>
            <w:vAlign w:val="center"/>
          </w:tcPr>
          <w:p>
            <w:pPr>
              <w:spacing w:before="0" w:after="0" w:line="240" w:lineRule="auto"/>
              <w:ind w:firstLine="0" w:left="0" w:right="0"/>
              <w:jc w:val="center"/>
            </w:pPr>
            <w:r/>
            <w:r>
              <w:rPr>
                <w:b/>
              </w:rPr>
              <w:t>资产错配严重</w:t>
            </w:r>
          </w:p>
        </w:tc>
        <w:tc>
          <w:tcPr>
            <w:tcW w:type="dxa" w:w="3009"/>
            <w:vAlign w:val="center"/>
          </w:tcPr>
          <w:p>
            <w:pPr>
              <w:spacing w:before="0" w:after="0" w:line="240" w:lineRule="auto"/>
              <w:ind w:firstLine="0" w:left="0" w:right="0"/>
              <w:jc w:val="center"/>
            </w:pPr>
            <w:r/>
            <w:r>
              <w:t>资产剥离 + 债务切割</w:t>
            </w:r>
          </w:p>
        </w:tc>
        <w:tc>
          <w:tcPr>
            <w:tcW w:type="dxa" w:w="3009"/>
            <w:vAlign w:val="center"/>
          </w:tcPr>
          <w:p>
            <w:pPr>
              <w:spacing w:before="0" w:after="0" w:line="240" w:lineRule="auto"/>
              <w:ind w:firstLine="0" w:left="0" w:right="0"/>
              <w:jc w:val="center"/>
            </w:pPr>
            <w:r/>
            <w:r>
              <w:t>保留核心资产，剥离非核心资产和对应债务</w:t>
            </w:r>
          </w:p>
        </w:tc>
      </w:tr>
      <w:tr>
        <w:tc>
          <w:tcPr>
            <w:tcW w:type="dxa" w:w="3009"/>
            <w:vAlign w:val="center"/>
          </w:tcPr>
          <w:p>
            <w:pPr>
              <w:spacing w:before="0" w:after="0" w:line="240" w:lineRule="auto"/>
              <w:ind w:firstLine="0" w:left="0" w:right="0"/>
              <w:jc w:val="center"/>
            </w:pPr>
            <w:r/>
            <w:r>
              <w:rPr>
                <w:b/>
              </w:rPr>
              <w:t>资不抵债但有挽救价值</w:t>
            </w:r>
          </w:p>
        </w:tc>
        <w:tc>
          <w:tcPr>
            <w:tcW w:type="dxa" w:w="3009"/>
            <w:vAlign w:val="center"/>
          </w:tcPr>
          <w:p>
            <w:pPr>
              <w:spacing w:before="0" w:after="0" w:line="240" w:lineRule="auto"/>
              <w:ind w:firstLine="0" w:left="0" w:right="0"/>
              <w:jc w:val="center"/>
            </w:pPr>
            <w:r/>
            <w:r>
              <w:t>破产重整 + 引入战略投资者</w:t>
            </w:r>
          </w:p>
        </w:tc>
        <w:tc>
          <w:tcPr>
            <w:tcW w:type="dxa" w:w="3009"/>
            <w:vAlign w:val="center"/>
          </w:tcPr>
          <w:p>
            <w:pPr>
              <w:spacing w:before="0" w:after="0" w:line="240" w:lineRule="auto"/>
              <w:ind w:firstLine="0" w:left="0" w:right="0"/>
              <w:jc w:val="center"/>
            </w:pPr>
            <w:r/>
            <w:r>
              <w:t>利用司法程序保护核心资产，引入新资金</w:t>
            </w:r>
          </w:p>
        </w:tc>
      </w:tr>
      <w:tr>
        <w:tc>
          <w:tcPr>
            <w:tcW w:type="dxa" w:w="3009"/>
            <w:vAlign w:val="center"/>
          </w:tcPr>
          <w:p>
            <w:pPr>
              <w:spacing w:before="0" w:after="0" w:line="240" w:lineRule="auto"/>
              <w:ind w:firstLine="0" w:left="0" w:right="0"/>
              <w:jc w:val="center"/>
            </w:pPr>
            <w:r/>
            <w:r>
              <w:rPr>
                <w:b/>
              </w:rPr>
              <w:t>无挽救价值</w:t>
            </w:r>
          </w:p>
        </w:tc>
        <w:tc>
          <w:tcPr>
            <w:tcW w:type="dxa" w:w="3009"/>
            <w:vAlign w:val="center"/>
          </w:tcPr>
          <w:p>
            <w:pPr>
              <w:spacing w:before="0" w:after="0" w:line="240" w:lineRule="auto"/>
              <w:ind w:firstLine="0" w:left="0" w:right="0"/>
              <w:jc w:val="center"/>
            </w:pPr>
            <w:r/>
            <w:r>
              <w:t>破产清算 + 有序退出</w:t>
            </w:r>
          </w:p>
        </w:tc>
        <w:tc>
          <w:tcPr>
            <w:tcW w:type="dxa" w:w="3009"/>
            <w:vAlign w:val="center"/>
          </w:tcPr>
          <w:p>
            <w:pPr>
              <w:spacing w:before="0" w:after="0" w:line="240" w:lineRule="auto"/>
              <w:ind w:firstLine="0" w:left="0" w:right="0"/>
              <w:jc w:val="center"/>
            </w:pPr>
            <w:r/>
            <w:r>
              <w:t>最大限度回收资产，公平清偿债权人</w:t>
            </w:r>
          </w:p>
        </w:tc>
      </w:tr>
    </w:tbl>
    <w:p>
      <w:pPr>
        <w:pStyle w:val="BodyText"/>
      </w:pPr>
      <w:r>
        <w:rPr>
          <w:b/>
        </w:rPr>
        <w:t>第五步：执行与监督</w:t>
      </w:r>
    </w:p>
    <w:p>
      <w:pPr>
        <w:pStyle w:val="ListBullet"/>
      </w:pPr>
      <w:r>
        <w:t>制定详细的执行时间表，明确各方责任和交付物。</w:t>
      </w:r>
    </w:p>
    <w:p>
      <w:pPr>
        <w:pStyle w:val="ListBullet"/>
      </w:pPr>
      <w:r>
        <w:t>建立定期沟通机制，跟踪方案执行进度。</w:t>
      </w:r>
    </w:p>
    <w:p>
      <w:pPr>
        <w:pStyle w:val="ListBullet"/>
      </w:pPr>
      <w:r>
        <w:t>设置预警阈值，一旦执行偏离预期立即启动应急预案。</w:t>
      </w:r>
    </w:p>
    <w:p>
      <w:pPr>
        <w:pStyle w:val="Heading3"/>
      </w:pPr>
      <w:r>
        <w:t>4.3 成本测算模型</w:t>
      </w:r>
    </w:p>
    <w:p>
      <w:pPr>
        <w:pStyle w:val="BodyText"/>
      </w:pPr>
      <w:r>
        <w:t>本书隐含的成本测算逻辑可以提炼为</w:t>
      </w:r>
      <w:r>
        <w:rPr>
          <w:b/>
        </w:rPr>
        <w:t>企业风险处置成本测算模型</w:t>
      </w:r>
      <w:r>
        <w:t>：</w:t>
      </w:r>
    </w:p>
    <w:p>
      <w:pPr>
        <w:pStyle w:val="BodyText"/>
      </w:pPr>
      <w:r>
        <w:rPr>
          <w:b/>
        </w:rPr>
        <w:t>直接成本：</w:t>
      </w:r>
    </w:p>
    <w:p>
      <w:pPr>
        <w:pStyle w:val="ListBullet"/>
      </w:pPr>
      <w:r>
        <w:t>律师费、诉讼费、保全费、执行费</w:t>
      </w:r>
    </w:p>
    <w:p>
      <w:pPr>
        <w:pStyle w:val="ListBullet"/>
      </w:pPr>
      <w:r>
        <w:t>评估费、审计费、拍卖费</w:t>
      </w:r>
    </w:p>
    <w:p>
      <w:pPr>
        <w:pStyle w:val="ListBullet"/>
      </w:pPr>
      <w:r>
        <w:t>差旅费、尽调费</w:t>
      </w:r>
    </w:p>
    <w:p>
      <w:pPr>
        <w:pStyle w:val="BodyText"/>
      </w:pPr>
      <w:r>
        <w:rPr>
          <w:b/>
        </w:rPr>
        <w:t>间接成本：</w:t>
      </w:r>
    </w:p>
    <w:p>
      <w:pPr>
        <w:pStyle w:val="ListBullet"/>
      </w:pPr>
      <w:r>
        <w:t>资金占用成本（自有资金或配资的利息）</w:t>
      </w:r>
    </w:p>
    <w:p>
      <w:pPr>
        <w:pStyle w:val="ListBullet"/>
      </w:pPr>
      <w:r>
        <w:t>业务中断损失（因风险处置导致的主营业务停滞）</w:t>
      </w:r>
    </w:p>
    <w:p>
      <w:pPr>
        <w:pStyle w:val="ListBullet"/>
      </w:pPr>
      <w:r>
        <w:t>声誉损失（因涉诉或违约导致的客户流失、供应商断供）</w:t>
      </w:r>
    </w:p>
    <w:p>
      <w:pPr>
        <w:pStyle w:val="ListBullet"/>
      </w:pPr>
      <w:r>
        <w:t>管理成本（高管和团队因风险处置投入的时间和精力）</w:t>
      </w:r>
    </w:p>
    <w:p>
      <w:pPr>
        <w:pStyle w:val="BodyText"/>
      </w:pPr>
      <w:r>
        <w:rPr>
          <w:b/>
        </w:rPr>
        <w:t>机会成本：</w:t>
      </w:r>
    </w:p>
    <w:p>
      <w:pPr>
        <w:pStyle w:val="ListBullet"/>
      </w:pPr>
      <w:r>
        <w:t>因投入风险处置而放弃的其他业务机会</w:t>
      </w:r>
    </w:p>
    <w:p>
      <w:pPr>
        <w:pStyle w:val="ListBullet"/>
      </w:pPr>
      <w:r>
        <w:t>因拖延处置导致的资产贬值</w:t>
      </w:r>
    </w:p>
    <w:p>
      <w:pPr>
        <w:pStyle w:val="BodyText"/>
      </w:pPr>
      <w:r>
        <w:rPr>
          <w:b/>
        </w:rPr>
        <w:t>成本测算公式：</w:t>
      </w:r>
    </w:p>
    <w:p>
      <w:pPr>
        <w:pStyle w:val="Code"/>
      </w:pPr>
      <w:r>
        <w:t>总处置成本 = 直接成本 + 间接成本 + 机会成本</w:t>
        <w:br/>
        <w:br/>
        <w:t>净回收金额 = 资产变现价值 - 总处置成本</w:t>
        <w:br/>
        <w:br/>
        <w:t>处置效率 = 净回收金额 / 债务总额</w:t>
      </w:r>
    </w:p>
    <w:p>
      <w:pPr>
        <w:pStyle w:val="BodyText"/>
      </w:pPr>
      <w:r>
        <w:rPr>
          <w:b/>
        </w:rPr>
        <w:t>核心原则</w:t>
      </w:r>
      <w:r>
        <w:t>：本书的不良资产处置经验表明，"拖延成本"往往远超预期。在企业风险处置中，每拖延一个月，处置效率通常下降5%-10%。因此，快速决策、快速执行是控制处置成本的关键。</w:t>
      </w:r>
    </w:p>
    <w:p>
      <w:pPr>
        <w:pStyle w:val="Heading3"/>
      </w:pPr>
      <w:r>
        <w:t>4.4 交易结构案例模板</w:t>
      </w:r>
    </w:p>
    <w:p>
      <w:pPr>
        <w:pStyle w:val="BodyText"/>
      </w:pPr>
      <w:r>
        <w:t>本书提供了大量可复用的交易结构案例。以下是三个适配企业微观场景的模板：</w:t>
      </w:r>
    </w:p>
    <w:p>
      <w:pPr>
        <w:pStyle w:val="BodyText"/>
      </w:pPr>
      <w:r>
        <w:rPr>
          <w:b/>
        </w:rPr>
        <w:t>模板一：分期付款+资产抵押和解方案</w:t>
      </w:r>
    </w:p>
    <w:p>
      <w:pPr>
        <w:pStyle w:val="BodyText"/>
      </w:pPr>
      <w:r>
        <w:t>适用场景：企业因短期资金紧张无法一次性偿还债务，但持有可抵押资产。</w:t>
      </w:r>
    </w:p>
    <w:p>
      <w:pPr>
        <w:pStyle w:val="BodyText"/>
      </w:pPr>
      <w:r>
        <w:t>交易结构：</w:t>
      </w:r>
    </w:p>
    <w:p>
      <w:pPr>
        <w:pStyle w:val="ListNumber"/>
        <w:numPr>
          <w:ilvl w:val="0"/>
          <w:numId w:val="15"/>
        </w:numPr>
      </w:pPr>
      <w:r>
        <w:t>债务确认：双方确认债务本金、利息和违约金总额。</w:t>
      </w:r>
    </w:p>
    <w:p>
      <w:pPr>
        <w:pStyle w:val="ListNumber"/>
        <w:numPr>
          <w:ilvl w:val="0"/>
          <w:numId w:val="15"/>
        </w:numPr>
      </w:pPr>
      <w:r>
        <w:t>分期安排：将债务总额分为6期，每3个月偿还一期。</w:t>
      </w:r>
    </w:p>
    <w:p>
      <w:pPr>
        <w:pStyle w:val="ListNumber"/>
        <w:numPr>
          <w:ilvl w:val="0"/>
          <w:numId w:val="15"/>
        </w:numPr>
      </w:pPr>
      <w:r>
        <w:t>资产抵押：企业以房产/设备/股权作为分期还款的抵押担保。</w:t>
      </w:r>
    </w:p>
    <w:p>
      <w:pPr>
        <w:pStyle w:val="ListNumber"/>
        <w:numPr>
          <w:ilvl w:val="0"/>
          <w:numId w:val="15"/>
        </w:numPr>
      </w:pPr>
      <w:r>
        <w:t>违约条款：如任一期逾期超过15天，债权人有权要求一次性清偿全部剩余债务并处置抵押物。</w:t>
      </w:r>
    </w:p>
    <w:p>
      <w:pPr>
        <w:pStyle w:val="ListNumber"/>
        <w:numPr>
          <w:ilvl w:val="0"/>
          <w:numId w:val="15"/>
        </w:numPr>
      </w:pPr>
      <w:r>
        <w:t>对赌条款：如企业在分期期间实现约定业绩（如营收增长20%），债权人减免剩余利息的50%。</w:t>
      </w:r>
    </w:p>
    <w:p>
      <w:pPr>
        <w:pStyle w:val="BodyText"/>
      </w:pPr>
      <w:r>
        <w:rPr>
          <w:b/>
        </w:rPr>
        <w:t>模板二：债务重组+引入新投资人方案</w:t>
      </w:r>
    </w:p>
    <w:p>
      <w:pPr>
        <w:pStyle w:val="BodyText"/>
      </w:pPr>
      <w:r>
        <w:t>适用场景：企业债务规模过大，单纯展期无法解决根本问题，需引入新资金。</w:t>
      </w:r>
    </w:p>
    <w:p>
      <w:pPr>
        <w:pStyle w:val="BodyText"/>
      </w:pPr>
      <w:r>
        <w:t>交易结构：</w:t>
      </w:r>
    </w:p>
    <w:p>
      <w:pPr>
        <w:pStyle w:val="ListNumber"/>
        <w:numPr>
          <w:ilvl w:val="0"/>
          <w:numId w:val="16"/>
        </w:numPr>
      </w:pPr>
      <w:r>
        <w:t>债务审计：聘请第三方审计机构全面审计企业债务和资产。</w:t>
      </w:r>
    </w:p>
    <w:p>
      <w:pPr>
        <w:pStyle w:val="ListNumber"/>
        <w:numPr>
          <w:ilvl w:val="0"/>
          <w:numId w:val="16"/>
        </w:numPr>
      </w:pPr>
      <w:r>
        <w:t>债转股：原债权人将30%的债权转为股权，成为企业股东。</w:t>
      </w:r>
    </w:p>
    <w:p>
      <w:pPr>
        <w:pStyle w:val="ListNumber"/>
        <w:numPr>
          <w:ilvl w:val="0"/>
          <w:numId w:val="16"/>
        </w:numPr>
      </w:pPr>
      <w:r>
        <w:t>新投资引入：引入战略投资者，以增资扩股方式注入新资金。</w:t>
      </w:r>
    </w:p>
    <w:p>
      <w:pPr>
        <w:pStyle w:val="ListNumber"/>
        <w:numPr>
          <w:ilvl w:val="0"/>
          <w:numId w:val="16"/>
        </w:numPr>
      </w:pPr>
      <w:r>
        <w:t>治理调整：新投资人和债转股债权人进入董事会，参与企业经营决策。</w:t>
      </w:r>
    </w:p>
    <w:p>
      <w:pPr>
        <w:pStyle w:val="ListNumber"/>
        <w:numPr>
          <w:ilvl w:val="0"/>
          <w:numId w:val="16"/>
        </w:numPr>
      </w:pPr>
      <w:r>
        <w:t>业绩对赌：企业实控人承诺未来三年业绩目标，未达标则向投资人补偿。</w:t>
      </w:r>
    </w:p>
    <w:p>
      <w:pPr>
        <w:pStyle w:val="ListNumber"/>
        <w:numPr>
          <w:ilvl w:val="0"/>
          <w:numId w:val="16"/>
        </w:numPr>
      </w:pPr>
      <w:r>
        <w:t>退出安排：约定五年后通过IPO或股权转让方式退出。</w:t>
      </w:r>
    </w:p>
    <w:p>
      <w:pPr>
        <w:pStyle w:val="BodyText"/>
      </w:pPr>
      <w:r>
        <w:rPr>
          <w:b/>
        </w:rPr>
        <w:t>模板三：资产剥离+债务切割方案</w:t>
      </w:r>
    </w:p>
    <w:p>
      <w:pPr>
        <w:pStyle w:val="BodyText"/>
      </w:pPr>
      <w:r>
        <w:t>适用场景：企业同时经营多个业务板块，部分板块亏损严重拖累整体。</w:t>
      </w:r>
    </w:p>
    <w:p>
      <w:pPr>
        <w:pStyle w:val="BodyText"/>
      </w:pPr>
      <w:r>
        <w:t>交易结构：</w:t>
      </w:r>
    </w:p>
    <w:p>
      <w:pPr>
        <w:pStyle w:val="ListNumber"/>
        <w:numPr>
          <w:ilvl w:val="0"/>
          <w:numId w:val="17"/>
        </w:numPr>
      </w:pPr>
      <w:r>
        <w:t>业务分割：将企业拆分为"核心资产公司"和"非核心资产公司"。</w:t>
      </w:r>
    </w:p>
    <w:p>
      <w:pPr>
        <w:pStyle w:val="ListNumber"/>
        <w:numPr>
          <w:ilvl w:val="0"/>
          <w:numId w:val="17"/>
        </w:numPr>
      </w:pPr>
      <w:r>
        <w:t>债务切割：与债权人协商，将对应非核心资产的债务转移至"非核心资产公司"。</w:t>
      </w:r>
    </w:p>
    <w:p>
      <w:pPr>
        <w:pStyle w:val="ListNumber"/>
        <w:numPr>
          <w:ilvl w:val="0"/>
          <w:numId w:val="17"/>
        </w:numPr>
      </w:pPr>
      <w:r>
        <w:t>资产转让：将非核心资产转让给第三方，所得资金用于清偿对应债务。</w:t>
      </w:r>
    </w:p>
    <w:p>
      <w:pPr>
        <w:pStyle w:val="ListNumber"/>
        <w:numPr>
          <w:ilvl w:val="0"/>
          <w:numId w:val="17"/>
        </w:numPr>
      </w:pPr>
      <w:r>
        <w:t>核心资产保全：核心资产和对应债务保留在"核心资产公司"，确保主营业务不受影响。</w:t>
      </w:r>
    </w:p>
    <w:p>
      <w:pPr>
        <w:pStyle w:val="ListNumber"/>
        <w:numPr>
          <w:ilvl w:val="0"/>
          <w:numId w:val="17"/>
        </w:numPr>
      </w:pPr>
      <w:r>
        <w:t>债权人保障：对接受债务切割的债权人提供额外担保（如核心资产公司的股权质押）。</w:t>
      </w:r>
    </w:p>
    <w:p>
      <w:pPr>
        <w:spacing w:before="80" w:after="80"/>
        <w:ind w:firstLine="0"/>
        <w:pBdr>
          <w:bottom w:val="single" w:sz="6" w:space="0" w:color="808080"/>
        </w:pBdr>
      </w:pPr>
    </w:p>
    <w:p>
      <w:pPr>
        <w:pStyle w:val="Heading2"/>
      </w:pPr>
      <w:r>
        <w:t>第五部分：行业趋势与个人能力建设</w:t>
      </w:r>
    </w:p>
    <w:p>
      <w:pPr>
        <w:pStyle w:val="Heading3"/>
      </w:pPr>
      <w:r>
        <w:t>5.1 不良资产行业趋势：从"捡破烂"到"投行化"</w:t>
      </w:r>
    </w:p>
    <w:p>
      <w:pPr>
        <w:pStyle w:val="BodyText"/>
      </w:pPr>
      <w:r>
        <w:t>本书结语预判了不良资产行业的两大趋势：</w:t>
      </w:r>
    </w:p>
    <w:p>
      <w:pPr>
        <w:pStyle w:val="BodyText"/>
      </w:pPr>
      <w:r>
        <w:rPr>
          <w:b/>
        </w:rPr>
        <w:t>趋势一：对公业务投行化转型</w:t>
      </w:r>
    </w:p>
    <w:p>
      <w:pPr>
        <w:pStyle w:val="BodyText"/>
      </w:pPr>
      <w:r>
        <w:t>传统的不良资产处置是"收包-催收-转让"的线性模式，未来的趋势是"收购-重组-赋能-退出"的投行化模式。AMC不再仅仅是"清道夫"，而是"产业整合者"——通过收购不良资产获得企业控制权，然后通过注入资金、引入管理团队、优化业务结构，最终实现企业价值提升和退出获利。</w:t>
      </w:r>
    </w:p>
    <w:p>
      <w:pPr>
        <w:pStyle w:val="BodyText"/>
      </w:pPr>
      <w:r>
        <w:rPr>
          <w:b/>
        </w:rPr>
        <w:t>趋势二：个贷业务数字化赋能</w:t>
      </w:r>
    </w:p>
    <w:p>
      <w:pPr>
        <w:pStyle w:val="BodyText"/>
      </w:pPr>
      <w:r>
        <w:t>随着个人不良贷款规模快速增长，传统的"人工催收"模式已无法应对海量个贷不良资产。未来的趋势是数字化赋能——通过大数据分析识别还款意愿和还款能力，通过智能催收系统分级分类处置，通过互联网平台批量转让个贷资产包。</w:t>
      </w:r>
    </w:p>
    <w:p>
      <w:pPr>
        <w:pStyle w:val="BodyText"/>
      </w:pPr>
      <w:r>
        <w:rPr>
          <w:b/>
        </w:rPr>
        <w:t>企业风险处置的适配趋势：</w:t>
      </w:r>
    </w:p>
    <w:p>
      <w:pPr>
        <w:pStyle w:val="ListBullet"/>
      </w:pPr>
      <w:r>
        <w:rPr>
          <w:b/>
        </w:rPr>
        <w:t>顾问服务投行化</w:t>
      </w:r>
      <w:r>
        <w:t>：风险处置顾问不仅要会写方案，还要懂产业、懂资本运作、懂并购重组。</w:t>
      </w:r>
    </w:p>
    <w:p>
      <w:pPr>
        <w:pStyle w:val="ListBullet"/>
      </w:pPr>
      <w:r>
        <w:rPr>
          <w:b/>
        </w:rPr>
        <w:t>工具数字化</w:t>
      </w:r>
      <w:r>
        <w:t>：利用大数据和AI技术监测风险信号、评估资产价值、优化处置策略。</w:t>
      </w:r>
    </w:p>
    <w:p>
      <w:pPr>
        <w:pStyle w:val="ListBullet"/>
      </w:pPr>
      <w:r>
        <w:rPr>
          <w:b/>
        </w:rPr>
        <w:t>业务综合化</w:t>
      </w:r>
      <w:r>
        <w:t>：从单一的"债务催收"扩展到"企业纾困+产业整合+资本退出"的全链条服务。</w:t>
      </w:r>
    </w:p>
    <w:p>
      <w:pPr>
        <w:pStyle w:val="Heading3"/>
      </w:pPr>
      <w:r>
        <w:t>5.2 个人能力体系建设</w:t>
      </w:r>
    </w:p>
    <w:p>
      <w:pPr>
        <w:pStyle w:val="BodyText"/>
      </w:pPr>
      <w:r>
        <w:t>基于本书的方法论，可以建立风险处置顾问的三层能力体系：</w:t>
      </w:r>
    </w:p>
    <w:p>
      <w:pPr>
        <w:pStyle w:val="BodyText"/>
      </w:pPr>
      <w:r>
        <w:rPr>
          <w:b/>
        </w:rPr>
        <w:t>第一层：认知层（道）</w:t>
      </w:r>
    </w:p>
    <w:p>
      <w:pPr>
        <w:pStyle w:val="ListBullet"/>
      </w:pPr>
      <w:r>
        <w:t>理解不良资产的本质是"被暂时低估的资产"，而非"垃圾"。</w:t>
      </w:r>
    </w:p>
    <w:p>
      <w:pPr>
        <w:pStyle w:val="ListBullet"/>
      </w:pPr>
      <w:r>
        <w:t>理解风险处置的核心不是"消灭风险"，而是"在风险中捕捉价值"。</w:t>
      </w:r>
    </w:p>
    <w:p>
      <w:pPr>
        <w:pStyle w:val="ListBullet"/>
      </w:pPr>
      <w:r>
        <w:t>理解"拖延成本"的指数级增长规律，建立"黄金窗口期"意识。</w:t>
      </w:r>
    </w:p>
    <w:p>
      <w:pPr>
        <w:pStyle w:val="BodyText"/>
      </w:pPr>
      <w:r>
        <w:rPr>
          <w:b/>
        </w:rPr>
        <w:t>第二层：方法层（术）</w:t>
      </w:r>
    </w:p>
    <w:p>
      <w:pPr>
        <w:pStyle w:val="ListBullet"/>
      </w:pPr>
      <w:r>
        <w:t>掌握尽职调查三维度（财务、法律、业务）和估值方法论。</w:t>
      </w:r>
    </w:p>
    <w:p>
      <w:pPr>
        <w:pStyle w:val="ListBullet"/>
      </w:pPr>
      <w:r>
        <w:t>掌握债务重组的五种经典模式（展期、降息、债转股、豁免、以物抵债）。</w:t>
      </w:r>
    </w:p>
    <w:p>
      <w:pPr>
        <w:pStyle w:val="ListBullet"/>
      </w:pPr>
      <w:r>
        <w:t>掌握交易结构设计的核心要素（清偿顺序、清偿比例、清偿方式、担保安排、对赌条款）。</w:t>
      </w:r>
    </w:p>
    <w:p>
      <w:pPr>
        <w:pStyle w:val="ListBullet"/>
      </w:pPr>
      <w:r>
        <w:t>掌握多预案推演方法（最优和解/保守处置/兜底诉讼）。</w:t>
      </w:r>
    </w:p>
    <w:p>
      <w:pPr>
        <w:pStyle w:val="BodyText"/>
      </w:pPr>
      <w:r>
        <w:rPr>
          <w:b/>
        </w:rPr>
        <w:t>第三层：工具层（器）</w:t>
      </w:r>
    </w:p>
    <w:p>
      <w:pPr>
        <w:pStyle w:val="ListBullet"/>
      </w:pPr>
      <w:r>
        <w:t>风险监测仪表盘（Excel/系统工具）。</w:t>
      </w:r>
    </w:p>
    <w:p>
      <w:pPr>
        <w:pStyle w:val="ListBullet"/>
      </w:pPr>
      <w:r>
        <w:t>尽职调查清单模板。</w:t>
      </w:r>
    </w:p>
    <w:p>
      <w:pPr>
        <w:pStyle w:val="ListBullet"/>
      </w:pPr>
      <w:r>
        <w:t>估值测算模型（假设清算法、现金流偿债法）。</w:t>
      </w:r>
    </w:p>
    <w:p>
      <w:pPr>
        <w:pStyle w:val="ListBullet"/>
      </w:pPr>
      <w:r>
        <w:t>债务重组方案书模板。</w:t>
      </w:r>
    </w:p>
    <w:p>
      <w:pPr>
        <w:pStyle w:val="ListBullet"/>
      </w:pPr>
      <w:r>
        <w:t>交易结构设计模板。</w:t>
      </w:r>
    </w:p>
    <w:p>
      <w:pPr>
        <w:pStyle w:val="ListBullet"/>
      </w:pPr>
      <w:r>
        <w:t>案例库归档模板。</w:t>
      </w:r>
    </w:p>
    <w:p>
      <w:pPr>
        <w:pStyle w:val="Heading3"/>
      </w:pPr>
      <w:r>
        <w:t>5.3 结合跨境物流业务场景的落地思考</w:t>
      </w:r>
    </w:p>
    <w:p>
      <w:pPr>
        <w:pStyle w:val="BodyText"/>
      </w:pPr>
      <w:r>
        <w:t>作为在深圳市昆腾电子商务有限公司从事跨境物流相关工作的从业者，本书的方法论对跨境业务场景同样具有高度适配性：</w:t>
      </w:r>
    </w:p>
    <w:p>
      <w:pPr>
        <w:pStyle w:val="BodyText"/>
      </w:pPr>
      <w:r>
        <w:rPr>
          <w:b/>
        </w:rPr>
        <w:t>跨境物流的"不良资产化"风险：</w:t>
      </w:r>
    </w:p>
    <w:p>
      <w:pPr>
        <w:pStyle w:val="ListBullet"/>
      </w:pPr>
      <w:r>
        <w:rPr>
          <w:b/>
        </w:rPr>
        <w:t>应收款"不良化"</w:t>
      </w:r>
      <w:r>
        <w:t>：海外客户逾期付款，账龄超过90天仍未收回。</w:t>
      </w:r>
    </w:p>
    <w:p>
      <w:pPr>
        <w:pStyle w:val="ListBullet"/>
      </w:pPr>
      <w:r>
        <w:rPr>
          <w:b/>
        </w:rPr>
        <w:t>库存"不良化"</w:t>
      </w:r>
      <w:r>
        <w:t>：因目的地国政策变动导致货物无法清关，长期滞留港口。</w:t>
      </w:r>
    </w:p>
    <w:p>
      <w:pPr>
        <w:pStyle w:val="ListBullet"/>
      </w:pPr>
      <w:r>
        <w:rPr>
          <w:b/>
        </w:rPr>
        <w:t>运力"不良化"</w:t>
      </w:r>
      <w:r>
        <w:t>：因航线停飞导致已预付的运费无法兑现，形成预付账款损失。</w:t>
      </w:r>
    </w:p>
    <w:p>
      <w:pPr>
        <w:pStyle w:val="ListBullet"/>
      </w:pPr>
      <w:r>
        <w:rPr>
          <w:b/>
        </w:rPr>
        <w:t>合同"不良化"</w:t>
      </w:r>
      <w:r>
        <w:t>：因不可抗力导致长期合同无法履约，面临违约赔偿。</w:t>
      </w:r>
    </w:p>
    <w:p>
      <w:pPr>
        <w:pStyle w:val="BodyText"/>
      </w:pPr>
      <w:r>
        <w:rPr>
          <w:b/>
        </w:rPr>
        <w:t>本书方法论的跨境适配：</w:t>
      </w:r>
    </w:p>
    <w:p>
      <w:pPr>
        <w:pStyle w:val="ListBullet"/>
      </w:pPr>
      <w:r>
        <w:rPr>
          <w:b/>
        </w:rPr>
        <w:t>尽职调查三维度</w:t>
      </w:r>
      <w:r>
        <w:t>：对海外客户进行"反向尽调"——核查其当地信用记录、涉诉情况、经营状况，而非仅凭合同和发票判断。</w:t>
      </w:r>
    </w:p>
    <w:p>
      <w:pPr>
        <w:pStyle w:val="ListBullet"/>
      </w:pPr>
      <w:r>
        <w:rPr>
          <w:b/>
        </w:rPr>
        <w:t>估值方法论</w:t>
      </w:r>
      <w:r>
        <w:t>：对跨境应收款采用"假设清算法"——假设在客户所在国启动催收或诉讼，测算可回收金额。</w:t>
      </w:r>
    </w:p>
    <w:p>
      <w:pPr>
        <w:pStyle w:val="ListBullet"/>
      </w:pPr>
      <w:r>
        <w:rPr>
          <w:b/>
        </w:rPr>
        <w:t>交易结构设计</w:t>
      </w:r>
      <w:r>
        <w:t>：在跨境合同中嵌入"风险触发条款"——如客户付款延迟超过60天，自动启动资产保全程序（如留置货物、申请仲裁）。</w:t>
      </w:r>
    </w:p>
    <w:p>
      <w:pPr>
        <w:pStyle w:val="ListBullet"/>
      </w:pPr>
      <w:r>
        <w:rPr>
          <w:b/>
        </w:rPr>
        <w:t>债务重组思维</w:t>
      </w:r>
      <w:r>
        <w:t>：当海外客户提出延期付款时，不要简单拒绝或接受，而是按照本书的债务重组方法论设计结构化方案（分期+抵押+对赌）。</w:t>
      </w:r>
    </w:p>
    <w:p>
      <w:pPr>
        <w:spacing w:before="80" w:after="80"/>
        <w:ind w:firstLine="0"/>
        <w:pBdr>
          <w:bottom w:val="single" w:sz="6" w:space="0" w:color="808080"/>
        </w:pBdr>
      </w:pPr>
    </w:p>
    <w:p>
      <w:pPr>
        <w:pStyle w:val="Heading2"/>
      </w:pPr>
      <w:r>
        <w:t>结论</w:t>
      </w:r>
    </w:p>
    <w:p>
      <w:pPr>
        <w:pStyle w:val="BodyText"/>
      </w:pPr>
      <w:r>
        <w:t>《掘金：不良资产经营与金融风险化解实操精要》是一本兼具理论深度与实操价值的行业指南。全书791页，从行业生态、尽调估值、个贷业务、对公业务到趋势预判，构建了一套完整的不良资产处置方法论体系。</w:t>
      </w:r>
    </w:p>
    <w:p>
      <w:pPr>
        <w:pStyle w:val="BodyText"/>
      </w:pPr>
      <w:r>
        <w:t>对个人学习者而言，本书最大的价值在于：</w:t>
      </w:r>
      <w:r>
        <w:rPr>
          <w:b/>
        </w:rPr>
        <w:t>将不良资产行业的专业方法论降维适配到企业微观风险处置场景</w:t>
      </w:r>
      <w:r>
        <w:t>。书中提炼的尽职调查框架、估值方法论、债务重组模式、交易结构设计要点，完全可以转化为风险处置顾问的实操工具箱。</w:t>
      </w:r>
    </w:p>
    <w:p>
      <w:pPr>
        <w:pStyle w:val="BodyText"/>
      </w:pPr>
      <w:r>
        <w:t>核心启示有三：</w:t>
      </w:r>
    </w:p>
    <w:p>
      <w:pPr>
        <w:pStyle w:val="BodyText"/>
      </w:pPr>
      <w:r>
        <w:rPr>
          <w:b/>
        </w:rPr>
        <w:t>第一，风险处置不是"应急反应"，而是"体系化工程"</w:t>
      </w:r>
      <w:r>
        <w:t>。从风险识别、等级划分、方案设计、谈判执行到复盘归档，每个环节都有标准化的方法论和可复用的模板。</w:t>
      </w:r>
    </w:p>
    <w:p>
      <w:pPr>
        <w:pStyle w:val="BodyText"/>
      </w:pPr>
      <w:r>
        <w:rPr>
          <w:b/>
        </w:rPr>
        <w:t>第二，拖延是最大的成本</w:t>
      </w:r>
      <w:r>
        <w:t>。无论是金融系统的不良资产还是企业的逾期应收款，拖延处置都会导致成本指数级上升、可选方案急剧减少。</w:t>
      </w:r>
    </w:p>
    <w:p>
      <w:pPr>
        <w:pStyle w:val="BodyText"/>
      </w:pPr>
      <w:r>
        <w:rPr>
          <w:b/>
        </w:rPr>
        <w:t>第三，价值发现是核心能力</w:t>
      </w:r>
      <w:r>
        <w:t>。不良资产行业的本质是"在垃圾中找黄金"，风险处置顾问的本质也是"在危机中找机会"——通过专业的尽调查清真相、通过合理的估值找到基准、通过精巧的交易结构设计双赢方案。</w:t>
      </w:r>
    </w:p>
    <w:p>
      <w:pPr>
        <w:pStyle w:val="BodyText"/>
      </w:pPr>
      <w:r>
        <w:t>正如本书书名所言——"掘金"，不良资产不是"废墟"，而是"被掩埋的矿藏"。对于风险处置顾问而言，每一次成功的风险化解，都是一次"掘金"的过程。</w:t>
      </w:r>
    </w:p>
    <w:p>
      <w:pPr>
        <w:spacing w:before="80" w:after="80"/>
        <w:ind w:firstLine="0"/>
        <w:pBdr>
          <w:bottom w:val="single" w:sz="6" w:space="0" w:color="808080"/>
        </w:pBdr>
      </w:pPr>
    </w:p>
    <w:p>
      <w:pPr>
        <w:pStyle w:val="BodyText"/>
      </w:pPr>
      <w:r>
        <w:rPr>
          <w:b/>
        </w:rPr>
        <w:t>附：推荐阅读顺序建议</w:t>
      </w:r>
    </w:p>
    <w:p>
      <w:pPr>
        <w:pStyle w:val="ListNumber"/>
        <w:numPr>
          <w:ilvl w:val="0"/>
          <w:numId w:val="18"/>
        </w:numPr>
      </w:pPr>
      <w:r>
        <w:t>先通读本书第一章（行业全景）和结语（趋势预判），建立整体认知框架。</w:t>
      </w:r>
    </w:p>
    <w:p>
      <w:pPr>
        <w:pStyle w:val="ListNumber"/>
        <w:numPr>
          <w:ilvl w:val="0"/>
          <w:numId w:val="18"/>
        </w:numPr>
      </w:pPr>
      <w:r>
        <w:t>再精读第二章（尽调估值流程），掌握实操方法论。</w:t>
      </w:r>
    </w:p>
    <w:p>
      <w:pPr>
        <w:pStyle w:val="ListNumber"/>
        <w:numPr>
          <w:ilvl w:val="0"/>
          <w:numId w:val="18"/>
        </w:numPr>
      </w:pPr>
      <w:r>
        <w:t>最后研读第三章和第四章的案例部分，建立"交易结构"的直觉。</w:t>
      </w:r>
    </w:p>
    <w:p>
      <w:pPr>
        <w:pStyle w:val="ListNumber"/>
        <w:numPr>
          <w:ilvl w:val="0"/>
          <w:numId w:val="18"/>
        </w:numPr>
      </w:pPr>
      <w:r>
        <w:t>结合个人业务场景，输出至少3篇"企业债务纾困方案书"作为实操训练。</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Arial" w:hAnsi="Arial"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ind w:firstLine="0"/>
      <w:jc w:val="center"/>
      <w:outlineLvl w:val="0"/>
    </w:pPr>
    <w:rPr>
      <w:rFonts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cstheme="majorBidi" w:ascii="Arial" w:hAnsi="Arial"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ind w:firstLine="0"/>
      <w:outlineLvl w:val="4"/>
    </w:pPr>
    <w:rPr>
      <w:rFonts w:cstheme="majorBidi" w:ascii="Arial" w:hAnsi="Arial" w:eastAsia="黑体"/>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ind w:firstLine="0"/>
      <w:outlineLvl w:val="5"/>
    </w:pPr>
    <w:rPr>
      <w:rFonts w:cstheme="majorBidi" w:ascii="Arial" w:hAnsi="Arial" w:eastAsia="黑体"/>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center"/>
    </w:pPr>
    <w:rPr>
      <w:rFonts w:cstheme="majorBidi" w:ascii="Arial" w:hAnsi="Arial" w:eastAsia="黑体"/>
      <w:b/>
      <w:color w:val="000000"/>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420"/>
    </w:pPr>
    <w:rPr>
      <w:rFonts w:ascii="Arial" w:hAnsi="Arial" w:eastAsia="宋体"/>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宋体"/>
      <w:color w:val="000000"/>
      <w:sz w:val="21"/>
    </w:rPr>
  </w:style>
  <w:style w:type="paragraph" w:styleId="ListBullet2">
    <w:name w:val="List Bullet 2"/>
    <w:basedOn w:val="Normal"/>
    <w:uiPriority w:val="99"/>
    <w:unhideWhenUsed/>
    <w:rsid w:val="00326F90"/>
    <w:pPr>
      <w:numPr>
        <w:numId w:val="2"/>
      </w:numPr>
      <w:contextualSpacing/>
    </w:pPr>
    <w:rPr>
      <w:rFonts w:ascii="Arial" w:hAnsi="Arial" w:eastAsia="宋体"/>
      <w:color w:val="000000"/>
      <w:sz w:val="21"/>
    </w:rPr>
  </w:style>
  <w:style w:type="paragraph" w:styleId="ListBullet3">
    <w:name w:val="List Bullet 3"/>
    <w:basedOn w:val="Normal"/>
    <w:uiPriority w:val="99"/>
    <w:unhideWhenUsed/>
    <w:rsid w:val="00326F90"/>
    <w:pPr>
      <w:numPr>
        <w:numId w:val="3"/>
      </w:numPr>
      <w:contextualSpacing/>
    </w:pPr>
    <w:rPr>
      <w:rFonts w:ascii="Arial" w:hAnsi="Arial" w:eastAsia="宋体"/>
      <w:color w:val="000000"/>
      <w:sz w:val="21"/>
    </w:rPr>
  </w:style>
  <w:style w:type="paragraph" w:styleId="ListNumber">
    <w:name w:val="List Number"/>
    <w:basedOn w:val="Normal"/>
    <w:uiPriority w:val="99"/>
    <w:unhideWhenUsed/>
    <w:rsid w:val="00326F90"/>
    <w:pPr>
      <w:numPr>
        <w:numId w:val="5"/>
      </w:numPr>
      <w:contextualSpacing/>
    </w:pPr>
    <w:rPr>
      <w:rFonts w:ascii="Arial" w:hAnsi="Arial" w:eastAsia="宋体"/>
      <w:color w:val="000000"/>
      <w:sz w:val="21"/>
    </w:rPr>
  </w:style>
  <w:style w:type="paragraph" w:styleId="ListNumber2">
    <w:name w:val="List Number 2"/>
    <w:basedOn w:val="Normal"/>
    <w:uiPriority w:val="99"/>
    <w:unhideWhenUsed/>
    <w:rsid w:val="0029639D"/>
    <w:pPr>
      <w:numPr>
        <w:numId w:val="6"/>
      </w:numPr>
      <w:contextualSpacing/>
    </w:pPr>
    <w:rPr>
      <w:rFonts w:ascii="Arial" w:hAnsi="Arial" w:eastAsia="宋体"/>
      <w:color w:val="000000"/>
      <w:sz w:val="21"/>
    </w:rPr>
  </w:style>
  <w:style w:type="paragraph" w:styleId="ListNumber3">
    <w:name w:val="List Number 3"/>
    <w:basedOn w:val="Normal"/>
    <w:uiPriority w:val="99"/>
    <w:unhideWhenUsed/>
    <w:rsid w:val="0029639D"/>
    <w:pPr>
      <w:numPr>
        <w:numId w:val="7"/>
      </w:numPr>
      <w:contextualSpacing/>
    </w:pPr>
    <w:rPr>
      <w:rFonts w:ascii="Arial" w:hAnsi="Arial" w:eastAsia="宋体"/>
      <w:color w:val="000000"/>
      <w:sz w:val="21"/>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宋体"/>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《掘金：不良资产经营与金融风险化解实操精要》读书报告</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"2461b5b5-7ece-4a17-b0d8-dbbcfb569cf2", "ReservedCode1": "72dafc97cd38b92e5f3d5cdfd0dfbbe6", "ContentPropagator": "001191110000802100433B11010001191110000802100433B11010", "PropagateID": "4dd54e4a-5be9-4a2d-9e59-b3c181df42f2", "ReservedCode2": "2734827274df537123a472bf4de01eb5"}</vt:lpwstr>
  </property>
</Properties>
</file>