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《重大决策社会稳定风险评估指南：理论·方法·案例》读书报告</w:t>
      </w:r>
    </w:p>
    <w:p>
      <w:pPr>
        <w:sectPr>
          <w:pgSz w:w="11906" w:h="16838"/>
          <w:pgMar w:top="1417" w:right="1417" w:bottom="1134" w:left="1417" w:header="720" w:footer="720" w:gutter="0"/>
          <w:cols w:space="720" w:num="1"/>
          <w:vAlign w:val="center"/>
          <w:docGrid w:linePitch="360"/>
        </w:sectPr>
      </w:pPr>
    </w:p>
    <w:p>
      <w:pPr>
        <w:pStyle w:val="TOCHeading"/>
        <w:jc w:val="center"/>
      </w:pPr>
      <w:r>
        <w:t>目录</w:t>
      </w:r>
    </w:p>
    <w:p>
      <w:pPr>
        <w:spacing w:after="40"/>
        <w:ind w:left="0" w:firstLine="0"/>
      </w:pPr>
      <w:r>
        <w:rPr>
          <w:b/>
        </w:rPr>
        <w:t>《重大决策社会稳定风险评估指南：理论·方法·案例》读书报告</w:t>
      </w:r>
    </w:p>
    <w:p>
      <w:pPr>
        <w:spacing w:after="40"/>
        <w:ind w:left="360" w:firstLine="0"/>
      </w:pPr>
      <w:r>
        <w:rPr>
          <w:b w:val="0"/>
        </w:rPr>
        <w:t>摘要</w:t>
      </w:r>
    </w:p>
    <w:p>
      <w:pPr>
        <w:spacing w:after="40"/>
        <w:ind w:left="360" w:firstLine="0"/>
      </w:pPr>
      <w:r>
        <w:rPr>
          <w:b w:val="0"/>
        </w:rPr>
        <w:t>第一部分：社会稳定风险评估的制度框架与核心认知</w:t>
      </w:r>
    </w:p>
    <w:p>
      <w:pPr>
        <w:spacing w:after="40"/>
        <w:ind w:left="360" w:firstLine="0"/>
      </w:pPr>
      <w:r>
        <w:rPr>
          <w:b w:val="0"/>
        </w:rPr>
        <w:t>第二部分：标准化风险识别方法</w:t>
      </w:r>
    </w:p>
    <w:p>
      <w:pPr>
        <w:spacing w:after="40"/>
        <w:ind w:left="360" w:firstLine="0"/>
      </w:pPr>
      <w:r>
        <w:rPr>
          <w:b w:val="0"/>
        </w:rPr>
        <w:t>第三部分：风险评级体系</w:t>
      </w:r>
    </w:p>
    <w:p>
      <w:pPr>
        <w:spacing w:after="40"/>
        <w:ind w:left="360" w:firstLine="0"/>
      </w:pPr>
      <w:r>
        <w:rPr>
          <w:b w:val="0"/>
        </w:rPr>
        <w:t>第四部分：风险评估流程的标准化</w:t>
      </w:r>
    </w:p>
    <w:p>
      <w:pPr>
        <w:spacing w:after="40"/>
        <w:ind w:left="360" w:firstLine="0"/>
      </w:pPr>
      <w:r>
        <w:rPr>
          <w:b w:val="0"/>
        </w:rPr>
        <w:t>第五部分：风险处置与应对流程</w:t>
      </w:r>
    </w:p>
    <w:p>
      <w:pPr>
        <w:spacing w:after="40"/>
        <w:ind w:left="360" w:firstLine="0"/>
      </w:pPr>
      <w:r>
        <w:rPr>
          <w:b w:val="0"/>
        </w:rPr>
        <w:t>第六部分：企业微观适配——重大项目、合作与投资的风险处置应用</w:t>
      </w:r>
    </w:p>
    <w:p>
      <w:pPr>
        <w:spacing w:after="40"/>
        <w:ind w:left="360" w:firstLine="0"/>
      </w:pPr>
      <w:r>
        <w:rPr>
          <w:b w:val="0"/>
        </w:rPr>
        <w:t>结论</w:t>
      </w:r>
    </w:p>
    <w:p>
      <w:pPr>
        <w:sectPr>
          <w:pgSz w:w="11906" w:h="16838"/>
          <w:pgMar w:top="1417" w:right="1417" w:bottom="1134" w:left="1417" w:header="720" w:footer="720" w:gutter="0"/>
          <w:cols w:space="720" w:num="1"/>
          <w:vAlign w:val="top"/>
          <w:docGrid w:linePitch="360"/>
        </w:sectPr>
      </w:pPr>
    </w:p>
    <w:p>
      <w:pPr>
        <w:pStyle w:val="Heading1"/>
        <w:pageBreakBefore w:val="0"/>
      </w:pPr>
      <w:r>
        <w:t>《重大决策社会稳定风险评估指南：理论·方法·案例》读书报告</w:t>
      </w:r>
    </w:p>
    <w:p>
      <w:pPr>
        <w:pStyle w:val="BodyText"/>
      </w:pPr>
      <w:r>
        <w:rPr>
          <w:b/>
        </w:rPr>
        <w:t>标准化风险识别、评级、评估与处置流程——企业重大项目、合作与投资风险处置方案撰写能力补齐</w:t>
      </w:r>
    </w:p>
    <w:p>
      <w:pPr>
        <w:pStyle w:val="BodyText"/>
      </w:pPr>
      <w:r>
        <w:rPr>
          <w:b/>
        </w:rPr>
        <w:t>报告人：</w:t>
      </w:r>
      <w:r>
        <w:t xml:space="preserve"> 个人学习整理 </w:t>
      </w:r>
      <w:r>
        <w:rPr>
          <w:b/>
        </w:rPr>
        <w:t>日期：</w:t>
      </w:r>
      <w:r>
        <w:t xml:space="preserve"> 2026年9月14日 </w:t>
      </w:r>
      <w:r>
        <w:rPr>
          <w:b/>
        </w:rPr>
        <w:t>书籍信息：</w:t>
      </w:r>
      <w:r>
        <w:t xml:space="preserve"> 《重大决策社会稳定风险评估指南：理论·方法·案例》，孔祥涛主编，中国应急管理学会社会风险评估与治理工作委员会组织编写，法律出版社，2024年4月第1版，ISBN：978-7-5197-8949-7，794页，55.6万字</w:t>
      </w:r>
    </w:p>
    <w:p>
      <w:pPr>
        <w:spacing w:before="80" w:after="80"/>
        <w:ind w:firstLine="0"/>
        <w:pBdr>
          <w:bottom w:val="single" w:sz="6" w:space="0" w:color="808080"/>
        </w:pBdr>
      </w:pPr>
    </w:p>
    <w:p>
      <w:pPr>
        <w:pStyle w:val="Heading2"/>
      </w:pPr>
      <w:r>
        <w:t>摘要</w:t>
      </w:r>
    </w:p>
    <w:p>
      <w:pPr>
        <w:pStyle w:val="BodyText"/>
      </w:pPr>
      <w:r>
        <w:t>本书是中国应急管理学会社会风险评估与治理工作委员会整合国内58名政策、学术、实务领域专家，在科技部国家重点研发计划专项支持下完成的一部系统性指南。全书共十九章，立足重大决策社会稳定风险评估的"五化"建设——科学化、专业化、法治化、社会化、智能化，系统阐述了社会稳定风险评估的中央精神、政策法律、理论方法、程序标准及报告编制规范，并分领域按类别剖析了涉及10个类别32个方面的典型案例。</w:t>
      </w:r>
    </w:p>
    <w:p>
      <w:pPr>
        <w:pStyle w:val="BodyText"/>
      </w:pPr>
      <w:r>
        <w:t>本报告并非简单复述书中内容，而是聚焦于</w:t>
      </w:r>
      <w:r>
        <w:rPr>
          <w:b/>
        </w:rPr>
        <w:t>标准化风险识别、评级、评估流程、处置流程</w:t>
      </w:r>
      <w:r>
        <w:t>四大核心模块，将原书面向政府重大决策的稳评方法论</w:t>
      </w:r>
      <w:r>
        <w:rPr>
          <w:b/>
        </w:rPr>
        <w:t>降维适配到企业微观场景</w:t>
      </w:r>
      <w:r>
        <w:t>——重大项目立项、商业合作谈判、投资决策前的风险处置方案撰写，为个人建立可复用的标准化风险评估与处置能力体系。</w:t>
      </w:r>
    </w:p>
    <w:p>
      <w:pPr>
        <w:spacing w:before="80" w:after="80"/>
        <w:ind w:firstLine="0"/>
        <w:pBdr>
          <w:bottom w:val="single" w:sz="6" w:space="0" w:color="808080"/>
        </w:pBdr>
      </w:pPr>
    </w:p>
    <w:p>
      <w:pPr>
        <w:pStyle w:val="Heading2"/>
      </w:pPr>
      <w:r>
        <w:t>第一部分：社会稳定风险评估的制度框架与核心认知</w:t>
      </w:r>
    </w:p>
    <w:p>
      <w:pPr>
        <w:pStyle w:val="Heading3"/>
      </w:pPr>
      <w:r>
        <w:t>1.1 制度起源与发展脉络</w:t>
      </w:r>
    </w:p>
    <w:p>
      <w:pPr>
        <w:pStyle w:val="BodyText"/>
      </w:pPr>
      <w:r>
        <w:t>社会稳定风险评估（简称"稳评"）制度并非空中楼阁，而是中国社会治理实践中自下而上生长、最终由中央层面制度化的创新成果。本书追溯了这一制度的完整演进路径：</w:t>
      </w:r>
    </w:p>
    <w:p>
      <w:pPr>
        <w:pStyle w:val="BodyText"/>
      </w:pPr>
      <w:r>
        <w:rPr>
          <w:b/>
        </w:rPr>
        <w:t>萌芽期（2005–2011）</w:t>
      </w:r>
      <w:r>
        <w:t>：2005年四川省遂宁市率先在重点建设工程项目中试点社会稳定风险评估，开创了"事前评估、源头预防"的先河。2011年国务院《国有土地房屋征收与补偿条例》首次以行政法规形式将社会稳定风险评估纳入制度性规定，标志着稳评从地方探索走向法定程序。</w:t>
      </w:r>
    </w:p>
    <w:p>
      <w:pPr>
        <w:pStyle w:val="BodyText"/>
      </w:pPr>
      <w:r>
        <w:rPr>
          <w:b/>
        </w:rPr>
        <w:t>制度化期（2012–2019）</w:t>
      </w:r>
      <w:r>
        <w:t>：2012年中共中央办公厅、国务院办公厅印发《关于建立健全重大决策社会稳定风险评估机制的指导意见（试行）》（中办发〔2012〕2号），将稳评机制确立为党政机关重大决策的前置程序。随后，《重大行政决策程序暂行条例》（国务院令第713号）进一步以行政法规形式固化"风险评估"作为重大行政决策五大法定程序之一。</w:t>
      </w:r>
    </w:p>
    <w:p>
      <w:pPr>
        <w:pStyle w:val="BodyText"/>
      </w:pPr>
      <w:r>
        <w:rPr>
          <w:b/>
        </w:rPr>
        <w:t>深化期（2020至今）</w:t>
      </w:r>
      <w:r>
        <w:t>：党的二十大报告明确要求"完善重大决策社会稳定风险评估机制"，党的二十届三中全会进一步将其提升为"健全重大决策社会稳定风险评估机制"，强调科学化、专业化、法治化、社会化、智能化"五化"建设方向。本书正是在这一制度深化背景下编撰而成。</w:t>
      </w:r>
    </w:p>
    <w:p>
      <w:pPr>
        <w:pStyle w:val="BodyText"/>
      </w:pPr>
      <w:r>
        <w:rPr>
          <w:b/>
        </w:rPr>
        <w:t>对个人学习的启示</w:t>
      </w:r>
      <w:r>
        <w:t>：稳评制度的核心逻辑是"先评估、后决策"——任何可能影响利益相关者的重大行动，在启动前必须完成风险扫描、等级判定和应对预案。这一逻辑对企业决策同样适用：企业在启动重大项目、签署重大合同、进行重大投资前，同样需要一套前置风险评估机制，而非事后救火。</w:t>
      </w:r>
    </w:p>
    <w:p>
      <w:pPr>
        <w:pStyle w:val="Heading3"/>
      </w:pPr>
      <w:r>
        <w:t>1.2 "四性评估"框架——稳评的底层逻辑</w:t>
      </w:r>
    </w:p>
    <w:p>
      <w:pPr>
        <w:pStyle w:val="BodyText"/>
      </w:pPr>
      <w:r>
        <w:t>本书提炼的"四性评估"框架是稳评工作的灵魂，也是本书区别于其他风险管理著作的核心标识：</w:t>
      </w:r>
    </w:p>
    <w:p>
      <w:pPr>
        <w:pStyle w:val="BodyText"/>
      </w:pPr>
      <w:r>
        <w:rPr>
          <w:b/>
        </w:rPr>
        <w:t>合法性评估</w:t>
      </w:r>
      <w:r>
        <w:t>：决策事项是否符合党的路线方针政策，是否符合国家法律法规和部门规章，是否符合地方性法规。对企业而言，合法性评估就是"这个项目/合作/投资在法律上站不站得住脚"——合同条款是否违反强制性法律规定，投资标的是否存在权属瑕疵，合作模式是否触碰监管红线。</w:t>
      </w:r>
    </w:p>
    <w:p>
      <w:pPr>
        <w:pStyle w:val="BodyText"/>
      </w:pPr>
      <w:r>
        <w:rPr>
          <w:b/>
        </w:rPr>
        <w:t>合理性评估</w:t>
      </w:r>
      <w:r>
        <w:t>：决策事项是否符合大多数群众的利益，是否兼顾不同群体的合理诉求，是否可能引发社会不公或贫富差距扩大。对企业而言，合理性评估转化为"这个决策在商业伦理和利益分配上是否说得通"——合作条款是否显失公平，定价机制是否合理，是否存在压榨上下游或损害消费者权益的嫌疑。</w:t>
      </w:r>
    </w:p>
    <w:p>
      <w:pPr>
        <w:pStyle w:val="BodyText"/>
      </w:pPr>
      <w:r>
        <w:rPr>
          <w:b/>
        </w:rPr>
        <w:t>可行性评估</w:t>
      </w:r>
      <w:r>
        <w:t>：决策事项是否与本地经济社会发展水平相适应，实施条件是否具备，方案是否经过充分论证，时机是否成熟。对企业而言，可行性评估就是"这个方案能不能落地"——技术路线是否可行，资金是否到位，团队是否有执行力，市场窗口期是否还存在。</w:t>
      </w:r>
    </w:p>
    <w:p>
      <w:pPr>
        <w:pStyle w:val="BodyText"/>
      </w:pPr>
      <w:r>
        <w:rPr>
          <w:b/>
        </w:rPr>
        <w:t>可控性评估</w:t>
      </w:r>
      <w:r>
        <w:t>：决策事项是否存在引发大规模群体性事件的隐患，是否有相应的风险防控预案，是否能够将风险化解在萌芽状态。对企业而言，可控性评估就是"最坏情况下能不能兜得住"——最大亏损是多少，有没有止损线，有没有退出机制，有没有B计划。</w:t>
      </w:r>
    </w:p>
    <w:p>
      <w:pPr>
        <w:pStyle w:val="BodyText"/>
      </w:pPr>
      <w:r>
        <w:rPr>
          <w:b/>
        </w:rPr>
        <w:t>"四性"之间的关系</w:t>
      </w:r>
      <w:r>
        <w:t>：合法性是底线，合理性是民心，可行性是条件，可控性是保障。四个维度缺一不可，共同构成稳评的完整判断框架。对企业决策而言，这四性同样是不可割裂的决策坐标——合法才能做，合理才能久，可行才能成，可控才能安。</w:t>
      </w:r>
    </w:p>
    <w:p>
      <w:pPr>
        <w:pStyle w:val="Heading3"/>
      </w:pPr>
      <w:r>
        <w:t>1.3 五步工作法——稳评的标准化流程</w:t>
      </w:r>
    </w:p>
    <w:p>
      <w:pPr>
        <w:pStyle w:val="BodyText"/>
      </w:pPr>
      <w:r>
        <w:t>本书将稳评流程凝练为"五步工作法"，这是全书最具实操价值的流程框架：</w:t>
      </w:r>
    </w:p>
    <w:p>
      <w:pPr>
        <w:pStyle w:val="BodyText"/>
      </w:pPr>
      <w:r>
        <w:rPr>
          <w:b/>
        </w:rPr>
        <w:t>第一步：风险识别</w:t>
      </w:r>
      <w:r>
        <w:t>——通过资料分析、实地走访、问卷调查、专家咨询、利益相关者分析等方法，全面梳理可能影响社会稳定的因素，建立风险因素清单。</w:t>
      </w:r>
    </w:p>
    <w:p>
      <w:pPr>
        <w:pStyle w:val="BodyText"/>
      </w:pPr>
      <w:r>
        <w:rPr>
          <w:b/>
        </w:rPr>
        <w:t>第二步：风险分析</w:t>
      </w:r>
      <w:r>
        <w:t>——对识别出的风险因素进行定性分析和定量测算，判断风险发生的可能性和影响程度，分析风险产生的根源和传导路径。</w:t>
      </w:r>
    </w:p>
    <w:p>
      <w:pPr>
        <w:pStyle w:val="BodyText"/>
      </w:pPr>
      <w:r>
        <w:rPr>
          <w:b/>
        </w:rPr>
        <w:t>第三步：风险评级</w:t>
      </w:r>
      <w:r>
        <w:t>——根据风险发生概率和影响程度，综合评定风险等级（高风险/中风险/低风险），明确主要风险和次要风险。</w:t>
      </w:r>
    </w:p>
    <w:p>
      <w:pPr>
        <w:pStyle w:val="BodyText"/>
      </w:pPr>
      <w:r>
        <w:rPr>
          <w:b/>
        </w:rPr>
        <w:t>第四步：风险防控</w:t>
      </w:r>
      <w:r>
        <w:t>——针对识别出的中高风险，制定分级分类的防范和化解措施，明确责任主体、时间节点和资源保障。</w:t>
      </w:r>
    </w:p>
    <w:p>
      <w:pPr>
        <w:pStyle w:val="BodyText"/>
      </w:pPr>
      <w:r>
        <w:rPr>
          <w:b/>
        </w:rPr>
        <w:t>第五步：评估备案</w:t>
      </w:r>
      <w:r>
        <w:t>——编制稳评报告，组织专家评审，按规定程序报送备案，建立评估档案。</w:t>
      </w:r>
    </w:p>
    <w:p>
      <w:pPr>
        <w:pStyle w:val="BodyText"/>
      </w:pPr>
      <w:r>
        <w:rPr>
          <w:b/>
        </w:rPr>
        <w:t>企业适配转化</w:t>
      </w:r>
      <w:r>
        <w:t>：五步工作法完全可以平移到企业决策流程中——任何重大项目/合作/投资启动前，先识别风险点（合同陷阱、市场波动、政策变化、合作方资信），再分析概率和影响，再评级决策（红灯停/黄灯慎/绿灯行），再制定防控预案（条款保护、分期投入、对赌机制），最后形成书面评估结论纳入决策档案。</w:t>
      </w:r>
    </w:p>
    <w:p>
      <w:pPr>
        <w:spacing w:before="80" w:after="80"/>
        <w:ind w:firstLine="0"/>
        <w:pBdr>
          <w:bottom w:val="single" w:sz="6" w:space="0" w:color="808080"/>
        </w:pBdr>
      </w:pPr>
    </w:p>
    <w:p>
      <w:pPr>
        <w:pStyle w:val="Heading2"/>
      </w:pPr>
      <w:r>
        <w:t>第二部分：标准化风险识别方法</w:t>
      </w:r>
    </w:p>
    <w:p>
      <w:pPr>
        <w:pStyle w:val="Heading3"/>
      </w:pPr>
      <w:r>
        <w:t>2.1 风险识别的多维度扫描</w:t>
      </w:r>
    </w:p>
    <w:p>
      <w:pPr>
        <w:pStyle w:val="BodyText"/>
      </w:pPr>
      <w:r>
        <w:t>本书提出的风险识别方法强调"多维度、全覆盖、无盲区"，核心方法包括：</w:t>
      </w:r>
    </w:p>
    <w:p>
      <w:pPr>
        <w:pStyle w:val="BodyText"/>
      </w:pPr>
      <w:r>
        <w:rPr>
          <w:b/>
        </w:rPr>
        <w:t>利益相关者分析法</w:t>
      </w:r>
      <w:r>
        <w:t>：识别所有可能受决策影响的群体——直接利益相关者（被征收土地的农民、被拆迁的居民）、间接利益相关者（周边商户、下游产业链）、潜在利益相关者（未来可能受影响的群体）。本书特别强调"利益相关者及其影响权重图谱"的构建，通过量化各群体的影响力、敏感度和组织化程度，精准定位高风险群体。</w:t>
      </w:r>
    </w:p>
    <w:p>
      <w:pPr>
        <w:pStyle w:val="BodyText"/>
      </w:pPr>
      <w:r>
        <w:rPr>
          <w:b/>
        </w:rPr>
        <w:t>对企业适配</w:t>
      </w:r>
      <w:r>
        <w:t>：在商业合作中，利益相关者包括直接合作方、合作方的上下游、终端消费者、监管部门、行业协会、竞争对手。一次合作失败，受损的不只是签约双方，还可能波及整个供应链。风险识别时必须画出完整的"利益链图谱"。</w:t>
      </w:r>
    </w:p>
    <w:p>
      <w:pPr>
        <w:pStyle w:val="BodyText"/>
      </w:pPr>
      <w:r>
        <w:rPr>
          <w:b/>
        </w:rPr>
        <w:t>历史案例类比法</w:t>
      </w:r>
      <w:r>
        <w:t>：通过检索同类决策事项的历史风险案例，预判本项目可能面临的风险类型。本书整理了涉及征地拆迁、环境保护、国企改革、教育医疗、交通建设等10个类别32个方面的典型案例库。</w:t>
      </w:r>
    </w:p>
    <w:p>
      <w:pPr>
        <w:pStyle w:val="BodyText"/>
      </w:pPr>
      <w:r>
        <w:rPr>
          <w:b/>
        </w:rPr>
        <w:t>对企业适配</w:t>
      </w:r>
      <w:r>
        <w:t>：在投资决策中，"历史案例类比"就是研究同行业、同区域、同模式的历史失败案例——某跨境物流企业在某国设仓后遭遇政策突变导致血本无归，那么在该国投资前就必须把"政策突变"列为重点风险项。</w:t>
      </w:r>
    </w:p>
    <w:p>
      <w:pPr>
        <w:pStyle w:val="BodyText"/>
      </w:pPr>
      <w:r>
        <w:rPr>
          <w:b/>
        </w:rPr>
        <w:t>专家咨询法</w:t>
      </w:r>
      <w:r>
        <w:t>：邀请政策、法律、技术、社会学、心理学等多领域专家，对风险因素进行交叉验证。本书强调专家遴选的标准化——专业领域匹配、利益中立、回避制度。</w:t>
      </w:r>
    </w:p>
    <w:p>
      <w:pPr>
        <w:pStyle w:val="BodyText"/>
      </w:pPr>
      <w:r>
        <w:rPr>
          <w:b/>
        </w:rPr>
        <w:t>对社会稳定风险的专门识别</w:t>
      </w:r>
      <w:r>
        <w:t>：本书将社会稳定风险细分为八大类——利益冲突型（征地补偿不公）、权益受损型（环境污染影响健康）、心理失衡型（相对剥夺感）、信任危机型（政府公信力下降）、文化冲突型（民族宗教因素）、网络放大型（谣言传播）、连锁反应型（一个事件引爆多个诉求）、外部输入型（境外势力介入）。</w:t>
      </w:r>
    </w:p>
    <w:p>
      <w:pPr>
        <w:pStyle w:val="Heading3"/>
      </w:pPr>
      <w:r>
        <w:t>2.2 风险因素清单的标准化构建</w:t>
      </w:r>
    </w:p>
    <w:p>
      <w:pPr>
        <w:pStyle w:val="BodyText"/>
      </w:pPr>
      <w:r>
        <w:t>本书提供了风险因素清单的编制规范，核心要素包括：</w:t>
      </w:r>
    </w:p>
    <w:p>
      <w:pPr>
        <w:pStyle w:val="BodyText"/>
      </w:pPr>
      <w:r>
        <w:rPr>
          <w:b/>
        </w:rPr>
        <w:t>风险因素编号与分类</w:t>
      </w:r>
      <w:r>
        <w:t>：每个风险因素赋予唯一编号，按类别归类（经济类/社会类/环境类/法律类/管理类），便于后续统计和追踪。</w:t>
      </w:r>
    </w:p>
    <w:p>
      <w:pPr>
        <w:pStyle w:val="BodyText"/>
      </w:pPr>
      <w:r>
        <w:rPr>
          <w:b/>
        </w:rPr>
        <w:t>风险描述</w:t>
      </w:r>
      <w:r>
        <w:t>：简明描述风险是什么、由什么引起、可能影响谁。</w:t>
      </w:r>
    </w:p>
    <w:p>
      <w:pPr>
        <w:pStyle w:val="BodyText"/>
      </w:pPr>
      <w:r>
        <w:rPr>
          <w:b/>
        </w:rPr>
        <w:t>风险来源</w:t>
      </w:r>
      <w:r>
        <w:t>：明确风险产生的根源——是制度缺陷、信息不对称、利益分配失衡，还是外部冲击。</w:t>
      </w:r>
    </w:p>
    <w:p>
      <w:pPr>
        <w:pStyle w:val="BodyText"/>
      </w:pPr>
      <w:r>
        <w:rPr>
          <w:b/>
        </w:rPr>
        <w:t>影响路径</w:t>
      </w:r>
      <w:r>
        <w:t>：描述风险如何从初始点传导到最终后果（如：补偿标准过低→农民不满→集体上访→媒体曝光→项目停工）。</w:t>
      </w:r>
    </w:p>
    <w:p>
      <w:pPr>
        <w:pStyle w:val="BodyText"/>
      </w:pPr>
      <w:r>
        <w:rPr>
          <w:b/>
        </w:rPr>
        <w:t>历史参考</w:t>
      </w:r>
      <w:r>
        <w:t>：标注是否有类似历史案例，案例的处置结果和经验教训。</w:t>
      </w:r>
    </w:p>
    <w:p>
      <w:pPr>
        <w:pStyle w:val="BodyText"/>
      </w:pPr>
      <w:r>
        <w:rPr>
          <w:b/>
        </w:rPr>
        <w:t>对企业适配——"企业风险因素清单模板"</w:t>
      </w:r>
      <w: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rPr>
          <w:tblHeader w:val="true"/>
        </w:trPr>
        <w:tc>
          <w:tcPr>
            <w:tcW w:type="dxa" w:w="1296"/>
            <w:shd w:val="clear" w:color="auto" w:fill="D6E4F0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编号</w:t>
            </w:r>
          </w:p>
        </w:tc>
        <w:tc>
          <w:tcPr>
            <w:tcW w:type="dxa" w:w="1296"/>
            <w:shd w:val="clear" w:color="auto" w:fill="D6E4F0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风险类别</w:t>
            </w:r>
          </w:p>
        </w:tc>
        <w:tc>
          <w:tcPr>
            <w:tcW w:type="dxa" w:w="1296"/>
            <w:shd w:val="clear" w:color="auto" w:fill="D6E4F0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风险描述</w:t>
            </w:r>
          </w:p>
        </w:tc>
        <w:tc>
          <w:tcPr>
            <w:tcW w:type="dxa" w:w="1296"/>
            <w:shd w:val="clear" w:color="auto" w:fill="D6E4F0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风险来源</w:t>
            </w:r>
          </w:p>
        </w:tc>
        <w:tc>
          <w:tcPr>
            <w:tcW w:type="dxa" w:w="1296"/>
            <w:shd w:val="clear" w:color="auto" w:fill="D6E4F0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影响路径</w:t>
            </w:r>
          </w:p>
        </w:tc>
        <w:tc>
          <w:tcPr>
            <w:tcW w:type="dxa" w:w="1296"/>
            <w:shd w:val="clear" w:color="auto" w:fill="D6E4F0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历史参考</w:t>
            </w:r>
          </w:p>
        </w:tc>
        <w:tc>
          <w:tcPr>
            <w:tcW w:type="dxa" w:w="1296"/>
            <w:shd w:val="clear" w:color="auto" w:fill="D6E4F0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当前状态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R001</w:t>
            </w:r>
          </w:p>
        </w:tc>
        <w:tc>
          <w:tcPr>
            <w:tcW w:type="dxa" w:w="129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法律合规</w:t>
            </w:r>
          </w:p>
        </w:tc>
        <w:tc>
          <w:tcPr>
            <w:tcW w:type="dxa" w:w="129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合同条款违反目的国强制性规定</w:t>
            </w:r>
          </w:p>
        </w:tc>
        <w:tc>
          <w:tcPr>
            <w:tcW w:type="dxa" w:w="129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法务审查不充分</w:t>
            </w:r>
          </w:p>
        </w:tc>
        <w:tc>
          <w:tcPr>
            <w:tcW w:type="dxa" w:w="129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合同无效→无法索赔→损失全部投入</w:t>
            </w:r>
          </w:p>
        </w:tc>
        <w:tc>
          <w:tcPr>
            <w:tcW w:type="dxa" w:w="129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某企业因违反当地劳工法被罚没资产</w:t>
            </w:r>
          </w:p>
        </w:tc>
        <w:tc>
          <w:tcPr>
            <w:tcW w:type="dxa" w:w="129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待核实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R002</w:t>
            </w:r>
          </w:p>
        </w:tc>
        <w:tc>
          <w:tcPr>
            <w:tcW w:type="dxa" w:w="129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市场波动</w:t>
            </w:r>
          </w:p>
        </w:tc>
        <w:tc>
          <w:tcPr>
            <w:tcW w:type="dxa" w:w="129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汇率大幅波动导致成本失控</w:t>
            </w:r>
          </w:p>
        </w:tc>
        <w:tc>
          <w:tcPr>
            <w:tcW w:type="dxa" w:w="129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未锁定汇率</w:t>
            </w:r>
          </w:p>
        </w:tc>
        <w:tc>
          <w:tcPr>
            <w:tcW w:type="dxa" w:w="129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成本上涨30%→项目亏损→资金链断裂</w:t>
            </w:r>
          </w:p>
        </w:tc>
        <w:tc>
          <w:tcPr>
            <w:tcW w:type="dxa" w:w="129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2022年卢布贬值导致多家中国企业亏损</w:t>
            </w:r>
          </w:p>
        </w:tc>
        <w:tc>
          <w:tcPr>
            <w:tcW w:type="dxa" w:w="129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待评估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R003</w:t>
            </w:r>
          </w:p>
        </w:tc>
        <w:tc>
          <w:tcPr>
            <w:tcW w:type="dxa" w:w="129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合作方资信</w:t>
            </w:r>
          </w:p>
        </w:tc>
        <w:tc>
          <w:tcPr>
            <w:tcW w:type="dxa" w:w="129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合作方实际控制人资信不透明</w:t>
            </w:r>
          </w:p>
        </w:tc>
        <w:tc>
          <w:tcPr>
            <w:tcW w:type="dxa" w:w="129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尽调不充分</w:t>
            </w:r>
          </w:p>
        </w:tc>
        <w:tc>
          <w:tcPr>
            <w:tcW w:type="dxa" w:w="129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合作方违约→项目停滞→已投入资金沉没</w:t>
            </w:r>
          </w:p>
        </w:tc>
        <w:tc>
          <w:tcPr>
            <w:tcW w:type="dxa" w:w="129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某物流企业与资信不良承运商合作导致货物被扣押</w:t>
            </w:r>
          </w:p>
        </w:tc>
        <w:tc>
          <w:tcPr>
            <w:tcW w:type="dxa" w:w="129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高风险</w:t>
            </w:r>
          </w:p>
        </w:tc>
      </w:tr>
    </w:tbl>
    <w:p>
      <w:pPr>
        <w:pStyle w:val="Heading3"/>
      </w:pPr>
      <w:r>
        <w:t>2.3 数智化风险识别——大数据与AI的赋能</w:t>
      </w:r>
    </w:p>
    <w:p>
      <w:pPr>
        <w:pStyle w:val="BodyText"/>
      </w:pPr>
      <w:r>
        <w:t>本书专章探讨了数智化赋能稳评的前沿方向，这也是本书区别于传统稳评教材的亮点之一：</w:t>
      </w:r>
    </w:p>
    <w:p>
      <w:pPr>
        <w:pStyle w:val="BodyText"/>
      </w:pPr>
      <w:r>
        <w:rPr>
          <w:b/>
        </w:rPr>
        <w:t>网络舆情监测</w:t>
      </w:r>
      <w:r>
        <w:t>：通过爬虫技术和自然语言处理，实时抓取社交媒体、论坛、新闻评论区中与本项目相关的舆情信息，识别负面情绪聚集点和谣言传播路径。</w:t>
      </w:r>
    </w:p>
    <w:p>
      <w:pPr>
        <w:pStyle w:val="BodyText"/>
      </w:pPr>
      <w:r>
        <w:rPr>
          <w:b/>
        </w:rPr>
        <w:t>对企业适配</w:t>
      </w:r>
      <w:r>
        <w:t>：在启动海外项目前，监测目的国社交媒体上关于中国企业、该行业的舆情态度，可以提前发现潜在的民族情绪、政治敏感点。</w:t>
      </w:r>
    </w:p>
    <w:p>
      <w:pPr>
        <w:pStyle w:val="BodyText"/>
      </w:pPr>
      <w:r>
        <w:rPr>
          <w:b/>
        </w:rPr>
        <w:t>空间-时间双因素分析法</w:t>
      </w:r>
      <w:r>
        <w:t>：将风险因素在地理空间和时间维度上进行叠加分析，识别"高风险时空节点"。例如：在项目征地范围内，某一村庄在农忙季节的组织化程度高、情绪易激化，就是高风险时空节点。</w:t>
      </w:r>
    </w:p>
    <w:p>
      <w:pPr>
        <w:pStyle w:val="BodyText"/>
      </w:pPr>
      <w:r>
        <w:rPr>
          <w:b/>
        </w:rPr>
        <w:t>对企业适配</w:t>
      </w:r>
      <w:r>
        <w:t>：在跨境物流中，"空间-时间双因素"可转化为"航线-季节双因素"——某条航线在台风季的风险、某个港口在节假日的拥堵风险、某个国家在大选前后的政策不稳定风险。</w:t>
      </w:r>
    </w:p>
    <w:p>
      <w:pPr>
        <w:spacing w:before="80" w:after="80"/>
        <w:ind w:firstLine="0"/>
        <w:pBdr>
          <w:bottom w:val="single" w:sz="6" w:space="0" w:color="808080"/>
        </w:pBdr>
      </w:pPr>
    </w:p>
    <w:p>
      <w:pPr>
        <w:pStyle w:val="Heading2"/>
      </w:pPr>
      <w:r>
        <w:t>第三部分：风险评级体系</w:t>
      </w:r>
    </w:p>
    <w:p>
      <w:pPr>
        <w:pStyle w:val="Heading3"/>
      </w:pPr>
      <w:r>
        <w:t>3.1 风险等级的三级划分</w:t>
      </w:r>
    </w:p>
    <w:p>
      <w:pPr>
        <w:pStyle w:val="BodyText"/>
      </w:pPr>
      <w:r>
        <w:t>本书明确将社会稳定风险划分为三个等级：</w:t>
      </w:r>
    </w:p>
    <w:p>
      <w:pPr>
        <w:pStyle w:val="BodyText"/>
      </w:pPr>
      <w:r>
        <w:rPr>
          <w:b/>
        </w:rPr>
        <w:t>高风险（红色）</w:t>
      </w:r>
      <w:r>
        <w:t>：风险发生概率高、影响程度大，可能引发大规模群体性事件或重大社会冲突，需要暂停决策或重大调整方案。对应企业的"红灯"——项目必须暂停，重新设计。</w:t>
      </w:r>
    </w:p>
    <w:p>
      <w:pPr>
        <w:pStyle w:val="BodyText"/>
      </w:pPr>
      <w:r>
        <w:rPr>
          <w:b/>
        </w:rPr>
        <w:t>中风险（黄色）</w:t>
      </w:r>
      <w:r>
        <w:t>：风险发生概率中等、影响程度中等，可能引发局部矛盾或个体抗争，需要在实施过程中加强监测和防控。对应企业的"黄灯"——项目可以推进，但必须附加严格的风控条件。</w:t>
      </w:r>
    </w:p>
    <w:p>
      <w:pPr>
        <w:pStyle w:val="BodyText"/>
      </w:pPr>
      <w:r>
        <w:rPr>
          <w:b/>
        </w:rPr>
        <w:t>低风险（绿色）</w:t>
      </w:r>
      <w:r>
        <w:t>：风险发生概率低、影响程度小，可控性强，可以正常推进。对应企业的"绿灯"——项目可以实施，但仍需常规监测。</w:t>
      </w:r>
    </w:p>
    <w:p>
      <w:pPr>
        <w:pStyle w:val="Heading3"/>
      </w:pPr>
      <w:r>
        <w:t>3.2 风险评估矩阵</w:t>
      </w:r>
    </w:p>
    <w:p>
      <w:pPr>
        <w:pStyle w:val="BodyText"/>
      </w:pPr>
      <w:r>
        <w:t>本书提供了标准化的风险评估矩阵，将风险发生概率（高/中/低）与影响程度（严重/较大/一般/轻微）进行二维交叉，得出综合风险等级：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1814"/>
            <w:shd w:val="clear" w:color="auto" w:fill="D6E4F0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概率\影响</w:t>
            </w:r>
          </w:p>
        </w:tc>
        <w:tc>
          <w:tcPr>
            <w:tcW w:type="dxa" w:w="1814"/>
            <w:shd w:val="clear" w:color="auto" w:fill="D6E4F0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严重</w:t>
            </w:r>
          </w:p>
        </w:tc>
        <w:tc>
          <w:tcPr>
            <w:tcW w:type="dxa" w:w="1814"/>
            <w:shd w:val="clear" w:color="auto" w:fill="D6E4F0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较大</w:t>
            </w:r>
          </w:p>
        </w:tc>
        <w:tc>
          <w:tcPr>
            <w:tcW w:type="dxa" w:w="1814"/>
            <w:shd w:val="clear" w:color="auto" w:fill="D6E4F0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一般</w:t>
            </w:r>
          </w:p>
        </w:tc>
        <w:tc>
          <w:tcPr>
            <w:tcW w:type="dxa" w:w="1814"/>
            <w:shd w:val="clear" w:color="auto" w:fill="D6E4F0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轻微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高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高风险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高风险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中风险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中风险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中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高风险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中风险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中风险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低风险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低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中风险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中风险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低风险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低风险</w:t>
            </w:r>
          </w:p>
        </w:tc>
      </w:tr>
    </w:tbl>
    <w:p>
      <w:pPr>
        <w:pStyle w:val="BodyText"/>
      </w:pPr>
      <w:r>
        <w:rPr>
          <w:b/>
        </w:rPr>
        <w:t>企业适配——投资决策风险评估矩阵示例</w:t>
      </w:r>
      <w: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1814"/>
            <w:shd w:val="clear" w:color="auto" w:fill="D6E4F0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风险因素</w:t>
            </w:r>
          </w:p>
        </w:tc>
        <w:tc>
          <w:tcPr>
            <w:tcW w:type="dxa" w:w="1814"/>
            <w:shd w:val="clear" w:color="auto" w:fill="D6E4F0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概率</w:t>
            </w:r>
          </w:p>
        </w:tc>
        <w:tc>
          <w:tcPr>
            <w:tcW w:type="dxa" w:w="1814"/>
            <w:shd w:val="clear" w:color="auto" w:fill="D6E4F0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影响</w:t>
            </w:r>
          </w:p>
        </w:tc>
        <w:tc>
          <w:tcPr>
            <w:tcW w:type="dxa" w:w="1814"/>
            <w:shd w:val="clear" w:color="auto" w:fill="D6E4F0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等级</w:t>
            </w:r>
          </w:p>
        </w:tc>
        <w:tc>
          <w:tcPr>
            <w:tcW w:type="dxa" w:w="1814"/>
            <w:shd w:val="clear" w:color="auto" w:fill="D6E4F0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说明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目的国政治动荡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中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严重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高风险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政权更迭可能导致已签署协议失效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汇率波动10%以上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高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较大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高风险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跨境业务利润对汇率高度敏感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核心客户流失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低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严重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中风险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单一客户占比过高，但合同期较长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环保标准提高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中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一般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中风险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可能增加合规成本，但不致项目失败</w:t>
            </w:r>
          </w:p>
        </w:tc>
      </w:tr>
    </w:tbl>
    <w:p>
      <w:pPr>
        <w:pStyle w:val="Heading3"/>
      </w:pPr>
      <w:r>
        <w:t>3.3 "一票否决"机制</w:t>
      </w:r>
    </w:p>
    <w:p>
      <w:pPr>
        <w:pStyle w:val="BodyText"/>
      </w:pPr>
      <w:r>
        <w:t>本书介绍了部分地区在稳评中实行的"一票否决"制度——如果存在某些特定的高风险因素（如涉及民族宗教敏感问题、可能引发大规模伤亡事故、可能造成重大环境污染等），无论其他维度评估结果如何，直接评定为高风险，决策必须暂停或调整。</w:t>
      </w:r>
    </w:p>
    <w:p>
      <w:pPr>
        <w:pStyle w:val="BodyText"/>
      </w:pPr>
      <w:r>
        <w:rPr>
          <w:b/>
        </w:rPr>
        <w:t>企业适配——商业决策的"一票否决"清单</w:t>
      </w:r>
      <w:r>
        <w:t>：</w:t>
      </w:r>
    </w:p>
    <w:p>
      <w:pPr>
        <w:pStyle w:val="BodyText"/>
      </w:pPr>
      <w:r>
        <w:t>每个企业应根据自身业务特点，建立自己的"一票否决"风险清单。例如，对于跨境物流企业：</w:t>
      </w:r>
    </w:p>
    <w:p>
      <w:pPr>
        <w:pStyle w:val="ListBullet"/>
      </w:pPr>
      <w:r>
        <w:t>合作方涉及国际制裁名单</w:t>
      </w:r>
    </w:p>
    <w:p>
      <w:pPr>
        <w:pStyle w:val="ListBullet"/>
      </w:pPr>
      <w:r>
        <w:t>目的国处于战争状态或国际禁运</w:t>
      </w:r>
    </w:p>
    <w:p>
      <w:pPr>
        <w:pStyle w:val="ListBullet"/>
      </w:pPr>
      <w:r>
        <w:t>核心合同条款违反中国或目的国强制性法律</w:t>
      </w:r>
    </w:p>
    <w:p>
      <w:pPr>
        <w:pStyle w:val="ListBullet"/>
      </w:pPr>
      <w:r>
        <w:t>投资标的权属存在重大法律瑕疵</w:t>
      </w:r>
    </w:p>
    <w:p>
      <w:pPr>
        <w:pStyle w:val="ListBullet"/>
      </w:pPr>
      <w:r>
        <w:t>合作方实际控制人存在重大失信记录或刑事犯罪记录</w:t>
      </w:r>
    </w:p>
    <w:p>
      <w:pPr>
        <w:pStyle w:val="BodyText"/>
      </w:pPr>
      <w:r>
        <w:t>一旦触发"一票否决"项，决策应立即终止，无需进入完整的评估流程。</w:t>
      </w:r>
    </w:p>
    <w:p>
      <w:pPr>
        <w:pStyle w:val="Heading3"/>
      </w:pPr>
      <w:r>
        <w:t>3.4 动态风险等级调整</w:t>
      </w:r>
    </w:p>
    <w:p>
      <w:pPr>
        <w:pStyle w:val="BodyText"/>
      </w:pPr>
      <w:r>
        <w:t>本书强调风险评估不是"一评定终身"，而是动态调整的过程。在决策实施前、实施中、实施后三个阶段，风险等级可能发生变化，需要建立跟踪监测和动态调整机制。</w:t>
      </w:r>
    </w:p>
    <w:p>
      <w:pPr>
        <w:pStyle w:val="BodyText"/>
      </w:pPr>
      <w:r>
        <w:rPr>
          <w:b/>
        </w:rPr>
        <w:t>企业适配——项目全生命周期风险监测</w:t>
      </w:r>
      <w:r>
        <w:t>：</w:t>
      </w:r>
    </w:p>
    <w:p>
      <w:pPr>
        <w:pStyle w:val="ListBullet"/>
      </w:pPr>
      <w:r>
        <w:rPr>
          <w:b/>
        </w:rPr>
        <w:t>决策前</w:t>
      </w:r>
      <w:r>
        <w:t>：初步评估，确定是否进入尽职调查</w:t>
      </w:r>
    </w:p>
    <w:p>
      <w:pPr>
        <w:pStyle w:val="ListBullet"/>
      </w:pPr>
      <w:r>
        <w:rPr>
          <w:b/>
        </w:rPr>
        <w:t>签约前</w:t>
      </w:r>
      <w:r>
        <w:t>：深度评估，确定合同条款保护机制</w:t>
      </w:r>
    </w:p>
    <w:p>
      <w:pPr>
        <w:pStyle w:val="ListBullet"/>
      </w:pPr>
      <w:r>
        <w:rPr>
          <w:b/>
        </w:rPr>
        <w:t>执行中</w:t>
      </w:r>
      <w:r>
        <w:t>：月度/季度复盘，监测风险因素变化</w:t>
      </w:r>
    </w:p>
    <w:p>
      <w:pPr>
        <w:pStyle w:val="ListBullet"/>
      </w:pPr>
      <w:r>
        <w:rPr>
          <w:b/>
        </w:rPr>
        <w:t>收尾后</w:t>
      </w:r>
      <w:r>
        <w:t>：后评估，总结经验教训，更新风险数据库</w:t>
      </w:r>
    </w:p>
    <w:p>
      <w:pPr>
        <w:spacing w:before="80" w:after="80"/>
        <w:ind w:firstLine="0"/>
        <w:pBdr>
          <w:bottom w:val="single" w:sz="6" w:space="0" w:color="808080"/>
        </w:pBdr>
      </w:pPr>
    </w:p>
    <w:p>
      <w:pPr>
        <w:pStyle w:val="Heading2"/>
      </w:pPr>
      <w:r>
        <w:t>第四部分：风险评估流程的标准化</w:t>
      </w:r>
    </w:p>
    <w:p>
      <w:pPr>
        <w:pStyle w:val="Heading3"/>
      </w:pPr>
      <w:r>
        <w:t>4.1 评估程序的标准化步骤</w:t>
      </w:r>
    </w:p>
    <w:p>
      <w:pPr>
        <w:pStyle w:val="BodyText"/>
      </w:pPr>
      <w:r>
        <w:t>本书将稳评程序细化为八个标准化步骤，每一步都有明确的输入、工具、输出和质量要求：</w:t>
      </w:r>
    </w:p>
    <w:p>
      <w:pPr>
        <w:pStyle w:val="BodyText"/>
      </w:pPr>
      <w:r>
        <w:rPr>
          <w:b/>
        </w:rPr>
        <w:t>步骤一：确定评估事项</w:t>
      </w:r>
      <w:r>
        <w:t>——明确评估对象、评估范围、评估时限，编制评估工作方案。</w:t>
      </w:r>
    </w:p>
    <w:p>
      <w:pPr>
        <w:pStyle w:val="BodyText"/>
      </w:pPr>
      <w:r>
        <w:rPr>
          <w:b/>
        </w:rPr>
        <w:t>步骤二：成立评估小组</w:t>
      </w:r>
      <w:r>
        <w:t>——明确评估责任主体和技术主体，组建跨部门、跨专业的评估团队，建立回避制度和保密制度。</w:t>
      </w:r>
    </w:p>
    <w:p>
      <w:pPr>
        <w:pStyle w:val="BodyText"/>
      </w:pPr>
      <w:r>
        <w:rPr>
          <w:b/>
        </w:rPr>
        <w:t>步骤三：制定评估方案</w:t>
      </w:r>
      <w:r>
        <w:t>——确定评估方法、技术路线、工作进度、资源保障、质量控制措施。</w:t>
      </w:r>
    </w:p>
    <w:p>
      <w:pPr>
        <w:pStyle w:val="BodyText"/>
      </w:pPr>
      <w:r>
        <w:rPr>
          <w:b/>
        </w:rPr>
        <w:t>步骤四：开展风险调查</w:t>
      </w:r>
      <w:r>
        <w:t>——通过文献研究、问卷调查、实地走访、座谈会、专家咨询等方式，全面收集信息。</w:t>
      </w:r>
    </w:p>
    <w:p>
      <w:pPr>
        <w:pStyle w:val="BodyText"/>
      </w:pPr>
      <w:r>
        <w:rPr>
          <w:b/>
        </w:rPr>
        <w:t>步骤五：识别风险因素</w:t>
      </w:r>
      <w:r>
        <w:t>——建立风险因素清单，进行归类、编号和描述。</w:t>
      </w:r>
    </w:p>
    <w:p>
      <w:pPr>
        <w:pStyle w:val="BodyText"/>
      </w:pPr>
      <w:r>
        <w:rPr>
          <w:b/>
        </w:rPr>
        <w:t>步骤六：分析风险等级</w:t>
      </w:r>
      <w:r>
        <w:t>——运用定性分析和定量分析方法，评定每项风险的等级。</w:t>
      </w:r>
    </w:p>
    <w:p>
      <w:pPr>
        <w:pStyle w:val="BodyText"/>
      </w:pPr>
      <w:r>
        <w:rPr>
          <w:b/>
        </w:rPr>
        <w:t>步骤七：制定防控措施</w:t>
      </w:r>
      <w:r>
        <w:t>——针对中高风险，制定分级分类的防范、化解和应急处置措施。</w:t>
      </w:r>
    </w:p>
    <w:p>
      <w:pPr>
        <w:pStyle w:val="BodyText"/>
      </w:pPr>
      <w:r>
        <w:rPr>
          <w:b/>
        </w:rPr>
        <w:t>步骤八：编制评估报告</w:t>
      </w:r>
      <w:r>
        <w:t>——按照规范格式编制稳评报告，组织专家评审，完成备案。</w:t>
      </w:r>
    </w:p>
    <w:p>
      <w:pPr>
        <w:pStyle w:val="BodyText"/>
      </w:pPr>
      <w:r>
        <w:rPr>
          <w:b/>
        </w:rPr>
        <w:t>企业适配——重大项目评估的"八步流程"</w:t>
      </w:r>
      <w:r>
        <w:t>：</w:t>
      </w:r>
    </w:p>
    <w:p>
      <w:pPr>
        <w:pStyle w:val="BodyText"/>
      </w:pPr>
      <w:r>
        <w:t>以上八步完全适用于企业重大项目评估，只是"评估小组"由企业内部风控、法务、财务、业务骨干组成，"专家咨询"可以外聘行业顾问或律师事务所，"备案"转化为"提交决策委员会审议"。</w:t>
      </w:r>
    </w:p>
    <w:p>
      <w:pPr>
        <w:pStyle w:val="Heading3"/>
      </w:pPr>
      <w:r>
        <w:t>4.2 公众参与与利益相关者沟通</w:t>
      </w:r>
    </w:p>
    <w:p>
      <w:pPr>
        <w:pStyle w:val="BodyText"/>
      </w:pPr>
      <w:r>
        <w:t>本书高度重视公众参与在稳评中的作用，提出了多元化的公众参与机制：</w:t>
      </w:r>
    </w:p>
    <w:p>
      <w:pPr>
        <w:pStyle w:val="BodyText"/>
      </w:pPr>
      <w:r>
        <w:rPr>
          <w:b/>
        </w:rPr>
        <w:t>信息公开</w:t>
      </w:r>
      <w:r>
        <w:t>：通过政府网站、公告栏、新闻媒体等渠道，向社会公开评估事项的基本情况、评估程序和联系方式。</w:t>
      </w:r>
    </w:p>
    <w:p>
      <w:pPr>
        <w:pStyle w:val="BodyText"/>
      </w:pPr>
      <w:r>
        <w:rPr>
          <w:b/>
        </w:rPr>
        <w:t>问卷调查</w:t>
      </w:r>
      <w:r>
        <w:t>：设计结构化问卷，对利益相关者进行抽样调查，量化其对决策事项的知晓度、支持度和主要顾虑。</w:t>
      </w:r>
    </w:p>
    <w:p>
      <w:pPr>
        <w:pStyle w:val="BodyText"/>
      </w:pPr>
      <w:r>
        <w:rPr>
          <w:b/>
        </w:rPr>
        <w:t>座谈会/听证会</w:t>
      </w:r>
      <w:r>
        <w:t>：邀请利益相关者代表面对面交流，深入了解其诉求和担忧，现场回应和解释。</w:t>
      </w:r>
    </w:p>
    <w:p>
      <w:pPr>
        <w:pStyle w:val="BodyText"/>
      </w:pPr>
      <w:r>
        <w:rPr>
          <w:b/>
        </w:rPr>
        <w:t>实地走访</w:t>
      </w:r>
      <w:r>
        <w:t>：评估人员深入社区、村庄、企业，与群众一对一交流，获取问卷和座谈会难以捕捉的深层信息。</w:t>
      </w:r>
    </w:p>
    <w:p>
      <w:pPr>
        <w:pStyle w:val="BodyText"/>
      </w:pPr>
      <w:r>
        <w:rPr>
          <w:b/>
        </w:rPr>
        <w:t>对企业适配——商业谈判中的"利益相关者沟通"</w:t>
      </w:r>
      <w:r>
        <w:t>：</w:t>
      </w:r>
    </w:p>
    <w:p>
      <w:pPr>
        <w:pStyle w:val="BodyText"/>
      </w:pPr>
      <w:r>
        <w:t>在商业合作中，"公众参与"转化为"利益相关者沟通"——不仅要与直接签约方谈判，还要与签约方的上下游、终端客户、监管部门进行充分沟通。例如：与海外代理商签约前，应走访该代理商服务的终端客户，了解其服务质量和口碑；与物流承运商签约前，应走访该承运商的其他客户，了解其履约记录和争议处理能力。</w:t>
      </w:r>
    </w:p>
    <w:p>
      <w:pPr>
        <w:pStyle w:val="Heading3"/>
      </w:pPr>
      <w:r>
        <w:t>4.3 专家评审机制</w:t>
      </w:r>
    </w:p>
    <w:p>
      <w:pPr>
        <w:pStyle w:val="BodyText"/>
      </w:pPr>
      <w:r>
        <w:t>本书规定了稳评报告的专家评审程序：</w:t>
      </w:r>
    </w:p>
    <w:p>
      <w:pPr>
        <w:pStyle w:val="BodyText"/>
      </w:pPr>
      <w:r>
        <w:rPr>
          <w:b/>
        </w:rPr>
        <w:t>专家遴选</w:t>
      </w:r>
      <w:r>
        <w:t>：从专家库中随机抽取，确保专业结构合理（法律、经济、社会、环境、技术等领域），实行回避制度。</w:t>
      </w:r>
    </w:p>
    <w:p>
      <w:pPr>
        <w:pStyle w:val="BodyText"/>
      </w:pPr>
      <w:r>
        <w:rPr>
          <w:b/>
        </w:rPr>
        <w:t>评审内容</w:t>
      </w:r>
      <w:r>
        <w:t>：评估程序的合规性、调查方法的科学性、风险识别的全面性、等级评定的合理性、防控措施的可行性。</w:t>
      </w:r>
    </w:p>
    <w:p>
      <w:pPr>
        <w:pStyle w:val="BodyText"/>
      </w:pPr>
      <w:r>
        <w:rPr>
          <w:b/>
        </w:rPr>
        <w:t>评审结论</w:t>
      </w:r>
      <w:r>
        <w:t>：出具专家评审意见，明确"通过"/"修改后通过"/"不通过"三种结论。</w:t>
      </w:r>
    </w:p>
    <w:p>
      <w:pPr>
        <w:pStyle w:val="BodyText"/>
      </w:pPr>
      <w:r>
        <w:rPr>
          <w:b/>
        </w:rPr>
        <w:t>企业适配——重大决策的"外部评审"机制</w:t>
      </w:r>
      <w:r>
        <w:t>：</w:t>
      </w:r>
    </w:p>
    <w:p>
      <w:pPr>
        <w:pStyle w:val="BodyText"/>
      </w:pPr>
      <w:r>
        <w:t>企业在启动重大投资或签署重大合同前，同样可以引入外部专家评审——聘请律师事务所出具法律意见书、聘请会计师事务所出具财务尽职调查报告、聘请行业顾问出具市场可行性评估报告。多份独立报告的交叉验证，可以大幅降低决策偏差。</w:t>
      </w:r>
    </w:p>
    <w:p>
      <w:pPr>
        <w:pStyle w:val="Heading3"/>
      </w:pPr>
      <w:r>
        <w:t>4.4 评估报告编制的规范格式</w:t>
      </w:r>
    </w:p>
    <w:p>
      <w:pPr>
        <w:pStyle w:val="BodyText"/>
      </w:pPr>
      <w:r>
        <w:t>本书提供了稳评报告的标准化编制大纲，核心章节包括：</w:t>
      </w:r>
    </w:p>
    <w:p>
      <w:pPr>
        <w:pStyle w:val="ListNumber"/>
        <w:numPr>
          <w:ilvl w:val="0"/>
          <w:numId w:val="10"/>
        </w:numPr>
      </w:pPr>
      <w:r>
        <w:t>项目概况</w:t>
      </w:r>
    </w:p>
    <w:p>
      <w:pPr>
        <w:pStyle w:val="ListNumber"/>
        <w:numPr>
          <w:ilvl w:val="0"/>
          <w:numId w:val="10"/>
        </w:numPr>
      </w:pPr>
      <w:r>
        <w:t>评估依据</w:t>
      </w:r>
    </w:p>
    <w:p>
      <w:pPr>
        <w:pStyle w:val="ListNumber"/>
        <w:numPr>
          <w:ilvl w:val="0"/>
          <w:numId w:val="10"/>
        </w:numPr>
      </w:pPr>
      <w:r>
        <w:t>评估过程</w:t>
      </w:r>
    </w:p>
    <w:p>
      <w:pPr>
        <w:pStyle w:val="ListNumber"/>
        <w:numPr>
          <w:ilvl w:val="0"/>
          <w:numId w:val="10"/>
        </w:numPr>
      </w:pPr>
      <w:r>
        <w:t>风险调查</w:t>
      </w:r>
    </w:p>
    <w:p>
      <w:pPr>
        <w:pStyle w:val="ListNumber"/>
        <w:numPr>
          <w:ilvl w:val="0"/>
          <w:numId w:val="10"/>
        </w:numPr>
      </w:pPr>
      <w:r>
        <w:t>风险识别</w:t>
      </w:r>
    </w:p>
    <w:p>
      <w:pPr>
        <w:pStyle w:val="ListNumber"/>
        <w:numPr>
          <w:ilvl w:val="0"/>
          <w:numId w:val="10"/>
        </w:numPr>
      </w:pPr>
      <w:r>
        <w:t>风险分析</w:t>
      </w:r>
    </w:p>
    <w:p>
      <w:pPr>
        <w:pStyle w:val="ListNumber"/>
        <w:numPr>
          <w:ilvl w:val="0"/>
          <w:numId w:val="10"/>
        </w:numPr>
      </w:pPr>
      <w:r>
        <w:t>风险等级评定</w:t>
      </w:r>
    </w:p>
    <w:p>
      <w:pPr>
        <w:pStyle w:val="ListNumber"/>
        <w:numPr>
          <w:ilvl w:val="0"/>
          <w:numId w:val="10"/>
        </w:numPr>
      </w:pPr>
      <w:r>
        <w:t>风险防范和化解措施</w:t>
      </w:r>
    </w:p>
    <w:p>
      <w:pPr>
        <w:pStyle w:val="ListNumber"/>
        <w:numPr>
          <w:ilvl w:val="0"/>
          <w:numId w:val="10"/>
        </w:numPr>
      </w:pPr>
      <w:r>
        <w:t>评估结论</w:t>
      </w:r>
    </w:p>
    <w:p>
      <w:pPr>
        <w:pStyle w:val="ListNumber"/>
        <w:numPr>
          <w:ilvl w:val="0"/>
          <w:numId w:val="10"/>
        </w:numPr>
      </w:pPr>
      <w:r>
        <w:t>附件（调查问卷、座谈记录、专家意见等）</w:t>
      </w:r>
    </w:p>
    <w:p>
      <w:pPr>
        <w:pStyle w:val="BodyText"/>
      </w:pPr>
      <w:r>
        <w:rPr>
          <w:b/>
        </w:rPr>
        <w:t>对企业适配——"企业风险处置方案书"的标准模板</w:t>
      </w:r>
      <w:r>
        <w:t>：</w:t>
      </w:r>
    </w:p>
    <w:p>
      <w:pPr>
        <w:pStyle w:val="BodyText"/>
      </w:pPr>
      <w:r>
        <w:t>将上述章节转化为企业决策文档：</w:t>
      </w:r>
    </w:p>
    <w:p>
      <w:pPr>
        <w:pStyle w:val="ListNumber"/>
        <w:numPr>
          <w:ilvl w:val="0"/>
          <w:numId w:val="11"/>
        </w:numPr>
      </w:pPr>
      <w:r>
        <w:t>项目/合作/投资概况</w:t>
      </w:r>
    </w:p>
    <w:p>
      <w:pPr>
        <w:pStyle w:val="ListNumber"/>
        <w:numPr>
          <w:ilvl w:val="0"/>
          <w:numId w:val="11"/>
        </w:numPr>
      </w:pPr>
      <w:r>
        <w:t>评估依据（法律法规、行业标准、内部制度）</w:t>
      </w:r>
    </w:p>
    <w:p>
      <w:pPr>
        <w:pStyle w:val="ListNumber"/>
        <w:numPr>
          <w:ilvl w:val="0"/>
          <w:numId w:val="11"/>
        </w:numPr>
      </w:pPr>
      <w:r>
        <w:t>评估过程（尽调方法、访谈对象、数据分析）</w:t>
      </w:r>
    </w:p>
    <w:p>
      <w:pPr>
        <w:pStyle w:val="ListNumber"/>
        <w:numPr>
          <w:ilvl w:val="0"/>
          <w:numId w:val="11"/>
        </w:numPr>
      </w:pPr>
      <w:r>
        <w:t>风险识别（风险因素清单）</w:t>
      </w:r>
    </w:p>
    <w:p>
      <w:pPr>
        <w:pStyle w:val="ListNumber"/>
        <w:numPr>
          <w:ilvl w:val="0"/>
          <w:numId w:val="11"/>
        </w:numPr>
      </w:pPr>
      <w:r>
        <w:t>风险分析（概率×影响矩阵）</w:t>
      </w:r>
    </w:p>
    <w:p>
      <w:pPr>
        <w:pStyle w:val="ListNumber"/>
        <w:numPr>
          <w:ilvl w:val="0"/>
          <w:numId w:val="11"/>
        </w:numPr>
      </w:pPr>
      <w:r>
        <w:t>风险评级（红/黄/绿灯）</w:t>
      </w:r>
    </w:p>
    <w:p>
      <w:pPr>
        <w:pStyle w:val="ListNumber"/>
        <w:numPr>
          <w:ilvl w:val="0"/>
          <w:numId w:val="11"/>
        </w:numPr>
      </w:pPr>
      <w:r>
        <w:t>防控措施（合同条款、对赌机制、分期投入、保险安排）</w:t>
      </w:r>
    </w:p>
    <w:p>
      <w:pPr>
        <w:pStyle w:val="ListNumber"/>
        <w:numPr>
          <w:ilvl w:val="0"/>
          <w:numId w:val="11"/>
        </w:numPr>
      </w:pPr>
      <w:r>
        <w:t>评估结论（建议推进/谨慎推进/暂停）</w:t>
      </w:r>
    </w:p>
    <w:p>
      <w:pPr>
        <w:pStyle w:val="ListNumber"/>
        <w:numPr>
          <w:ilvl w:val="0"/>
          <w:numId w:val="11"/>
        </w:numPr>
      </w:pPr>
      <w:r>
        <w:t>附件（尽调报告、法律意见书、财务模型）</w:t>
      </w:r>
    </w:p>
    <w:p>
      <w:pPr>
        <w:spacing w:before="80" w:after="80"/>
        <w:ind w:firstLine="0"/>
        <w:pBdr>
          <w:bottom w:val="single" w:sz="6" w:space="0" w:color="808080"/>
        </w:pBdr>
      </w:pPr>
    </w:p>
    <w:p>
      <w:pPr>
        <w:pStyle w:val="Heading2"/>
      </w:pPr>
      <w:r>
        <w:t>第五部分：风险处置与应对流程</w:t>
      </w:r>
    </w:p>
    <w:p>
      <w:pPr>
        <w:pStyle w:val="Heading3"/>
      </w:pPr>
      <w:r>
        <w:t>5.1 风险防范措施的"三早原则"</w:t>
      </w:r>
    </w:p>
    <w:p>
      <w:pPr>
        <w:pStyle w:val="BodyText"/>
      </w:pPr>
      <w:r>
        <w:t>本书提出风险防控的"三早原则"——早发现、早介入、早化解：</w:t>
      </w:r>
    </w:p>
    <w:p>
      <w:pPr>
        <w:pStyle w:val="BodyText"/>
      </w:pPr>
      <w:r>
        <w:rPr>
          <w:b/>
        </w:rPr>
        <w:t>早发现</w:t>
      </w:r>
      <w:r>
        <w:t>：建立风险监测预警机制，通过定期巡查、舆情监测、信息报送等渠道，第一时间捕捉风险苗头。</w:t>
      </w:r>
    </w:p>
    <w:p>
      <w:pPr>
        <w:pStyle w:val="BodyText"/>
      </w:pPr>
      <w:r>
        <w:rPr>
          <w:b/>
        </w:rPr>
        <w:t>早介入</w:t>
      </w:r>
      <w:r>
        <w:t>：一旦发现风险苗头，立即启动响应机制，派出工作组实地调查，与利益相关者面对面沟通，防止事态扩大。</w:t>
      </w:r>
    </w:p>
    <w:p>
      <w:pPr>
        <w:pStyle w:val="BodyText"/>
      </w:pPr>
      <w:r>
        <w:rPr>
          <w:b/>
        </w:rPr>
        <w:t>早化解</w:t>
      </w:r>
      <w:r>
        <w:t>：在风险还处于萌芽状态时，通过协商、补偿、调整方案等方式，将矛盾化解在源头。</w:t>
      </w:r>
    </w:p>
    <w:p>
      <w:pPr>
        <w:pStyle w:val="BodyText"/>
      </w:pPr>
      <w:r>
        <w:rPr>
          <w:b/>
        </w:rPr>
        <w:t>企业适配——商业风险的"三早"机制</w:t>
      </w:r>
      <w:r>
        <w:t>：</w:t>
      </w:r>
    </w:p>
    <w:p>
      <w:pPr>
        <w:pStyle w:val="ListBullet"/>
      </w:pPr>
      <w:r>
        <w:rPr>
          <w:b/>
        </w:rPr>
        <w:t>早发现</w:t>
      </w:r>
      <w:r>
        <w:t>：建立客户信用监测系统、供应商履约跟踪系统、汇率波动预警系统</w:t>
      </w:r>
    </w:p>
    <w:p>
      <w:pPr>
        <w:pStyle w:val="ListBullet"/>
      </w:pPr>
      <w:r>
        <w:rPr>
          <w:b/>
        </w:rPr>
        <w:t>早介入</w:t>
      </w:r>
      <w:r>
        <w:t>：客户逾期7天即启动催收程序，供应商延迟交货3天即启动备选方案</w:t>
      </w:r>
    </w:p>
    <w:p>
      <w:pPr>
        <w:pStyle w:val="ListBullet"/>
      </w:pPr>
      <w:r>
        <w:rPr>
          <w:b/>
        </w:rPr>
        <w:t>早化解</w:t>
      </w:r>
      <w:r>
        <w:t>：争议金额较小的情况下，优先考虑商业和解而非诉讼仲裁，节省时间和成本</w:t>
      </w:r>
    </w:p>
    <w:p>
      <w:pPr>
        <w:pStyle w:val="Heading3"/>
      </w:pPr>
      <w:r>
        <w:t>5.2 分级分类响应机制</w:t>
      </w:r>
    </w:p>
    <w:p>
      <w:pPr>
        <w:pStyle w:val="BodyText"/>
      </w:pPr>
      <w:r>
        <w:t>本书要求针对不同等级的风险，建立差异化的响应机制：</w:t>
      </w:r>
    </w:p>
    <w:p>
      <w:pPr>
        <w:pStyle w:val="BodyText"/>
      </w:pPr>
      <w:r>
        <w:rPr>
          <w:b/>
        </w:rPr>
        <w:t>高风险响应</w:t>
      </w:r>
      <w:r>
        <w:t>：暂停决策实施，成立专项工作组，制定详细的风险化解方案，必要时调整或终止原决策。实行"一把手"负责制，每日报告进展。</w:t>
      </w:r>
    </w:p>
    <w:p>
      <w:pPr>
        <w:pStyle w:val="BodyText"/>
      </w:pPr>
      <w:r>
        <w:rPr>
          <w:b/>
        </w:rPr>
        <w:t>中风险响应</w:t>
      </w:r>
      <w:r>
        <w:t>：在决策实施的同时，加强监测和防控，制定应急预案，明确责任人和时间节点。实行定期报告制度（周报/月报）。</w:t>
      </w:r>
    </w:p>
    <w:p>
      <w:pPr>
        <w:pStyle w:val="BodyText"/>
      </w:pPr>
      <w:r>
        <w:rPr>
          <w:b/>
        </w:rPr>
        <w:t>低风险响应</w:t>
      </w:r>
      <w:r>
        <w:t>：纳入常规管理，通过日常沟通协调化解潜在矛盾。实行季度复盘。</w:t>
      </w:r>
    </w:p>
    <w:p>
      <w:pPr>
        <w:pStyle w:val="BodyText"/>
      </w:pPr>
      <w:r>
        <w:rPr>
          <w:b/>
        </w:rPr>
        <w:t>企业适配——风险响应的"红绿灯机制"</w:t>
      </w:r>
      <w:r>
        <w:t>：</w:t>
      </w:r>
    </w:p>
    <w:p>
      <w:pPr>
        <w:pStyle w:val="ListBullet"/>
      </w:pPr>
      <w:r>
        <w:t>红灯项目：立即停止投入，启动退出或止损程序，最高管理层直接督办</w:t>
      </w:r>
    </w:p>
    <w:p>
      <w:pPr>
        <w:pStyle w:val="ListBullet"/>
      </w:pPr>
      <w:r>
        <w:t>黄灯项目：附加条件推进（分期付款、里程碑对赌、担保增信），风控部门每周跟踪</w:t>
      </w:r>
    </w:p>
    <w:p>
      <w:pPr>
        <w:pStyle w:val="ListBullet"/>
      </w:pPr>
      <w:r>
        <w:t>绿灯项目：正常推进，按季度进行常规风险复盘</w:t>
      </w:r>
    </w:p>
    <w:p>
      <w:pPr>
        <w:pStyle w:val="Heading3"/>
      </w:pPr>
      <w:r>
        <w:t>5.3 应急处置预案</w:t>
      </w:r>
    </w:p>
    <w:p>
      <w:pPr>
        <w:pStyle w:val="BodyText"/>
      </w:pPr>
      <w:r>
        <w:t>本书强调，稳评不仅要提出预防措施，还要制定应急处置预案——万一风险爆发，如何快速响应、控制损失、恢复秩序。</w:t>
      </w:r>
    </w:p>
    <w:p>
      <w:pPr>
        <w:pStyle w:val="BodyText"/>
      </w:pPr>
      <w:r>
        <w:t>应急处置预案的核心要素包括：</w:t>
      </w:r>
    </w:p>
    <w:p>
      <w:pPr>
        <w:pStyle w:val="ListBullet"/>
      </w:pPr>
      <w:r>
        <w:rPr>
          <w:b/>
        </w:rPr>
        <w:t>指挥体系</w:t>
      </w:r>
      <w:r>
        <w:t>：明确总指挥、各工作组职责</w:t>
      </w:r>
    </w:p>
    <w:p>
      <w:pPr>
        <w:pStyle w:val="ListBullet"/>
      </w:pPr>
      <w:r>
        <w:rPr>
          <w:b/>
        </w:rPr>
        <w:t>响应分级</w:t>
      </w:r>
      <w:r>
        <w:t>：一般事件/较大事件/重大事件/特别重大事件的四级响应</w:t>
      </w:r>
    </w:p>
    <w:p>
      <w:pPr>
        <w:pStyle w:val="ListBullet"/>
      </w:pPr>
      <w:r>
        <w:rPr>
          <w:b/>
        </w:rPr>
        <w:t>处置流程</w:t>
      </w:r>
      <w:r>
        <w:t>：接报→研判→启动→处置→善后→总结</w:t>
      </w:r>
    </w:p>
    <w:p>
      <w:pPr>
        <w:pStyle w:val="ListBullet"/>
      </w:pPr>
      <w:r>
        <w:rPr>
          <w:b/>
        </w:rPr>
        <w:t>资源保障</w:t>
      </w:r>
      <w:r>
        <w:t>：人员、资金、物资、技术保障</w:t>
      </w:r>
    </w:p>
    <w:p>
      <w:pPr>
        <w:pStyle w:val="ListBullet"/>
      </w:pPr>
      <w:r>
        <w:rPr>
          <w:b/>
        </w:rPr>
        <w:t>信息发布</w:t>
      </w:r>
      <w:r>
        <w:t>：统一口径、及时发布、回应关切</w:t>
      </w:r>
    </w:p>
    <w:p>
      <w:pPr>
        <w:pStyle w:val="BodyText"/>
      </w:pPr>
      <w:r>
        <w:rPr>
          <w:b/>
        </w:rPr>
        <w:t>企业适配——商业突发事件的"应急处置手册"</w:t>
      </w:r>
      <w:r>
        <w:t>：</w:t>
      </w:r>
    </w:p>
    <w:p>
      <w:pPr>
        <w:pStyle w:val="BodyText"/>
      </w:pPr>
      <w:r>
        <w:t>企业应针对不同类型的突发事件，制定标准化应急手册：</w:t>
      </w:r>
    </w:p>
    <w:p>
      <w:pPr>
        <w:pStyle w:val="ListBullet"/>
      </w:pPr>
      <w:r>
        <w:rPr>
          <w:b/>
        </w:rPr>
        <w:t>客户大规模违约</w:t>
      </w:r>
      <w:r>
        <w:t>：启动法律催收、启用信用保险、启动保理融资</w:t>
      </w:r>
    </w:p>
    <w:p>
      <w:pPr>
        <w:pStyle w:val="ListBullet"/>
      </w:pPr>
      <w:r>
        <w:rPr>
          <w:b/>
        </w:rPr>
        <w:t>供应链中断</w:t>
      </w:r>
      <w:r>
        <w:t>：启用备选供应商、启动空运补货、协调客户延期交付</w:t>
      </w:r>
    </w:p>
    <w:p>
      <w:pPr>
        <w:pStyle w:val="ListBullet"/>
      </w:pPr>
      <w:r>
        <w:rPr>
          <w:b/>
        </w:rPr>
        <w:t>政策突变</w:t>
      </w:r>
      <w:r>
        <w:t>：启动政府沟通、调整业务模式、评估退出成本</w:t>
      </w:r>
    </w:p>
    <w:p>
      <w:pPr>
        <w:pStyle w:val="ListBullet"/>
      </w:pPr>
      <w:r>
        <w:rPr>
          <w:b/>
        </w:rPr>
        <w:t>舆情危机</w:t>
      </w:r>
      <w:r>
        <w:t>：启动公关响应、发布官方声明、对接监管部门</w:t>
      </w:r>
    </w:p>
    <w:p>
      <w:pPr>
        <w:pStyle w:val="Heading3"/>
      </w:pPr>
      <w:r>
        <w:t>5.4 跟踪反馈与持续改进</w:t>
      </w:r>
    </w:p>
    <w:p>
      <w:pPr>
        <w:pStyle w:val="BodyText"/>
      </w:pPr>
      <w:r>
        <w:t>本书指出，稳评的价值不仅在于"事前评估"，更在于"事后反馈"。决策实施后，评估主体应持续跟踪风险演化情况，对照评估结论检验预判的准确性，及时调整防控措施，并将经验教训反馈到下一轮评估中，形成"评估—实施—反馈—改进"的闭环。</w:t>
      </w:r>
    </w:p>
    <w:p>
      <w:pPr>
        <w:pStyle w:val="BodyText"/>
      </w:pPr>
      <w:r>
        <w:rPr>
          <w:b/>
        </w:rPr>
        <w:t>企业适配——"风险数据库"的建设</w:t>
      </w:r>
      <w:r>
        <w:t>：</w:t>
      </w:r>
    </w:p>
    <w:p>
      <w:pPr>
        <w:pStyle w:val="BodyText"/>
      </w:pPr>
      <w:r>
        <w:t>企业应建立属于自己的风险数据库，记录每一次决策的风险评估结论、实际发生情况、处置结果和经验教训。这个数据库是个人和企业最宝贵的"风险免疫库"——同样的坑，不踩第二次。</w:t>
      </w:r>
    </w:p>
    <w:p>
      <w:pPr>
        <w:spacing w:before="80" w:after="80"/>
        <w:ind w:firstLine="0"/>
        <w:pBdr>
          <w:bottom w:val="single" w:sz="6" w:space="0" w:color="808080"/>
        </w:pBdr>
      </w:pPr>
    </w:p>
    <w:p>
      <w:pPr>
        <w:pStyle w:val="Heading2"/>
      </w:pPr>
      <w:r>
        <w:t>第六部分：企业微观适配——重大项目、合作与投资的风险处置应用</w:t>
      </w:r>
    </w:p>
    <w:p>
      <w:pPr>
        <w:pStyle w:val="Heading3"/>
      </w:pPr>
      <w:r>
        <w:t>6.1 重大项目立项前的稳评式风险评估</w:t>
      </w:r>
    </w:p>
    <w:p>
      <w:pPr>
        <w:pStyle w:val="BodyText"/>
      </w:pPr>
      <w:r>
        <w:t>将本书的五步工作法应用于企业重大项目立项：</w:t>
      </w:r>
    </w:p>
    <w:p>
      <w:pPr>
        <w:pStyle w:val="BodyText"/>
      </w:pPr>
      <w:r>
        <w:rPr>
          <w:b/>
        </w:rPr>
        <w:t>以"海外仓投资项目"为例</w:t>
      </w:r>
      <w:r>
        <w:t>：</w:t>
      </w:r>
    </w:p>
    <w:p>
      <w:pPr>
        <w:pStyle w:val="BodyText"/>
      </w:pPr>
      <w:r>
        <w:rPr>
          <w:b/>
        </w:rPr>
        <w:t>风险识别</w:t>
      </w:r>
      <w:r>
        <w:t>：</w:t>
      </w:r>
    </w:p>
    <w:p>
      <w:pPr>
        <w:pStyle w:val="ListBullet"/>
      </w:pPr>
      <w:r>
        <w:t>政治风险：目的国政权稳定性、对中国企业的政策态度</w:t>
      </w:r>
    </w:p>
    <w:p>
      <w:pPr>
        <w:pStyle w:val="ListBullet"/>
      </w:pPr>
      <w:r>
        <w:t>法律风险：外资准入限制、土地权属制度、劳动法规定</w:t>
      </w:r>
    </w:p>
    <w:p>
      <w:pPr>
        <w:pStyle w:val="ListBullet"/>
      </w:pPr>
      <w:r>
        <w:t>市场风险：当地电商渗透率、竞争格局、消费者偏好</w:t>
      </w:r>
    </w:p>
    <w:p>
      <w:pPr>
        <w:pStyle w:val="ListBullet"/>
      </w:pPr>
      <w:r>
        <w:t>运营风险：清关效率、本地配送能力、人才招聘难度</w:t>
      </w:r>
    </w:p>
    <w:p>
      <w:pPr>
        <w:pStyle w:val="ListBullet"/>
      </w:pPr>
      <w:r>
        <w:t>财务风险：汇率波动、资金汇出限制、税务合规成本</w:t>
      </w:r>
    </w:p>
    <w:p>
      <w:pPr>
        <w:pStyle w:val="BodyText"/>
      </w:pPr>
      <w:r>
        <w:rPr>
          <w:b/>
        </w:rPr>
        <w:t>风险分析</w:t>
      </w:r>
      <w:r>
        <w:t>：</w:t>
      </w:r>
    </w:p>
    <w:p>
      <w:pPr>
        <w:pStyle w:val="ListBullet"/>
      </w:pPr>
      <w:r>
        <w:t>目的国即将大选（概率高）→ 政策不确定性增加</w:t>
      </w:r>
    </w:p>
    <w:p>
      <w:pPr>
        <w:pStyle w:val="ListBullet"/>
      </w:pPr>
      <w:r>
        <w:t>该国电商渗透率仅15%（影响大）→ 市场培育期长，前期亏损压力大</w:t>
      </w:r>
    </w:p>
    <w:p>
      <w:pPr>
        <w:pStyle w:val="ListBullet"/>
      </w:pPr>
      <w:r>
        <w:t>土地采用长期租赁制（影响中）→ 无所有权，但有20年使用权</w:t>
      </w:r>
    </w:p>
    <w:p>
      <w:pPr>
        <w:pStyle w:val="BodyText"/>
      </w:pPr>
      <w:r>
        <w:rPr>
          <w:b/>
        </w:rPr>
        <w:t>风险评级</w:t>
      </w:r>
      <w:r>
        <w:t>：</w:t>
      </w:r>
    </w:p>
    <w:p>
      <w:pPr>
        <w:pStyle w:val="ListBullet"/>
      </w:pPr>
      <w:r>
        <w:t>政治风险：高风险（红色）</w:t>
      </w:r>
    </w:p>
    <w:p>
      <w:pPr>
        <w:pStyle w:val="ListBullet"/>
      </w:pPr>
      <w:r>
        <w:t>市场风险：中风险（黄色）</w:t>
      </w:r>
    </w:p>
    <w:p>
      <w:pPr>
        <w:pStyle w:val="ListBullet"/>
      </w:pPr>
      <w:r>
        <w:t>法律/运营/财务风险：中风险（黄色）</w:t>
      </w:r>
    </w:p>
    <w:p>
      <w:pPr>
        <w:pStyle w:val="BodyText"/>
      </w:pPr>
      <w:r>
        <w:rPr>
          <w:b/>
        </w:rPr>
        <w:t>风险防控</w:t>
      </w:r>
      <w:r>
        <w:t>：</w:t>
      </w:r>
    </w:p>
    <w:p>
      <w:pPr>
        <w:pStyle w:val="ListBullet"/>
      </w:pPr>
      <w:r>
        <w:t>政治风险：与当地政府建立沟通机制，聘请本地法律顾问，购买政治风险保险，设立分阶段投入机制（先小规模试点）</w:t>
      </w:r>
    </w:p>
    <w:p>
      <w:pPr>
        <w:pStyle w:val="ListBullet"/>
      </w:pPr>
      <w:r>
        <w:t>市场风险：先做市场调研和试运营，与当地电商平台合作引流，设定18个月盈亏平衡目标</w:t>
      </w:r>
    </w:p>
    <w:p>
      <w:pPr>
        <w:pStyle w:val="ListBullet"/>
      </w:pPr>
      <w:r>
        <w:t>综合防控：采用"轻资产+合资"模式，降低单方投入风险；合同中加入"政策突变退出条款"</w:t>
      </w:r>
    </w:p>
    <w:p>
      <w:pPr>
        <w:pStyle w:val="BodyText"/>
      </w:pPr>
      <w:r>
        <w:rPr>
          <w:b/>
        </w:rPr>
        <w:t>评估结论</w:t>
      </w:r>
      <w:r>
        <w:t>：黄灯推进，附加严格的风控条件和里程碑考核。</w:t>
      </w:r>
    </w:p>
    <w:p>
      <w:pPr>
        <w:pStyle w:val="Heading3"/>
      </w:pPr>
      <w:r>
        <w:t>6.2 商业合作谈判前的稳评式尽职调查</w:t>
      </w:r>
    </w:p>
    <w:p>
      <w:pPr>
        <w:pStyle w:val="BodyText"/>
      </w:pPr>
      <w:r>
        <w:t>将本书的四性评估框架应用于商业合作谈判：</w:t>
      </w:r>
    </w:p>
    <w:p>
      <w:pPr>
        <w:pStyle w:val="BodyText"/>
      </w:pPr>
      <w:r>
        <w:rPr>
          <w:b/>
        </w:rPr>
        <w:t>以"与海外物流服务商签约"为例</w:t>
      </w:r>
      <w:r>
        <w:t>：</w:t>
      </w:r>
    </w:p>
    <w:p>
      <w:pPr>
        <w:pStyle w:val="BodyText"/>
      </w:pPr>
      <w:r>
        <w:rPr>
          <w:b/>
        </w:rPr>
        <w:t>合法性评估</w:t>
      </w:r>
      <w:r>
        <w:t>：</w:t>
      </w:r>
    </w:p>
    <w:p>
      <w:pPr>
        <w:pStyle w:val="ListBullet"/>
      </w:pPr>
      <w:r>
        <w:t>服务商是否具备目的国合法经营资质</w:t>
      </w:r>
    </w:p>
    <w:p>
      <w:pPr>
        <w:pStyle w:val="ListBullet"/>
      </w:pPr>
      <w:r>
        <w:t>合同条款是否符合中国《涉外民事关系法律适用法》和目的国《合同法》</w:t>
      </w:r>
    </w:p>
    <w:p>
      <w:pPr>
        <w:pStyle w:val="ListBullet"/>
      </w:pPr>
      <w:r>
        <w:t>争议解决条款（仲裁地、适用法律）是否可执行</w:t>
      </w:r>
    </w:p>
    <w:p>
      <w:pPr>
        <w:pStyle w:val="BodyText"/>
      </w:pPr>
      <w:r>
        <w:rPr>
          <w:b/>
        </w:rPr>
        <w:t>合理性评估</w:t>
      </w:r>
      <w:r>
        <w:t>：</w:t>
      </w:r>
    </w:p>
    <w:p>
      <w:pPr>
        <w:pStyle w:val="ListBullet"/>
      </w:pPr>
      <w:r>
        <w:t>服务费率是否与市场水平相符</w:t>
      </w:r>
    </w:p>
    <w:p>
      <w:pPr>
        <w:pStyle w:val="ListBullet"/>
      </w:pPr>
      <w:r>
        <w:t>责任分担是否对等（不是单方承担全部风险）</w:t>
      </w:r>
    </w:p>
    <w:p>
      <w:pPr>
        <w:pStyle w:val="ListBullet"/>
      </w:pPr>
      <w:r>
        <w:t>KPI设定是否合理（不是不可能完成的任务）</w:t>
      </w:r>
    </w:p>
    <w:p>
      <w:pPr>
        <w:pStyle w:val="BodyText"/>
      </w:pPr>
      <w:r>
        <w:rPr>
          <w:b/>
        </w:rPr>
        <w:t>可行性评估</w:t>
      </w:r>
      <w:r>
        <w:t>：</w:t>
      </w:r>
    </w:p>
    <w:p>
      <w:pPr>
        <w:pStyle w:val="ListBullet"/>
      </w:pPr>
      <w:r>
        <w:t>服务商的实际运力是否与承诺匹配（还是"二道贩子"）</w:t>
      </w:r>
    </w:p>
    <w:p>
      <w:pPr>
        <w:pStyle w:val="ListBullet"/>
      </w:pPr>
      <w:r>
        <w:t>服务商的IT系统是否能与己方系统对接</w:t>
      </w:r>
    </w:p>
    <w:p>
      <w:pPr>
        <w:pStyle w:val="ListBullet"/>
      </w:pPr>
      <w:r>
        <w:t>目的国的基础设施（港口、道路、通信）是否支持服务承诺</w:t>
      </w:r>
    </w:p>
    <w:p>
      <w:pPr>
        <w:pStyle w:val="BodyText"/>
      </w:pPr>
      <w:r>
        <w:rPr>
          <w:b/>
        </w:rPr>
        <w:t>可控性评估</w:t>
      </w:r>
      <w:r>
        <w:t>：</w:t>
      </w:r>
    </w:p>
    <w:p>
      <w:pPr>
        <w:pStyle w:val="ListBullet"/>
      </w:pPr>
      <w:r>
        <w:t>合同是否有明确的违约责任和赔偿机制</w:t>
      </w:r>
    </w:p>
    <w:p>
      <w:pPr>
        <w:pStyle w:val="ListBullet"/>
      </w:pPr>
      <w:r>
        <w:t>是否有服务质量保证金或履约保函</w:t>
      </w:r>
    </w:p>
    <w:p>
      <w:pPr>
        <w:pStyle w:val="Heading3"/>
      </w:pPr>
      <w:r>
        <w:t>是否有退出机制和替代方案</w:t>
      </w:r>
    </w:p>
    <w:p>
      <w:pPr>
        <w:pStyle w:val="ListBullet"/>
      </w:pPr>
      <w:r>
        <w:t>最坏情况下（服务商破产/罢工/战争），已交付货物和未交付货物如何处置</w:t>
      </w:r>
    </w:p>
    <w:p>
      <w:pPr>
        <w:pStyle w:val="Heading3"/>
      </w:pPr>
      <w:r>
        <w:t>6.3 投资决策前的稳评式风险研判</w:t>
      </w:r>
    </w:p>
    <w:p>
      <w:pPr>
        <w:pStyle w:val="BodyText"/>
      </w:pPr>
      <w:r>
        <w:t>将本书的风险评估矩阵应用于投资决策：</w:t>
      </w:r>
    </w:p>
    <w:p>
      <w:pPr>
        <w:pStyle w:val="BodyText"/>
      </w:pPr>
      <w:r>
        <w:rPr>
          <w:b/>
        </w:rPr>
        <w:t>以"投资某新兴市场的跨境物流平台"为例</w:t>
      </w:r>
      <w:r>
        <w:t>：</w:t>
      </w:r>
    </w:p>
    <w:p>
      <w:pPr>
        <w:pStyle w:val="BodyText"/>
      </w:pPr>
      <w:r>
        <w:t>建立投资决策风险评估矩阵：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1814"/>
            <w:shd w:val="clear" w:color="auto" w:fill="D6E4F0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风险因素</w:t>
            </w:r>
          </w:p>
        </w:tc>
        <w:tc>
          <w:tcPr>
            <w:tcW w:type="dxa" w:w="1814"/>
            <w:shd w:val="clear" w:color="auto" w:fill="D6E4F0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概率</w:t>
            </w:r>
          </w:p>
        </w:tc>
        <w:tc>
          <w:tcPr>
            <w:tcW w:type="dxa" w:w="1814"/>
            <w:shd w:val="clear" w:color="auto" w:fill="D6E4F0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影响</w:t>
            </w:r>
          </w:p>
        </w:tc>
        <w:tc>
          <w:tcPr>
            <w:tcW w:type="dxa" w:w="1814"/>
            <w:shd w:val="clear" w:color="auto" w:fill="D6E4F0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等级</w:t>
            </w:r>
          </w:p>
        </w:tc>
        <w:tc>
          <w:tcPr>
            <w:tcW w:type="dxa" w:w="1814"/>
            <w:shd w:val="clear" w:color="auto" w:fill="D6E4F0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防控措施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平台技术架构无法扩展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中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严重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高风险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聘请第三方技术尽调，设定技术里程碑对赌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创始团队核心人员流失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中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较大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中风险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设定创始人竞业禁止和股权锁定条款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监管政策限制外资控股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低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严重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中风险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采用VIE架构或本地合资模式，预留调整空间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竞争对手以补贴方式狙击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高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一般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中风险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设定市场费用上限，预留额外融资额度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汇率波动导致投资回报缩水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中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较大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中风险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签订远期外汇合约，设定汇率风险对冲比例</w:t>
            </w:r>
          </w:p>
        </w:tc>
      </w:tr>
    </w:tbl>
    <w:p>
      <w:pPr>
        <w:pStyle w:val="BodyText"/>
      </w:pPr>
      <w:r>
        <w:t>综合评级：中风险（黄色）——可以投资，但必须附加技术对赌、分期注资、创始人锁定等保护条款，并设定明确的止损线和退出机制。</w:t>
      </w:r>
    </w:p>
    <w:p>
      <w:pPr>
        <w:pStyle w:val="Heading3"/>
      </w:pPr>
      <w:r>
        <w:t>6.4 补齐标准化方案撰写能力</w:t>
      </w:r>
    </w:p>
    <w:p>
      <w:pPr>
        <w:pStyle w:val="BodyText"/>
      </w:pPr>
      <w:r>
        <w:t>本书对个人最大的价值，在于提供了一套</w:t>
      </w:r>
      <w:r>
        <w:rPr>
          <w:b/>
        </w:rPr>
        <w:t>标准化的风险评估与处置方案撰写框架</w:t>
      </w:r>
      <w:r>
        <w:t>。在前两份读书报告（《危机应对的道与术》提供思维框架，《掘金》提供金融工具）的基础上，本书补齐了"方案标准化撰写"这一关键能力：</w:t>
      </w:r>
    </w:p>
    <w:p>
      <w:pPr>
        <w:pStyle w:val="BodyText"/>
      </w:pPr>
      <w:r>
        <w:rPr>
          <w:b/>
        </w:rPr>
        <w:t>标准化方案的核心模块</w:t>
      </w:r>
      <w:r>
        <w:t>：</w:t>
      </w:r>
    </w:p>
    <w:p>
      <w:pPr>
        <w:pStyle w:val="ListNumber"/>
        <w:numPr>
          <w:ilvl w:val="0"/>
          <w:numId w:val="12"/>
        </w:numPr>
      </w:pPr>
      <w:r>
        <w:rPr>
          <w:b/>
        </w:rPr>
        <w:t>背景与目标</w:t>
      </w:r>
      <w:r>
        <w:t>（为什么做这个决策，要达到什么目标）</w:t>
      </w:r>
    </w:p>
    <w:p>
      <w:pPr>
        <w:pStyle w:val="ListNumber"/>
        <w:numPr>
          <w:ilvl w:val="0"/>
          <w:numId w:val="12"/>
        </w:numPr>
      </w:pPr>
      <w:r>
        <w:rPr>
          <w:b/>
        </w:rPr>
        <w:t>评估范围与依据</w:t>
      </w:r>
      <w:r>
        <w:t>（评估什么、依据什么标准）</w:t>
      </w:r>
    </w:p>
    <w:p>
      <w:pPr>
        <w:pStyle w:val="ListNumber"/>
        <w:numPr>
          <w:ilvl w:val="0"/>
          <w:numId w:val="12"/>
        </w:numPr>
      </w:pPr>
      <w:r>
        <w:rPr>
          <w:b/>
        </w:rPr>
        <w:t>风险识别清单</w:t>
      </w:r>
      <w:r>
        <w:t>（全面的风险因素扫描）</w:t>
      </w:r>
    </w:p>
    <w:p>
      <w:pPr>
        <w:pStyle w:val="ListNumber"/>
        <w:numPr>
          <w:ilvl w:val="0"/>
          <w:numId w:val="12"/>
        </w:numPr>
      </w:pPr>
      <w:r>
        <w:rPr>
          <w:b/>
        </w:rPr>
        <w:t>风险评估矩阵</w:t>
      </w:r>
      <w:r>
        <w:t>（概率×影响的量化评级）</w:t>
      </w:r>
    </w:p>
    <w:p>
      <w:pPr>
        <w:pStyle w:val="ListNumber"/>
        <w:numPr>
          <w:ilvl w:val="0"/>
          <w:numId w:val="12"/>
        </w:numPr>
      </w:pPr>
      <w:r>
        <w:rPr>
          <w:b/>
        </w:rPr>
        <w:t>风险等级综合判定</w:t>
      </w:r>
      <w:r>
        <w:t>（红/黄/绿灯结论）</w:t>
      </w:r>
    </w:p>
    <w:p>
      <w:pPr>
        <w:pStyle w:val="ListNumber"/>
        <w:numPr>
          <w:ilvl w:val="0"/>
          <w:numId w:val="12"/>
        </w:numPr>
      </w:pPr>
      <w:r>
        <w:rPr>
          <w:b/>
        </w:rPr>
        <w:t>防控措施与责任分工</w:t>
      </w:r>
      <w:r>
        <w:t>（谁、在什么时间、用什么资源、做什么事）</w:t>
      </w:r>
    </w:p>
    <w:p>
      <w:pPr>
        <w:pStyle w:val="ListNumber"/>
        <w:numPr>
          <w:ilvl w:val="0"/>
          <w:numId w:val="12"/>
        </w:numPr>
      </w:pPr>
      <w:r>
        <w:rPr>
          <w:b/>
        </w:rPr>
        <w:t>应急预案</w:t>
      </w:r>
      <w:r>
        <w:t>（万一风险爆发，怎么响应）</w:t>
      </w:r>
    </w:p>
    <w:p>
      <w:pPr>
        <w:pStyle w:val="ListNumber"/>
        <w:numPr>
          <w:ilvl w:val="0"/>
          <w:numId w:val="12"/>
        </w:numPr>
      </w:pPr>
      <w:r>
        <w:rPr>
          <w:b/>
        </w:rPr>
        <w:t>跟踪监测计划</w:t>
      </w:r>
      <w:r>
        <w:t>（如何持续监测、动态调整）</w:t>
      </w:r>
    </w:p>
    <w:p>
      <w:pPr>
        <w:pStyle w:val="ListNumber"/>
        <w:numPr>
          <w:ilvl w:val="0"/>
          <w:numId w:val="12"/>
        </w:numPr>
      </w:pPr>
      <w:r>
        <w:rPr>
          <w:b/>
        </w:rPr>
        <w:t>评估结论与建议</w:t>
      </w:r>
      <w:r>
        <w:t>（推进/谨慎推进/暂停）</w:t>
      </w:r>
    </w:p>
    <w:p>
      <w:pPr>
        <w:pStyle w:val="BodyText"/>
      </w:pPr>
      <w:r>
        <w:rPr>
          <w:b/>
        </w:rPr>
        <w:t>三本书的能力叠加</w:t>
      </w:r>
      <w:r>
        <w:t>：</w:t>
      </w:r>
    </w:p>
    <w:p>
      <w:pPr>
        <w:pStyle w:val="ListBullet"/>
      </w:pPr>
      <w:r>
        <w:t>《危机应对的道与术》→ 建立"预判—止损—复盘"的思维框架（道）</w:t>
      </w:r>
    </w:p>
    <w:p>
      <w:pPr>
        <w:pStyle w:val="ListBullet"/>
      </w:pPr>
      <w:r>
        <w:t>《掘金》→ 掌握尽调估值、债务重组、交易结构等金融工具（术）</w:t>
      </w:r>
    </w:p>
    <w:p>
      <w:pPr>
        <w:pStyle w:val="ListBullet"/>
      </w:pPr>
      <w:r>
        <w:t>《重大决策社会稳定风险评估指南》→ 掌握标准化的风险评估与处置方案撰写方法（器）</w:t>
      </w:r>
    </w:p>
    <w:p>
      <w:pPr>
        <w:pStyle w:val="BodyText"/>
      </w:pPr>
      <w:r>
        <w:t>三者叠加，形成从"思维认知"到"操作工具"再到"文档交付"的完整能力链条。</w:t>
      </w:r>
    </w:p>
    <w:p>
      <w:pPr>
        <w:spacing w:before="80" w:after="80"/>
        <w:ind w:firstLine="0"/>
        <w:pBdr>
          <w:bottom w:val="single" w:sz="6" w:space="0" w:color="808080"/>
        </w:pBdr>
      </w:pPr>
    </w:p>
    <w:p>
      <w:pPr>
        <w:pStyle w:val="Heading2"/>
      </w:pPr>
      <w:r>
        <w:t>结论</w:t>
      </w:r>
    </w:p>
    <w:p>
      <w:pPr>
        <w:pStyle w:val="BodyText"/>
      </w:pPr>
      <w:r>
        <w:t>《重大决策社会稳定风险评估指南：理论·方法·案例》是一部体系庞大、内容扎实的专业指南。对个人学习者而言，其价值不在于直接套用政府稳评的行政程序，而在于提炼其中</w:t>
      </w:r>
      <w:r>
        <w:rPr>
          <w:b/>
        </w:rPr>
        <w:t>标准化的风险识别方法、三级评级体系、八步评估流程、分级响应机制</w:t>
      </w:r>
      <w:r>
        <w:t>等核心方法论，并将其降维适配到企业重大项目、商业合作、投资决策的微观场景中。</w:t>
      </w:r>
    </w:p>
    <w:p>
      <w:pPr>
        <w:pStyle w:val="BodyText"/>
      </w:pPr>
      <w:r>
        <w:t>通过本书的学习，可以补齐"标准化方案撰写"这一关键能力——从前两份报告建立的"思维框架"和"金融工具"，升级为"可交付的风险处置方案书"。这种"道—术—器"三层叠加的学习路径，正是商业风险处置顾问能力体系建设的完整闭环。</w:t>
      </w:r>
    </w:p>
    <w:p>
      <w:pPr>
        <w:pStyle w:val="BodyText"/>
      </w:pPr>
      <w:r>
        <w:rPr>
          <w:b/>
        </w:rPr>
        <w:t>对个人学习的行动建议</w:t>
      </w:r>
      <w:r>
        <w:t>：</w:t>
      </w:r>
    </w:p>
    <w:p>
      <w:pPr>
        <w:pStyle w:val="ListNumber"/>
        <w:numPr>
          <w:ilvl w:val="0"/>
          <w:numId w:val="13"/>
        </w:numPr>
      </w:pPr>
      <w:r>
        <w:t>以本书的"五步工作法"和"四性评估"为框架，针对手头一个真实项目（或模拟项目），完成一次完整的"稳评式风险评估"，输出一份标准化的风险评估报告。</w:t>
      </w:r>
    </w:p>
    <w:p>
      <w:pPr>
        <w:pStyle w:val="ListNumber"/>
        <w:numPr>
          <w:ilvl w:val="0"/>
          <w:numId w:val="13"/>
        </w:numPr>
      </w:pPr>
      <w:r>
        <w:t>建立个人"风险数据库"，记录每一个评估过的项目的风险因素、评级结论、实际结果和经验教训，形成持续迭代的风险认知资产。</w:t>
      </w:r>
    </w:p>
    <w:p>
      <w:pPr>
        <w:pStyle w:val="ListNumber"/>
        <w:numPr>
          <w:ilvl w:val="0"/>
          <w:numId w:val="13"/>
        </w:numPr>
      </w:pPr>
      <w:r>
        <w:t>将三本书的核心框架融合为个人"风险处置SOP"——用《危机应对》做思维校准，用《掘金》做工具填充，用《稳评指南》做文档规范。</w:t>
      </w:r>
    </w:p>
    <w:sectPr w:rsidR="00FC693F" w:rsidRPr="0006063C" w:rsidSect="00034616">
      <w:pgSz w:w="11906" w:h="16838"/>
      <w:pgMar w:top="1417" w:right="1417" w:bottom="1134" w:left="1417" w:header="720" w:footer="720" w:gutter="0"/>
      <w:cols w:space="720" w:num="1"/>
      <w:vAlign w:val="top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cstheme="minorBidi" w:ascii="Arial" w:hAnsi="Arial" w:eastAsia="宋体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84" w:lineRule="auto" w:after="135"/>
      <w:ind w:firstLine="360"/>
    </w:pPr>
    <w:rPr>
      <w:rFonts w:ascii="Arial" w:hAnsi="Arial" w:eastAsia="宋体"/>
      <w:color w:val="252525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480" w:after="0"/>
      <w:ind w:firstLine="0"/>
      <w:jc w:val="center"/>
      <w:outlineLvl w:val="0"/>
    </w:pPr>
    <w:rPr>
      <w:rFonts w:cstheme="majorBidi" w:ascii="Arial" w:hAnsi="Arial" w:eastAsia="黑体"/>
      <w:b/>
      <w:bCs/>
      <w:color w:val="1F4E79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ind w:firstLine="0"/>
      <w:outlineLvl w:val="1"/>
    </w:pPr>
    <w:rPr>
      <w:rFonts w:cstheme="majorBidi" w:ascii="Arial" w:hAnsi="Arial" w:eastAsia="黑体"/>
      <w:b/>
      <w:bCs/>
      <w:color w:val="1F4E79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ind w:firstLine="0"/>
      <w:outlineLvl w:val="2"/>
    </w:pPr>
    <w:rPr>
      <w:rFonts w:cstheme="majorBidi" w:ascii="Arial" w:hAnsi="Arial" w:eastAsia="黑体"/>
      <w:b/>
      <w:bCs/>
      <w:color w:val="00000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ind w:firstLine="0"/>
      <w:outlineLvl w:val="3"/>
    </w:pPr>
    <w:rPr>
      <w:rFonts w:cstheme="majorBidi" w:ascii="Arial" w:hAnsi="Arial" w:eastAsia="黑体"/>
      <w:b/>
      <w:bCs/>
      <w:i/>
      <w:iCs/>
      <w:color w:val="00000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ind w:firstLine="0"/>
      <w:outlineLvl w:val="4"/>
    </w:pPr>
    <w:rPr>
      <w:rFonts w:cstheme="majorBidi" w:ascii="Arial" w:hAnsi="Arial" w:eastAsia="黑体"/>
      <w:b/>
      <w:color w:val="000000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ind w:firstLine="0"/>
      <w:outlineLvl w:val="5"/>
    </w:pPr>
    <w:rPr>
      <w:rFonts w:cstheme="majorBidi" w:ascii="Arial" w:hAnsi="Arial" w:eastAsia="黑体"/>
      <w:b/>
      <w:i/>
      <w:iCs/>
      <w:color w:val="000000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ind w:firstLine="0"/>
      <w:contextualSpacing/>
      <w:jc w:val="center"/>
    </w:pPr>
    <w:rPr>
      <w:rFonts w:cstheme="majorBidi" w:ascii="Arial" w:hAnsi="Arial" w:eastAsia="黑体"/>
      <w:b/>
      <w:color w:val="1F4E79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ascii="Arial" w:hAnsi="Arial" w:eastAsia="黑体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35" w:line="384" w:lineRule="auto"/>
      <w:ind w:firstLine="360"/>
    </w:pPr>
    <w:rPr>
      <w:rFonts w:ascii="Arial" w:hAnsi="Arial" w:eastAsia="宋体"/>
      <w:color w:val="252525"/>
      <w:sz w:val="1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宋体"/>
      <w:color w:val="252525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 w:eastAsia="宋体"/>
      <w:color w:val="252525"/>
      <w:sz w:val="1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 w:eastAsia="宋体"/>
      <w:color w:val="252525"/>
      <w:sz w:val="1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宋体"/>
      <w:color w:val="252525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 w:eastAsia="宋体"/>
      <w:color w:val="252525"/>
      <w:sz w:val="1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 w:eastAsia="宋体"/>
      <w:color w:val="252525"/>
      <w:sz w:val="18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eastAsia="宋体"/>
      <w:b/>
      <w:bCs/>
      <w:color w:val="616161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rial" w:hAnsi="Arial" w:eastAsia="宋体"/>
      <w:b/>
      <w:bCs/>
      <w:i/>
      <w:iCs/>
      <w:color w:val="252525"/>
      <w:sz w:val="1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 w:eastAsia="黑体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ourier New" w:hAnsi="Courier New"/>
      <w:color w:val="00000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《重大决策社会稳定风险评估指南：理论·方法·案例》读书报告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 "value1", "ContentProducer": "001191110000802100433B11010001191110000802100433B11010", "ProduceID": "ddfe2847-dbe3-4630-b752-713227a8ac82", "ReservedCode1": "72dafc97cd38b92e5f3d5cdfd0dfbbe6", "ContentPropagator": "001191110000802100433B11010001191110000802100433B11010", "PropagateID": "1ffa16c2-6615-4868-831f-0d1f2cb52c9f", "ReservedCode2": "2734827274df537123a472bf4de01eb5"}</vt:lpwstr>
  </property>
</Properties>
</file>