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49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ascii="Arial" w:hAnsi="Arial" w:eastAsia="等线" w:cs="Arial"/>
          <w:b/>
          <w:sz w:val="32"/>
          <w:szCs w:val="32"/>
        </w:rPr>
      </w:pPr>
      <w:r>
        <w:rPr>
          <w:rFonts w:ascii="Arial" w:hAnsi="Arial" w:eastAsia="等线" w:cs="Arial"/>
          <w:b/>
          <w:sz w:val="32"/>
          <w:szCs w:val="32"/>
        </w:rPr>
        <w:t>风险处置</w:t>
      </w:r>
      <w:r>
        <w:rPr>
          <w:rFonts w:hint="eastAsia" w:ascii="Arial" w:hAnsi="Arial" w:eastAsia="等线" w:cs="Arial"/>
          <w:b/>
          <w:sz w:val="32"/>
          <w:szCs w:val="32"/>
          <w:lang w:val="en-US" w:eastAsia="zh-CN"/>
        </w:rPr>
        <w:t>学习</w:t>
      </w:r>
      <w:r>
        <w:rPr>
          <w:rFonts w:ascii="Arial" w:hAnsi="Arial" w:eastAsia="等线" w:cs="Arial"/>
          <w:b/>
          <w:sz w:val="32"/>
          <w:szCs w:val="32"/>
        </w:rPr>
        <w:t>方案</w:t>
      </w:r>
    </w:p>
    <w:p w14:paraId="54DD4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sz w:val="32"/>
          <w:szCs w:val="32"/>
        </w:rPr>
      </w:pPr>
      <w:r>
        <w:rPr>
          <w:rFonts w:ascii="Arial" w:hAnsi="Arial" w:eastAsia="等线" w:cs="Arial"/>
          <w:b/>
          <w:sz w:val="32"/>
          <w:szCs w:val="32"/>
        </w:rPr>
        <w:t>（学习计划+书单+全套模板）</w:t>
      </w:r>
    </w:p>
    <w:p w14:paraId="6F87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目标：从零具备</w:t>
      </w:r>
      <w:r>
        <w:rPr>
          <w:rFonts w:ascii="Arial" w:hAnsi="Arial" w:eastAsia="等线" w:cs="Arial"/>
          <w:b/>
          <w:sz w:val="22"/>
        </w:rPr>
        <w:t>企业风险排查、风险定级、处置方案撰写、债务纠纷止损、谈判预案、风险复盘</w:t>
      </w:r>
      <w:r>
        <w:rPr>
          <w:rFonts w:ascii="Arial" w:hAnsi="Arial" w:eastAsia="等线" w:cs="Arial"/>
          <w:sz w:val="22"/>
        </w:rPr>
        <w:t>全套职业能力，达到行业初级全职处置顾问上岗水平。</w:t>
      </w:r>
      <w:bookmarkStart w:id="28" w:name="_GoBack"/>
      <w:bookmarkEnd w:id="28"/>
    </w:p>
    <w:p w14:paraId="77258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学习定位：</w:t>
      </w:r>
      <w:r>
        <w:rPr>
          <w:rFonts w:ascii="Arial" w:hAnsi="Arial" w:eastAsia="等线" w:cs="Arial"/>
          <w:b/>
          <w:sz w:val="22"/>
        </w:rPr>
        <w:t>偏商业处置、非纯法条、可落地止损、能写方案、能算成本、能给决策</w:t>
      </w:r>
      <w:r>
        <w:rPr>
          <w:rFonts w:ascii="Arial" w:hAnsi="Arial" w:eastAsia="等线" w:cs="Arial"/>
          <w:sz w:val="22"/>
        </w:rPr>
        <w:t>（区别于律师、普通风控）</w:t>
      </w:r>
    </w:p>
    <w:p w14:paraId="1759FA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466FF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第一阶段：第1月｜打底：建立风险处置底层逻辑（筑基期）</w:t>
      </w:r>
      <w:bookmarkEnd w:id="0"/>
    </w:p>
    <w:p w14:paraId="49221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本月核心目标</w:t>
      </w:r>
      <w:r>
        <w:rPr>
          <w:rFonts w:ascii="Arial" w:hAnsi="Arial" w:eastAsia="等线" w:cs="Arial"/>
          <w:sz w:val="22"/>
        </w:rPr>
        <w:t>：看得懂风险、分得清风险类型、会做基础尽调、会写风险简报</w:t>
      </w:r>
    </w:p>
    <w:p w14:paraId="51AE95F9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课程学习（必学）</w:t>
      </w:r>
      <w:bookmarkEnd w:id="1"/>
    </w:p>
    <w:p w14:paraId="1E76A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平台：</w:t>
      </w:r>
      <w:r>
        <w:rPr>
          <w:rFonts w:ascii="Arial" w:hAnsi="Arial" w:eastAsia="等线" w:cs="Arial"/>
          <w:b/>
          <w:sz w:val="22"/>
        </w:rPr>
        <w:t>火栗网 / 资管云 基础实务课</w:t>
      </w:r>
    </w:p>
    <w:p w14:paraId="3EAAA6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必修模块：</w:t>
      </w:r>
    </w:p>
    <w:p w14:paraId="7859221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风险处置行业全景认知（企业出险路径、爆雷链条）</w:t>
      </w:r>
    </w:p>
    <w:p w14:paraId="3878FEA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企业风险尽调基础（工商、涉诉、资产、舆情、债务排查）</w:t>
      </w:r>
    </w:p>
    <w:p w14:paraId="02BB0F3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风险等级划分标准（低/中/高/致命风险）</w:t>
      </w:r>
    </w:p>
    <w:p w14:paraId="67F02AC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非诉处置逻辑（优先和解、延期、剥离、止损，最后诉讼）</w:t>
      </w:r>
    </w:p>
    <w:p w14:paraId="31986D77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法律基础（不用背，只学实务）</w:t>
      </w:r>
      <w:bookmarkEnd w:id="2"/>
    </w:p>
    <w:p w14:paraId="0361E7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重点看懂4块：</w:t>
      </w:r>
    </w:p>
    <w:p w14:paraId="2A6E084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合同违约逻辑（解除、抗辩、追责）</w:t>
      </w:r>
    </w:p>
    <w:p w14:paraId="64AC410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担保责任逻辑（连带/一般/抵押/质押）</w:t>
      </w:r>
    </w:p>
    <w:p w14:paraId="045D794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债权逾期、诉讼时效、保全基础</w:t>
      </w:r>
    </w:p>
    <w:p w14:paraId="5A7D0BC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企业无力偿债的三种结局：协商重组、清算、破产</w:t>
      </w:r>
    </w:p>
    <w:p w14:paraId="6257824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本月输出作业（关键！快速职业化）</w:t>
      </w:r>
      <w:bookmarkEnd w:id="3"/>
    </w:p>
    <w:p w14:paraId="2F430B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每2天完成1次：</w:t>
      </w:r>
      <w:r>
        <w:rPr>
          <w:rFonts w:ascii="Arial" w:hAnsi="Arial" w:eastAsia="等线" w:cs="Arial"/>
          <w:b/>
          <w:sz w:val="22"/>
        </w:rPr>
        <w:t>简易风险排查报告</w:t>
      </w:r>
    </w:p>
    <w:p w14:paraId="51B7F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输出内容：风险点 + 影响范围 + 紧急程度 + 初步建议</w:t>
      </w:r>
    </w:p>
    <w:p w14:paraId="72F55AD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第一月必读书单（轻量化）</w:t>
      </w:r>
      <w:bookmarkEnd w:id="4"/>
    </w:p>
    <w:p w14:paraId="09B0CCE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《企业法律风险防控实务》（入门框架）</w:t>
      </w:r>
    </w:p>
    <w:p w14:paraId="402DE7D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《债务危机处置与重组实务》（看懂出险企业逻辑）</w:t>
      </w:r>
    </w:p>
    <w:p w14:paraId="1CF9AE4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08B92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第二阶段：第2月｜进阶：掌握核心职业技能（方案能力）</w:t>
      </w:r>
      <w:bookmarkEnd w:id="5"/>
    </w:p>
    <w:p w14:paraId="681786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本月核心目标</w:t>
      </w:r>
      <w:r>
        <w:rPr>
          <w:rFonts w:ascii="Arial" w:hAnsi="Arial" w:eastAsia="等线" w:cs="Arial"/>
          <w:sz w:val="22"/>
        </w:rPr>
        <w:t>：能独立撰写</w:t>
      </w:r>
      <w:r>
        <w:rPr>
          <w:rFonts w:ascii="Arial" w:hAnsi="Arial" w:eastAsia="等线" w:cs="Arial"/>
          <w:b/>
          <w:sz w:val="22"/>
        </w:rPr>
        <w:t>标准风险处置方案</w:t>
      </w:r>
      <w:r>
        <w:rPr>
          <w:rFonts w:ascii="Arial" w:hAnsi="Arial" w:eastAsia="等线" w:cs="Arial"/>
          <w:sz w:val="22"/>
        </w:rPr>
        <w:t>（行业最值钱能力）</w:t>
      </w:r>
    </w:p>
    <w:p w14:paraId="7ADEEF2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重点攻克四大高频处置场景</w:t>
      </w:r>
      <w:bookmarkEnd w:id="6"/>
    </w:p>
    <w:p w14:paraId="6ECFC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所有企业90%风险都在这四类：</w:t>
      </w:r>
    </w:p>
    <w:p w14:paraId="5FF4CD0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应收款逾期、坏账风险</w:t>
      </w:r>
      <w:r>
        <w:rPr>
          <w:rFonts w:ascii="Arial" w:hAnsi="Arial" w:eastAsia="等线" w:cs="Arial"/>
          <w:sz w:val="22"/>
        </w:rPr>
        <w:t>（催收、对账、保全、和解）</w:t>
      </w:r>
    </w:p>
    <w:p w14:paraId="428F415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合同违约、履约僵局</w:t>
      </w:r>
      <w:r>
        <w:rPr>
          <w:rFonts w:ascii="Arial" w:hAnsi="Arial" w:eastAsia="等线" w:cs="Arial"/>
          <w:sz w:val="22"/>
        </w:rPr>
        <w:t>（止损、解约、替代方案、索赔测算）</w:t>
      </w:r>
    </w:p>
    <w:p w14:paraId="76A4535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企业债务压力、现金流危机</w:t>
      </w:r>
      <w:r>
        <w:rPr>
          <w:rFonts w:ascii="Arial" w:hAnsi="Arial" w:eastAsia="等线" w:cs="Arial"/>
          <w:sz w:val="22"/>
        </w:rPr>
        <w:t>（分期、展期、债务切割、资产隔离）</w:t>
      </w:r>
    </w:p>
    <w:p w14:paraId="3237656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合作纠纷、股权僵局、项目停工</w:t>
      </w:r>
      <w:r>
        <w:rPr>
          <w:rFonts w:ascii="Arial" w:hAnsi="Arial" w:eastAsia="等线" w:cs="Arial"/>
          <w:sz w:val="22"/>
        </w:rPr>
        <w:t>（谈判结构、退出机制）</w:t>
      </w:r>
    </w:p>
    <w:p w14:paraId="7AF4510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训练核心：多预案推演（处置顾问的核心壁垒）</w:t>
      </w:r>
      <w:bookmarkEnd w:id="7"/>
    </w:p>
    <w:p w14:paraId="08A87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任何一个风险必须输出三套方案：</w:t>
      </w:r>
    </w:p>
    <w:p w14:paraId="6F9ED25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方案A：最优和解（低成本、快止损）</w:t>
      </w:r>
    </w:p>
    <w:p w14:paraId="48B1DB6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方案B：保守处置（稳、不扩大损失）</w:t>
      </w:r>
    </w:p>
    <w:p w14:paraId="32FF5D6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方案C：兜底诉讼/仲裁预案（底线防守）</w:t>
      </w:r>
    </w:p>
    <w:p w14:paraId="0BE0967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本月硬性输出</w:t>
      </w:r>
      <w:bookmarkEnd w:id="8"/>
    </w:p>
    <w:p w14:paraId="02B0FE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每周1篇：</w:t>
      </w:r>
      <w:r>
        <w:rPr>
          <w:rFonts w:ascii="Arial" w:hAnsi="Arial" w:eastAsia="等线" w:cs="Arial"/>
          <w:b/>
          <w:sz w:val="22"/>
        </w:rPr>
        <w:t>完整风险处置方案书</w:t>
      </w:r>
    </w:p>
    <w:p w14:paraId="4F01A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结构：风险概况→损失测算→风险传导分析→三套处置方案→执行步骤→风险隔离→复盘建议</w:t>
      </w:r>
    </w:p>
    <w:p w14:paraId="50344B8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 第二月进阶书单</w:t>
      </w:r>
      <w:bookmarkEnd w:id="9"/>
    </w:p>
    <w:p w14:paraId="21147C9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《破产重整与债务重组实务指南》</w:t>
      </w:r>
    </w:p>
    <w:p w14:paraId="10CB35E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《商业谈判与纠纷非诉解决》</w:t>
      </w:r>
    </w:p>
    <w:p w14:paraId="4A3E67D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BCD9B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第三阶段：第3月｜成型：标准化+实战模拟（可上岗）</w:t>
      </w:r>
      <w:bookmarkEnd w:id="10"/>
    </w:p>
    <w:p w14:paraId="466948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本月核心目标</w:t>
      </w:r>
      <w:r>
        <w:rPr>
          <w:rFonts w:ascii="Arial" w:hAnsi="Arial" w:eastAsia="等线" w:cs="Arial"/>
          <w:sz w:val="22"/>
        </w:rPr>
        <w:t>：把零散经验变成</w:t>
      </w:r>
      <w:r>
        <w:rPr>
          <w:rFonts w:ascii="Arial" w:hAnsi="Arial" w:eastAsia="等线" w:cs="Arial"/>
          <w:b/>
          <w:sz w:val="22"/>
        </w:rPr>
        <w:t>标准化SOP+可复用模板</w:t>
      </w:r>
      <w:r>
        <w:rPr>
          <w:rFonts w:ascii="Arial" w:hAnsi="Arial" w:eastAsia="等线" w:cs="Arial"/>
          <w:sz w:val="22"/>
        </w:rPr>
        <w:t>，具备独立对接企业项目能力</w:t>
      </w:r>
    </w:p>
    <w:p w14:paraId="7B29991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1. 方法论升级（让你比普通风控更专业）</w:t>
      </w:r>
      <w:bookmarkEnd w:id="11"/>
    </w:p>
    <w:p w14:paraId="036C7B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学习 </w:t>
      </w:r>
      <w:r>
        <w:rPr>
          <w:rFonts w:ascii="Arial" w:hAnsi="Arial" w:eastAsia="等线" w:cs="Arial"/>
          <w:b/>
          <w:sz w:val="22"/>
        </w:rPr>
        <w:t>RMP风险管控思维</w:t>
      </w:r>
      <w:r>
        <w:rPr>
          <w:rFonts w:ascii="Arial" w:hAnsi="Arial" w:eastAsia="等线" w:cs="Arial"/>
          <w:sz w:val="22"/>
        </w:rPr>
        <w:t>（不用考证，只用模型）</w:t>
      </w:r>
    </w:p>
    <w:p w14:paraId="212BCD2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风险识别清单法</w:t>
      </w:r>
    </w:p>
    <w:p w14:paraId="3C65EE6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概率-影响矩阵评级</w:t>
      </w:r>
    </w:p>
    <w:p w14:paraId="041A91A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风险缓释、风险隔离、风险转移、风险规避四类策略</w:t>
      </w:r>
    </w:p>
    <w:p w14:paraId="1A19C3C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 全流程沙盘模拟</w:t>
      </w:r>
      <w:bookmarkEnd w:id="12"/>
    </w:p>
    <w:p w14:paraId="1F40F7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模拟真实企业爆雷场景：</w:t>
      </w:r>
    </w:p>
    <w:p w14:paraId="0D639BF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客户拖欠大额款项</w:t>
      </w:r>
    </w:p>
    <w:p w14:paraId="47CEBE3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项目中途违约停工</w:t>
      </w:r>
    </w:p>
    <w:p w14:paraId="1CD7D33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多方债务集中到期</w:t>
      </w:r>
    </w:p>
    <w:p w14:paraId="56D7B59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合作方恶意扣货、违约</w:t>
      </w:r>
    </w:p>
    <w:p w14:paraId="481186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输出：尽调表 + 评估报告 + 处置方案 + 谈判话术 + 执行时间表</w:t>
      </w:r>
    </w:p>
    <w:p w14:paraId="551DC43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 第三月书单</w:t>
      </w:r>
      <w:bookmarkEnd w:id="13"/>
    </w:p>
    <w:p w14:paraId="6D7FBEC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《企业危机管理与风险复盘》</w:t>
      </w:r>
    </w:p>
    <w:p w14:paraId="396552A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《不良资产处置案例全集》（看案例不看理论）</w:t>
      </w:r>
    </w:p>
    <w:p w14:paraId="5127CA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C639D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24DE6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易经天道视角：资产与债权的体用阴阳定律（风险处置顶层认知）</w:t>
      </w:r>
      <w:bookmarkEnd w:id="14"/>
    </w:p>
    <w:p w14:paraId="41642E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以《易经》阴阳体用、厚德载物之道观之：</w:t>
      </w:r>
      <w:r>
        <w:rPr>
          <w:rFonts w:ascii="Arial" w:hAnsi="Arial" w:eastAsia="等线" w:cs="Arial"/>
          <w:b/>
          <w:sz w:val="22"/>
        </w:rPr>
        <w:t>资产为体、为阴、为根基；债权为用、为阳、为生发</w:t>
      </w:r>
      <w:r>
        <w:rPr>
          <w:rFonts w:ascii="Arial" w:hAnsi="Arial" w:eastAsia="等线" w:cs="Arial"/>
          <w:sz w:val="22"/>
        </w:rPr>
        <w:t>。世间万物，体立而后用行，阴厚而后阳生，无体则无用，无基则无生。</w:t>
      </w:r>
    </w:p>
    <w:p w14:paraId="66AE5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是有形承载，是厚德载物之“地”，为一切权利落地的根本锚点；债权是无形权利，是顺势生发之“象”，依托底层资产方能兑现价值。债权看似是独立的权利约定，实则完全依附于资产的真实性、完整性与可控性，属于</w:t>
      </w:r>
      <w:r>
        <w:rPr>
          <w:rFonts w:ascii="Arial" w:hAnsi="Arial" w:eastAsia="等线" w:cs="Arial"/>
          <w:b/>
          <w:sz w:val="22"/>
        </w:rPr>
        <w:t>阳依阴存、用依体生</w:t>
      </w:r>
      <w:r>
        <w:rPr>
          <w:rFonts w:ascii="Arial" w:hAnsi="Arial" w:eastAsia="等线" w:cs="Arial"/>
          <w:sz w:val="22"/>
        </w:rPr>
        <w:t>的易道规律。</w:t>
      </w:r>
    </w:p>
    <w:p w14:paraId="27FF3C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易理有言：</w:t>
      </w:r>
      <w:r>
        <w:rPr>
          <w:rFonts w:ascii="Arial" w:hAnsi="Arial" w:eastAsia="等线" w:cs="Arial"/>
          <w:b/>
          <w:sz w:val="22"/>
        </w:rPr>
        <w:t>皮之不存，毛将焉附；体之不存，用何由生</w:t>
      </w:r>
      <w:r>
        <w:rPr>
          <w:rFonts w:ascii="Arial" w:hAnsi="Arial" w:eastAsia="等线" w:cs="Arial"/>
          <w:sz w:val="22"/>
        </w:rPr>
        <w:t>。资产安全为阴、为静、为守，是风控底层底盘；债权收益为阳、为动、为进，是风险处置的外在目标。一旦资产受损、流失、贬值、失控，便是阴虚体破、根基失守，必然导致阳气涣散、债权悬空，所有纸面权利、合同约定、追偿诉求，皆会沦为无根之木、无源之水。</w:t>
      </w:r>
    </w:p>
    <w:p w14:paraId="49933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这便是风险处置的易法核心要义：</w:t>
      </w:r>
      <w:r>
        <w:rPr>
          <w:rFonts w:ascii="Arial" w:hAnsi="Arial" w:eastAsia="等线" w:cs="Arial"/>
          <w:b/>
          <w:sz w:val="22"/>
        </w:rPr>
        <w:t>守体方可用用，固本方可安民</w:t>
      </w:r>
      <w:r>
        <w:rPr>
          <w:rFonts w:ascii="Arial" w:hAnsi="Arial" w:eastAsia="等线" w:cs="Arial"/>
          <w:sz w:val="22"/>
        </w:rPr>
        <w:t>。所有债权处置、债务纾困、风险止损工作，本质是循易道而行——优先固本守基、锁定保全底层资产，夯实阴极之根基，方能稳固阳极之权利，最终实现债权安全落地、风险平稳出清，达成阴阳平衡、体用合一的最优处置结果。</w:t>
      </w:r>
    </w:p>
    <w:p w14:paraId="25F6E5D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913A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从资产与债权的底层逻辑来看，</w:t>
      </w:r>
      <w:r>
        <w:rPr>
          <w:rFonts w:ascii="Arial" w:hAnsi="Arial" w:eastAsia="等线" w:cs="Arial"/>
          <w:b/>
          <w:sz w:val="22"/>
        </w:rPr>
        <w:t>资产是债权唯一的核心锚定物</w:t>
      </w:r>
      <w:r>
        <w:rPr>
          <w:rFonts w:ascii="Arial" w:hAnsi="Arial" w:eastAsia="等线" w:cs="Arial"/>
          <w:sz w:val="22"/>
        </w:rPr>
        <w:t>，债权的最终清偿、价值兑现与权利实现，完全依托于对应底层资产。债权安全本质上依附于资产安全，资产的真实性、完整性、可控性、变现能力，直接决定债权的安全等级与清偿概率。</w:t>
      </w:r>
    </w:p>
    <w:p w14:paraId="2D0AAB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一切风险传导皆遵循统一规律：资产受损、流失、贬值、失控，必然引发债权贬值、悬空甚至彻底灭失。资产是债权的价值根基，根基不固则权利无依；</w:t>
      </w:r>
      <w:r>
        <w:rPr>
          <w:rFonts w:ascii="Arial" w:hAnsi="Arial" w:eastAsia="等线" w:cs="Arial"/>
          <w:b/>
          <w:sz w:val="22"/>
        </w:rPr>
        <w:t>资产不存，债权焉附</w:t>
      </w:r>
      <w:r>
        <w:rPr>
          <w:rFonts w:ascii="Arial" w:hAnsi="Arial" w:eastAsia="等线" w:cs="Arial"/>
          <w:sz w:val="22"/>
        </w:rPr>
        <w:t>。</w:t>
      </w:r>
    </w:p>
    <w:p w14:paraId="7985B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这也是风险处置顾问的核心处置逻辑：所有债权风险处置、债务纾困、纠纷止损工作，首要目标并非单纯追索文书胜诉，而是</w:t>
      </w:r>
      <w:r>
        <w:rPr>
          <w:rFonts w:ascii="Arial" w:hAnsi="Arial" w:eastAsia="等线" w:cs="Arial"/>
          <w:b/>
          <w:sz w:val="22"/>
        </w:rPr>
        <w:t>锁定资产、保全资产、盘活资产、隔离资产风险</w:t>
      </w:r>
      <w:r>
        <w:rPr>
          <w:rFonts w:ascii="Arial" w:hAnsi="Arial" w:eastAsia="等线" w:cs="Arial"/>
          <w:sz w:val="22"/>
        </w:rPr>
        <w:t>，通过守住底层资产安全，从根源保障债权落地兑现。</w:t>
      </w:r>
    </w:p>
    <w:p w14:paraId="5A060C2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0F42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59123E1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专属增补：风险处置顾问分级学习资料大全（精准适配岗位）</w:t>
      </w:r>
      <w:bookmarkEnd w:id="15"/>
    </w:p>
    <w:p w14:paraId="216BC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资料筛选原则：</w:t>
      </w:r>
      <w:r>
        <w:rPr>
          <w:rFonts w:ascii="Arial" w:hAnsi="Arial" w:eastAsia="等线" w:cs="Arial"/>
          <w:b/>
          <w:sz w:val="22"/>
        </w:rPr>
        <w:t>重实操、轻纯理论、贴合企业/金融风险处置、可直接落地用在方案撰写与项目处置</w:t>
      </w:r>
      <w:r>
        <w:rPr>
          <w:rFonts w:ascii="Arial" w:hAnsi="Arial" w:eastAsia="等线" w:cs="Arial"/>
          <w:sz w:val="22"/>
        </w:rPr>
        <w:t>，区分入门、进阶、高阶，完美匹配三个月学习节奏，规避无效学术书籍。</w:t>
      </w:r>
    </w:p>
    <w:p w14:paraId="64097E6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一、入门必看资料（第1月｜筑基打底）</w:t>
      </w:r>
      <w:bookmarkEnd w:id="16"/>
    </w:p>
    <w:p w14:paraId="146231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：搭建基础认知、吃透行业规则、看懂基础风险处置逻辑</w:t>
      </w:r>
    </w:p>
    <w:p w14:paraId="4E58F588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1. 实务书籍（零基础首选）</w:t>
      </w:r>
      <w:bookmarkEnd w:id="17"/>
    </w:p>
    <w:p w14:paraId="2C95029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《不良资产处置规定案例和文书》</w:t>
      </w:r>
      <w:r>
        <w:rPr>
          <w:rFonts w:ascii="Arial" w:hAnsi="Arial" w:eastAsia="等线" w:cs="Arial"/>
          <w:sz w:val="22"/>
        </w:rPr>
        <w:t>｜行业工具书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全网公认处置百科，收录现行有效法规、最高法典型案例，配套标准处置文书，适配债权清收、债务纠纷、资产处置基础实操，新手可直接对照落地工作。</w:t>
      </w:r>
    </w:p>
    <w:p w14:paraId="6B02F46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《危机应对的道与术》</w:t>
      </w:r>
      <w:r>
        <w:rPr>
          <w:rFonts w:ascii="Arial" w:hAnsi="Arial" w:eastAsia="等线" w:cs="Arial"/>
          <w:sz w:val="22"/>
        </w:rPr>
        <w:t>｜人民日报出版社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官方权威危机处置读本，收录国内外经典经济、企业危机案例，讲解风险预判、止损、复盘底层逻辑，适配企业突发风险处置思维搭建。</w:t>
      </w:r>
    </w:p>
    <w:p w14:paraId="698508DE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2. 官方免费规范资料（必存）</w:t>
      </w:r>
      <w:bookmarkEnd w:id="18"/>
    </w:p>
    <w:p w14:paraId="2CD423F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《民法典》合同编、担保制度司法解释（重点精读）：所有商事风险、违约处置、担保追责的核心依据</w:t>
      </w:r>
    </w:p>
    <w:p w14:paraId="6CF9434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最高人民法院关于审理企业破产、债务纠纷、执行异议的司法解释（精简实务版）</w:t>
      </w:r>
    </w:p>
    <w:p w14:paraId="6A94F7E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国资委《中央企业风险防控工作指引》：企业合规、债务、经营风险管控官方标准</w:t>
      </w:r>
    </w:p>
    <w:p w14:paraId="24165FC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二、进阶实战资料（第2月｜方案能力提升）</w:t>
      </w:r>
      <w:bookmarkEnd w:id="19"/>
    </w:p>
    <w:p w14:paraId="5AFE56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：专攻方案设计、债务重组、非诉处置、损失测算，对标职业顾问核心工作</w:t>
      </w:r>
    </w:p>
    <w:p w14:paraId="77403224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1. 进阶实务书籍</w:t>
      </w:r>
      <w:bookmarkEnd w:id="20"/>
    </w:p>
    <w:p w14:paraId="7634B0B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《掘金：不良资产经营与金融风险化解实操精要》</w:t>
      </w:r>
      <w:r>
        <w:rPr>
          <w:rFonts w:ascii="Arial" w:hAnsi="Arial" w:eastAsia="等线" w:cs="Arial"/>
          <w:sz w:val="22"/>
        </w:rPr>
        <w:t>（2026新版）｜王彬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最新行业实操专著，聚焦不良资产化解、企业债务纾困、风险止损方案设计，包含大量可复用的处置流程、成本测算、交易结构案例，贴合商业处置核心需求。</w:t>
      </w:r>
    </w:p>
    <w:p w14:paraId="52E6F60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《重大决策社会稳定风险评估指南：理论·方法·案例》</w:t>
      </w:r>
      <w:r>
        <w:rPr>
          <w:rFonts w:ascii="Arial" w:hAnsi="Arial" w:eastAsia="等线" w:cs="Arial"/>
          <w:sz w:val="22"/>
        </w:rPr>
        <w:t>｜中国应急管理学会编著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官方权威风控指南，标准化风险识别、评级、评估、处置流程，适配企业重大项目、合作、投资风险处置，补齐标准化方案撰写能力。</w:t>
      </w:r>
    </w:p>
    <w:p w14:paraId="37B24661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2. 行业案例库（免费高频查阅）</w:t>
      </w:r>
      <w:bookmarkEnd w:id="21"/>
    </w:p>
    <w:p w14:paraId="6BE6666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北大法宝、无讼案例：筛选「债务重组、合同违约、债权处置、企业止损」相关胜诉/调解典型案例，每周精读3篇，提炼处置思路</w:t>
      </w:r>
    </w:p>
    <w:p w14:paraId="0AF2B7F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中国金融不良资产处置年度报告：了解行业主流处置模式、成本标准、风险规避要点</w:t>
      </w:r>
    </w:p>
    <w:p w14:paraId="5883C7AF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三、高阶拔高资料（第3月｜上岗成型）</w:t>
      </w:r>
      <w:bookmarkEnd w:id="22"/>
    </w:p>
    <w:p w14:paraId="4DE038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：升级思维、适配复杂危机、舆情风险、系统性风险处置，拉开与普通风控差距</w:t>
      </w:r>
    </w:p>
    <w:p w14:paraId="23375344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1. 思维&amp;高阶实务书籍</w:t>
      </w:r>
      <w:bookmarkEnd w:id="23"/>
    </w:p>
    <w:p w14:paraId="09A9B28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《黑天鹅》</w:t>
      </w:r>
      <w:r>
        <w:rPr>
          <w:rFonts w:ascii="Arial" w:hAnsi="Arial" w:eastAsia="等线" w:cs="Arial"/>
          <w:sz w:val="22"/>
        </w:rPr>
        <w:t>｜纳西姆·塔勒布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掌握非常规突发风险识别、预判与应对逻辑，解决普通风控只会处理常规风险的短板，适配企业突发爆雷、连锁风险处置。</w:t>
      </w:r>
    </w:p>
    <w:p w14:paraId="41AF9BE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《闪电战：AI时代上市公司舆情攻防实战手册》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覆盖企业舆情危机、负面风险处置、危机公关止损，补齐风险处置顾问必备的舆情风险处置能力。</w:t>
      </w:r>
    </w:p>
    <w:p w14:paraId="3D5A10D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《巴塞尔协议与中国金融风险管理发展》</w:t>
      </w:r>
      <w:r>
        <w:rPr>
          <w:rFonts w:ascii="Arial" w:hAnsi="Arial" w:eastAsia="等线" w:cs="Arial"/>
          <w:sz w:val="22"/>
        </w:rPr>
        <w:t>｜陈忠阳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金融、企业系统性风险管控高阶理论，适合提升全局风险视野，适配大额债务、跨境、大型项目风险处置。</w:t>
      </w:r>
    </w:p>
    <w:p w14:paraId="5EE9F019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2. 权威行业报告（月度更新）</w:t>
      </w:r>
      <w:bookmarkEnd w:id="24"/>
    </w:p>
    <w:p w14:paraId="26369DF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四大AMC年度不良资产处置、企业风险化解报告</w:t>
      </w:r>
    </w:p>
    <w:p w14:paraId="0BCA999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监管机构发布的企业债务风险、合规风险处置白皮书</w:t>
      </w:r>
    </w:p>
    <w:p w14:paraId="46E0890B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四、永久免费资料库（日常学习复用）</w:t>
      </w:r>
      <w:bookmarkEnd w:id="25"/>
    </w:p>
    <w:p w14:paraId="032B366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资管云、火栗网免费专栏</w:t>
      </w:r>
      <w:r>
        <w:rPr>
          <w:rFonts w:ascii="Arial" w:hAnsi="Arial" w:eastAsia="等线" w:cs="Arial"/>
          <w:sz w:val="22"/>
        </w:rPr>
        <w:t>：行业动态、实操干货、处置案例解析</w:t>
      </w:r>
    </w:p>
    <w:p w14:paraId="53F59DA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国家金融监督管理总局公开文件</w:t>
      </w:r>
      <w:r>
        <w:rPr>
          <w:rFonts w:ascii="Arial" w:hAnsi="Arial" w:eastAsia="等线" w:cs="Arial"/>
          <w:sz w:val="22"/>
        </w:rPr>
        <w:t>：最新风险处置、合规监管政策</w:t>
      </w:r>
    </w:p>
    <w:p w14:paraId="6E5E455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中国裁判文书网</w:t>
      </w:r>
      <w:r>
        <w:rPr>
          <w:rFonts w:ascii="Arial" w:hAnsi="Arial" w:eastAsia="等线" w:cs="Arial"/>
          <w:sz w:val="22"/>
        </w:rPr>
        <w:t>：真实纠纷处置判例，学习落地止损、谈判、维权实操逻辑</w:t>
      </w:r>
    </w:p>
    <w:p w14:paraId="02D4827C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五、资料使用配套规则（贴合3个月学习计划）</w:t>
      </w:r>
      <w:bookmarkEnd w:id="26"/>
    </w:p>
    <w:p w14:paraId="5320092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第1月：以</w:t>
      </w:r>
      <w:r>
        <w:rPr>
          <w:rFonts w:ascii="Arial" w:hAnsi="Arial" w:eastAsia="等线" w:cs="Arial"/>
          <w:b/>
          <w:sz w:val="22"/>
        </w:rPr>
        <w:t>官方法规+入门书籍</w:t>
      </w:r>
      <w:r>
        <w:rPr>
          <w:rFonts w:ascii="Arial" w:hAnsi="Arial" w:eastAsia="等线" w:cs="Arial"/>
          <w:sz w:val="22"/>
        </w:rPr>
        <w:t>为主，打牢基础，不啃高阶厚书</w:t>
      </w:r>
    </w:p>
    <w:p w14:paraId="2A48E3F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第2月：以</w:t>
      </w:r>
      <w:r>
        <w:rPr>
          <w:rFonts w:ascii="Arial" w:hAnsi="Arial" w:eastAsia="等线" w:cs="Arial"/>
          <w:b/>
          <w:sz w:val="22"/>
        </w:rPr>
        <w:t>进阶实操书籍+案例库</w:t>
      </w:r>
      <w:r>
        <w:rPr>
          <w:rFonts w:ascii="Arial" w:hAnsi="Arial" w:eastAsia="等线" w:cs="Arial"/>
          <w:sz w:val="22"/>
        </w:rPr>
        <w:t>为主，拆解案例仿写处置方案</w:t>
      </w:r>
    </w:p>
    <w:p w14:paraId="27A2752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第3月：以</w:t>
      </w:r>
      <w:r>
        <w:rPr>
          <w:rFonts w:ascii="Arial" w:hAnsi="Arial" w:eastAsia="等线" w:cs="Arial"/>
          <w:b/>
          <w:sz w:val="22"/>
        </w:rPr>
        <w:t>高阶思维书籍+行业报告</w:t>
      </w:r>
      <w:r>
        <w:rPr>
          <w:rFonts w:ascii="Arial" w:hAnsi="Arial" w:eastAsia="等线" w:cs="Arial"/>
          <w:sz w:val="22"/>
        </w:rPr>
        <w:t>为主，结合沙盘模拟，形成个人处置方法论</w:t>
      </w:r>
    </w:p>
    <w:p w14:paraId="36EDF7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我已整理好行业处置顾问通用全套模板：</w:t>
      </w:r>
    </w:p>
    <w:p w14:paraId="332EE71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企业风险全面尽调清单</w:t>
      </w:r>
      <w:r>
        <w:rPr>
          <w:rFonts w:ascii="Arial" w:hAnsi="Arial" w:eastAsia="等线" w:cs="Arial"/>
          <w:sz w:val="22"/>
        </w:rPr>
        <w:t>（工商/涉诉/资产/合同/舆情/资金）</w:t>
      </w:r>
    </w:p>
    <w:p w14:paraId="64B469A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风险等级评估表</w:t>
      </w:r>
      <w:r>
        <w:rPr>
          <w:rFonts w:ascii="Arial" w:hAnsi="Arial" w:eastAsia="等线" w:cs="Arial"/>
          <w:sz w:val="22"/>
        </w:rPr>
        <w:t>（可直接打分定级）</w:t>
      </w:r>
    </w:p>
    <w:p w14:paraId="22B4443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风险损失测算模板</w:t>
      </w:r>
      <w:r>
        <w:rPr>
          <w:rFonts w:ascii="Arial" w:hAnsi="Arial" w:eastAsia="等线" w:cs="Arial"/>
          <w:sz w:val="22"/>
        </w:rPr>
        <w:t>（直接算成本、逾期利息、预期损失）</w:t>
      </w:r>
    </w:p>
    <w:p w14:paraId="12EFFC1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标准风险处置方案模板（三套预案版）</w:t>
      </w:r>
    </w:p>
    <w:p w14:paraId="018DA9F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风险隔离与止损操作SOP</w:t>
      </w:r>
    </w:p>
    <w:p w14:paraId="5E82DB8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谈判沟通话术框架</w:t>
      </w:r>
    </w:p>
    <w:p w14:paraId="198F147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项目结案复盘报告模板</w:t>
      </w:r>
    </w:p>
    <w:p w14:paraId="6C3D000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923B78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最终学成后的职业能力画像（3个月后）</w:t>
      </w:r>
      <w:bookmarkEnd w:id="27"/>
    </w:p>
    <w:p w14:paraId="4AD7813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能独立完成企业风险排查、出具风险评估报告</w:t>
      </w:r>
    </w:p>
    <w:p w14:paraId="6F3072B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能对违约、欠款、项目危机、债务压力做完整处置方案</w:t>
      </w:r>
    </w:p>
    <w:p w14:paraId="3ED54D2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懂得商业取舍：什么时候和解、什么时候硬维权、什么时候止损离场</w:t>
      </w:r>
    </w:p>
    <w:p w14:paraId="54635F8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能隔离风险、防止连锁爆雷</w:t>
      </w:r>
    </w:p>
    <w:p w14:paraId="1B4BA6D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能给企业管理层提供可落地的决策建议（这就是顾问价值）</w:t>
      </w:r>
    </w:p>
    <w:p w14:paraId="65C31D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ED7A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0523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709FD3E"/>
    <w:multiLevelType w:val="singleLevel"/>
    <w:tmpl w:val="0709FD3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0CEF100B"/>
    <w:multiLevelType w:val="singleLevel"/>
    <w:tmpl w:val="0CEF100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4"/>
  </w:num>
  <w:num w:numId="2">
    <w:abstractNumId w:val="16"/>
  </w:num>
  <w:num w:numId="3">
    <w:abstractNumId w:val="47"/>
  </w:num>
  <w:num w:numId="4">
    <w:abstractNumId w:val="14"/>
  </w:num>
  <w:num w:numId="5">
    <w:abstractNumId w:val="10"/>
  </w:num>
  <w:num w:numId="6">
    <w:abstractNumId w:val="26"/>
  </w:num>
  <w:num w:numId="7">
    <w:abstractNumId w:val="35"/>
  </w:num>
  <w:num w:numId="8">
    <w:abstractNumId w:val="54"/>
  </w:num>
  <w:num w:numId="9">
    <w:abstractNumId w:val="25"/>
  </w:num>
  <w:num w:numId="10">
    <w:abstractNumId w:val="5"/>
  </w:num>
  <w:num w:numId="11">
    <w:abstractNumId w:val="36"/>
  </w:num>
  <w:num w:numId="12">
    <w:abstractNumId w:val="48"/>
  </w:num>
  <w:num w:numId="13">
    <w:abstractNumId w:val="15"/>
  </w:num>
  <w:num w:numId="14">
    <w:abstractNumId w:val="44"/>
  </w:num>
  <w:num w:numId="15">
    <w:abstractNumId w:val="22"/>
  </w:num>
  <w:num w:numId="16">
    <w:abstractNumId w:val="34"/>
  </w:num>
  <w:num w:numId="17">
    <w:abstractNumId w:val="19"/>
  </w:num>
  <w:num w:numId="18">
    <w:abstractNumId w:val="18"/>
  </w:num>
  <w:num w:numId="19">
    <w:abstractNumId w:val="7"/>
  </w:num>
  <w:num w:numId="20">
    <w:abstractNumId w:val="42"/>
  </w:num>
  <w:num w:numId="21">
    <w:abstractNumId w:val="51"/>
  </w:num>
  <w:num w:numId="22">
    <w:abstractNumId w:val="29"/>
  </w:num>
  <w:num w:numId="23">
    <w:abstractNumId w:val="41"/>
  </w:num>
  <w:num w:numId="24">
    <w:abstractNumId w:val="8"/>
  </w:num>
  <w:num w:numId="25">
    <w:abstractNumId w:val="58"/>
  </w:num>
  <w:num w:numId="26">
    <w:abstractNumId w:val="56"/>
  </w:num>
  <w:num w:numId="27">
    <w:abstractNumId w:val="13"/>
  </w:num>
  <w:num w:numId="28">
    <w:abstractNumId w:val="52"/>
  </w:num>
  <w:num w:numId="29">
    <w:abstractNumId w:val="6"/>
  </w:num>
  <w:num w:numId="30">
    <w:abstractNumId w:val="40"/>
  </w:num>
  <w:num w:numId="31">
    <w:abstractNumId w:val="2"/>
  </w:num>
  <w:num w:numId="32">
    <w:abstractNumId w:val="46"/>
  </w:num>
  <w:num w:numId="33">
    <w:abstractNumId w:val="59"/>
  </w:num>
  <w:num w:numId="34">
    <w:abstractNumId w:val="0"/>
  </w:num>
  <w:num w:numId="35">
    <w:abstractNumId w:val="33"/>
  </w:num>
  <w:num w:numId="36">
    <w:abstractNumId w:val="45"/>
  </w:num>
  <w:num w:numId="37">
    <w:abstractNumId w:val="23"/>
  </w:num>
  <w:num w:numId="38">
    <w:abstractNumId w:val="20"/>
  </w:num>
  <w:num w:numId="39">
    <w:abstractNumId w:val="37"/>
  </w:num>
  <w:num w:numId="40">
    <w:abstractNumId w:val="57"/>
  </w:num>
  <w:num w:numId="41">
    <w:abstractNumId w:val="12"/>
  </w:num>
  <w:num w:numId="42">
    <w:abstractNumId w:val="4"/>
  </w:num>
  <w:num w:numId="43">
    <w:abstractNumId w:val="11"/>
  </w:num>
  <w:num w:numId="44">
    <w:abstractNumId w:val="49"/>
  </w:num>
  <w:num w:numId="45">
    <w:abstractNumId w:val="1"/>
  </w:num>
  <w:num w:numId="46">
    <w:abstractNumId w:val="30"/>
  </w:num>
  <w:num w:numId="47">
    <w:abstractNumId w:val="3"/>
  </w:num>
  <w:num w:numId="48">
    <w:abstractNumId w:val="50"/>
  </w:num>
  <w:num w:numId="49">
    <w:abstractNumId w:val="55"/>
  </w:num>
  <w:num w:numId="50">
    <w:abstractNumId w:val="43"/>
  </w:num>
  <w:num w:numId="51">
    <w:abstractNumId w:val="38"/>
  </w:num>
  <w:num w:numId="52">
    <w:abstractNumId w:val="53"/>
  </w:num>
  <w:num w:numId="53">
    <w:abstractNumId w:val="27"/>
  </w:num>
  <w:num w:numId="54">
    <w:abstractNumId w:val="28"/>
  </w:num>
  <w:num w:numId="55">
    <w:abstractNumId w:val="17"/>
  </w:num>
  <w:num w:numId="56">
    <w:abstractNumId w:val="39"/>
  </w:num>
  <w:num w:numId="57">
    <w:abstractNumId w:val="31"/>
  </w:num>
  <w:num w:numId="58">
    <w:abstractNumId w:val="21"/>
  </w:num>
  <w:num w:numId="59">
    <w:abstractNumId w:val="32"/>
  </w:num>
  <w:num w:numId="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4C217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3584</Words>
  <Characters>3618</Characters>
  <TotalTime>0</TotalTime>
  <ScaleCrop>false</ScaleCrop>
  <LinksUpToDate>false</LinksUpToDate>
  <CharactersWithSpaces>3657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2026-09-14T02:24:00Z</dcterms:created>
  <dc:creator>Apache POI</dc:creator>
  <cp:lastModifiedBy>Vincent</cp:lastModifiedBy>
  <dcterms:modified xsi:type="dcterms:W3CDTF">2026-09-14T08:23:31Z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{"Label":"1","ContentProducer":"001191110102MACQD9K64010000","ProduceID":"7685211268400401350","ReservedCode1":"","ContentPropagator":"","PropagateID":"","ReservedCode2":""}</vt:lpwstr>
  </property>
  <property fmtid="{D5CDD505-2E9C-101B-9397-08002B2CF9AE}" pid="3" name="KSOTemplateDocerSaveRecord">
    <vt:lpwstr>eyJoZGlkIjoiM2NmZjY0MTBjYzliOWY5NzUxNjJjZmNjZmMzM2Q0MTYiLCJ1c2VySWQiOiIyMjY1MDA2NTMifQ==</vt:lpwstr>
  </property>
  <property fmtid="{D5CDD505-2E9C-101B-9397-08002B2CF9AE}" pid="4" name="KSOProductBuildVer">
    <vt:lpwstr>2052-12.1.0.28505</vt:lpwstr>
  </property>
  <property fmtid="{D5CDD505-2E9C-101B-9397-08002B2CF9AE}" pid="5" name="ICV">
    <vt:lpwstr>413924E739E945B3B517808054439E5A_12</vt:lpwstr>
  </property>
</Properties>
</file>