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项目结案复盘报告模板</w:t>
      </w:r>
    </w:p>
    <w:p>
      <w:pPr>
        <w:pStyle w:val="BodyText"/>
      </w:pPr>
      <w:r>
        <w:rPr>
          <w:b/>
        </w:rPr>
        <w:t>报告编号</w:t>
      </w:r>
      <w:r>
        <w:t>：【请填写】</w:t>
      </w:r>
    </w:p>
    <w:p>
      <w:pPr>
        <w:pStyle w:val="BodyText"/>
      </w:pPr>
      <w:r>
        <w:rPr>
          <w:b/>
        </w:rPr>
        <w:t>项目名称</w:t>
      </w:r>
      <w:r>
        <w:t>：【请填写风险处置项目名称】</w:t>
      </w:r>
    </w:p>
    <w:p>
      <w:pPr>
        <w:pStyle w:val="BodyText"/>
      </w:pPr>
      <w:r>
        <w:rPr>
          <w:b/>
        </w:rPr>
        <w:t>项目类型</w:t>
      </w:r>
      <w:r>
        <w:t>：【 】应收款逾期处置 / 【 】合同违约处置 / 【 】债务重组 / 【 】合作纠纷处置 / 【 】其他</w:t>
      </w:r>
    </w:p>
    <w:p>
      <w:pPr>
        <w:pStyle w:val="BodyText"/>
      </w:pPr>
      <w:r>
        <w:rPr>
          <w:b/>
        </w:rPr>
        <w:t>处置周期</w:t>
      </w:r>
      <w:r>
        <w:t>：【 】年【 】月【 】日 至 【 】年【 】月【 】日</w:t>
      </w:r>
    </w:p>
    <w:p>
      <w:pPr>
        <w:pStyle w:val="BodyText"/>
      </w:pPr>
      <w:r>
        <w:rPr>
          <w:b/>
        </w:rPr>
        <w:t>编制日期</w:t>
      </w:r>
      <w:r>
        <w:t>：【 】年【 】月【 】日</w:t>
      </w:r>
    </w:p>
    <w:p>
      <w:pPr>
        <w:pStyle w:val="BodyText"/>
      </w:pPr>
      <w:r>
        <w:rPr>
          <w:b/>
        </w:rPr>
        <w:t>编制部门</w:t>
      </w:r>
      <w:r>
        <w:t>：【请填写】</w:t>
      </w:r>
    </w:p>
    <w:p>
      <w:pPr>
        <w:pStyle w:val="BodyText"/>
      </w:pPr>
      <w:r>
        <w:rPr>
          <w:b/>
        </w:rPr>
        <w:t>保密级别</w:t>
      </w:r>
      <w:r>
        <w:t>：【 】内部机密 / 【 】商业机密 / 【 】公开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一、项目概况</w:t>
      </w:r>
    </w:p>
    <w:p>
      <w:pPr>
        <w:pStyle w:val="Heading3"/>
      </w:pPr>
      <w:r>
        <w:t>1.1 风险事件基本信息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项目</w:t>
            </w:r>
          </w:p>
        </w:tc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风险事件名称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涉及金额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【请填写，含币种】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风险类型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】经营性 / 【 】财务性 / 【 】合规性 / 【 】合作性 / 【 】声誉性 / 【 】黑天鹅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风险等级（初评）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】高风险 / 【 】中风险 / 【 】低风险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风险等级（终评）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】高风险 / 【 】中风险 / 【 】低风险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对方主体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【请填写】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我方角色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】债权人 / 【 】债务人 / 【 】担保方 / 【 】第三方</w:t>
            </w:r>
          </w:p>
        </w:tc>
      </w:tr>
    </w:tbl>
    <w:p>
      <w:pPr>
        <w:pStyle w:val="Heading3"/>
      </w:pPr>
      <w:r>
        <w:t>1.2 处置目标回顾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目标维度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初始设定目标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最终达成结果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偏差分析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本金回收率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回收周期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综合处置成本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商业关系维护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声誉影响控制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1.3 处置路径</w:t>
      </w:r>
    </w:p>
    <w:p>
      <w:pPr>
        <w:pStyle w:val="BodyText"/>
      </w:pPr>
      <w:r>
        <w:rPr>
          <w:b/>
        </w:rPr>
        <w:t>实际采用的处置方案</w:t>
      </w:r>
      <w:r>
        <w:t>：【 】方案A（乐观-和解） / 【 】方案B（基准-保守） / 【 】方案C（悲观-诉讼/重组）</w:t>
      </w:r>
    </w:p>
    <w:p>
      <w:pPr>
        <w:pStyle w:val="BodyText"/>
      </w:pPr>
      <w:r>
        <w:rPr>
          <w:b/>
        </w:rPr>
        <w:t>方案切换记录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切换时点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原方案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切换至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切换原因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二、处置过程复盘</w:t>
      </w:r>
    </w:p>
    <w:p>
      <w:pPr>
        <w:pStyle w:val="Heading3"/>
      </w:pPr>
      <w:r>
        <w:t>2.1 时间轴与关键节点</w:t>
      </w:r>
    </w:p>
    <w:p>
      <w:pPr>
        <w:pStyle w:val="BodyText"/>
      </w:pPr>
      <w:r>
        <w:rPr>
          <w:b/>
        </w:rPr>
        <w:t>《危机应对的道与术》关键救助者时间窗口复盘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阶段</w:t>
            </w:r>
          </w:p>
        </w:tc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计划时间</w:t>
            </w:r>
          </w:p>
        </w:tc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实际时间</w:t>
            </w:r>
          </w:p>
        </w:tc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</w:t>
            </w:r>
          </w:p>
        </w:tc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关键动作</w:t>
            </w:r>
          </w:p>
        </w:tc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结果</w:t>
            </w:r>
          </w:p>
        </w:tc>
        <w:tc>
          <w:tcPr>
            <w:tcW w:type="dxa" w:w="129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风险识别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风险定级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损失测算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预案启动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首轮谈判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协议签署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资金回收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结案归档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核心判断</w:t>
      </w:r>
      <w:r>
        <w:t>：处置启动【 】及时 / 【 】延迟，关键原因为【 】。每延迟【 】天，回收率下降约【 】%。</w:t>
      </w:r>
    </w:p>
    <w:p>
      <w:pPr>
        <w:pStyle w:val="Heading3"/>
      </w:pPr>
      <w:r>
        <w:t>2.2 预判复盘</w:t>
      </w:r>
    </w:p>
    <w:p>
      <w:pPr>
        <w:pStyle w:val="BodyText"/>
      </w:pPr>
      <w:r>
        <w:rPr>
          <w:b/>
        </w:rPr>
        <w:t>《危机应对的道与术》预判逻辑：正常循环优先+模式识别+监测仪表盘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复盘问题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实际情况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偏差原因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改进建议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风险爆发前是否有预警信号？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预警信号是否被识别？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预警信号是否被上报？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预警信号是否被重视并触发行动？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风险定级是否准确？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】准确 / 【 】偏低 / 【 】偏高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信号遗漏清单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遗漏信号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出现时间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应触发动作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实际动作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2.3 止损复盘</w:t>
      </w:r>
    </w:p>
    <w:p>
      <w:pPr>
        <w:pStyle w:val="BodyText"/>
      </w:pPr>
      <w:r>
        <w:rPr>
          <w:b/>
        </w:rPr>
        <w:t>《危机应对的道与术》止损逻辑：逆周期操作+保住核心功能+拖延成本指数增长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复盘问题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实际情况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偏差原因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改进建议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处置启动是否及时？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】及时 / 【 】延迟【 】天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止损底线设定是否合理？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】合理 / 【 】偏高 / 【 】偏低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止损动作是否执行到位？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】否，偏差【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是否存在"再等等看"的拖延心理？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拖延导致的额外损失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《黑天鹅》视角：是否存在"火鸡问题"？</w:t>
      </w:r>
    </w:p>
    <w:p>
      <w:pPr>
        <w:pStyle w:val="IntenseQuote"/>
      </w:pPr>
      <w:r>
        <w:t>即在风险爆发前，是否将过去的"平稳期"误认为是"永久安全"，忽视了尾部风险的可能性？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评估项</w:t>
            </w:r>
          </w:p>
        </w:tc>
        <w:tc>
          <w:tcPr>
            <w:tcW w:type="dxa" w:w="453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判断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是否因过去合作顺利而降低警惕？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是否忽视了对方财务状况的恶化信号？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是否因"沉没成本"而延迟止损？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是否存在"叙事谬误"（为对方找合理借口）？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</w:tr>
    </w:tbl>
    <w:p>
      <w:pPr>
        <w:pStyle w:val="Heading3"/>
      </w:pPr>
      <w:r>
        <w:t>2.4 决策复盘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复盘问题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实际情况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偏差原因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改进建议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预案选择是否正确？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】正确 / 【 】偏差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方案切换时机是否恰当？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】恰当 / 【 】过早 / 【 】过晚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谈判策略是否有效？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】有效 / 【 】部分有效 / 【 】无效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关键决策是否有充分依据？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决策过程是否可追溯？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关键决策记录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决策时点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决策事项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决策依据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决策人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结果评估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2.5 执行复盘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复盘问题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实际情况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偏差原因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改进建议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执行计划是否合理？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】合理 / 【 】偏紧 / 【 】偏松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资源配置是否充足？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】充足 / 【 】不足，缺口【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责任分工是否清晰？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】清晰 / 【 】存在交叉/遗漏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跨部门协作是否顺畅？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】顺畅 / 【 】存在摩擦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外部机构（律师/催收/评估）是否给力？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】是 / 【 】否，问题【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2.6 成本复盘</w:t>
      </w:r>
    </w:p>
    <w:p>
      <w:pPr>
        <w:pStyle w:val="BodyText"/>
      </w:pPr>
      <w:r>
        <w:rPr>
          <w:b/>
        </w:rPr>
        <w:t>依据《风险损失测算模板》实际vs预算对比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成本项目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预算金额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实际金额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偏差原因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责任方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催收/诉讼费用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律师费用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保全/执行费用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差旅/调查费用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机会成本（资金占用）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间接成本（管理/声誉）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合计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BodyText"/>
      </w:pPr>
      <w:r>
        <w:rPr>
          <w:b/>
        </w:rPr>
        <w:t>成本偏差根因分析</w:t>
      </w:r>
      <w:r>
        <w:t>：【请填写】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三、处置结果评估</w:t>
      </w:r>
    </w:p>
    <w:p>
      <w:pPr>
        <w:pStyle w:val="Heading3"/>
      </w:pPr>
      <w:r>
        <w:t>3.1 结果量化评估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评估指标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目标值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实际值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达成率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行业基准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评价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本金回收率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利息回收率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综合回收率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处置周期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】天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综合成本率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净收益率（回收-成本）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3.2 结果质性评估</w:t>
      </w:r>
    </w:p>
    <w:p>
      <w:pPr>
        <w:pStyle w:val="BodyText"/>
      </w:pPr>
      <w:r>
        <w:rPr>
          <w:b/>
        </w:rPr>
        <w:t>商业关系</w:t>
      </w:r>
      <w:r>
        <w:t>：【 】完全恢复 / 【 】有限合作 / 【 】终止合作 / 【 】转为法律对抗</w:t>
      </w:r>
    </w:p>
    <w:p>
      <w:pPr>
        <w:pStyle w:val="BodyText"/>
      </w:pPr>
      <w:r>
        <w:rPr>
          <w:b/>
        </w:rPr>
        <w:t>声誉影响</w:t>
      </w:r>
      <w:r>
        <w:t>：【 】无影响 / 【 】轻微影响（内部知晓） / 【 】中度影响（行业知晓） / 【 】重大影响（媒体曝光）</w:t>
      </w:r>
    </w:p>
    <w:p>
      <w:pPr>
        <w:pStyle w:val="BodyText"/>
      </w:pPr>
      <w:r>
        <w:rPr>
          <w:b/>
        </w:rPr>
        <w:t>组织能力建设</w:t>
      </w:r>
      <w:r>
        <w:t>：【 】显著提升 / 【 】有所提升 / 【 】无变化 / 【 】暴露出短板</w:t>
      </w:r>
    </w:p>
    <w:p>
      <w:pPr>
        <w:pStyle w:val="BodyText"/>
      </w:pPr>
      <w:r>
        <w:rPr>
          <w:b/>
        </w:rPr>
        <w:t>团队成长</w:t>
      </w:r>
      <w:r>
        <w:t>：【 】核心人员能力显著提升 / 【 】有所积累 / 【 】无变化</w:t>
      </w:r>
    </w:p>
    <w:p>
      <w:pPr>
        <w:pStyle w:val="Heading3"/>
      </w:pPr>
      <w:r>
        <w:t>3.3 与预案对比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对比维度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乐观预案（A）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基准预案（B）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悲观预案（C）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实际结果</w:t>
            </w:r>
          </w:p>
        </w:tc>
        <w:tc>
          <w:tcPr>
            <w:tcW w:type="dxa" w:w="151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最接近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回收金额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回收周期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处置成本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关系影响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四、经验沉淀</w:t>
      </w:r>
    </w:p>
    <w:p>
      <w:pPr>
        <w:pStyle w:val="Heading3"/>
      </w:pPr>
      <w:r>
        <w:t>4.1 成功经验（可复制推广）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序号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成功要素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具体做法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适用场景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推广建议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4.2 失败教训（需规避）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序号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问题描述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根因分析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负面影响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规避措施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4.3 知识资产更新清单</w:t>
      </w:r>
    </w:p>
    <w:p>
      <w:pPr>
        <w:pStyle w:val="BodyText"/>
      </w:pPr>
      <w:r>
        <w:rPr>
          <w:b/>
        </w:rPr>
        <w:t>依据白皮书五大风控范式（认知/时序/组织/积累/价值）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资产类型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更新内容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更新责任人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存放位置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企业风险全面尽调清单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新增【 】类风险信号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风险等级评估表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调整【 】维度权重/阈值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风险损失测算模板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修正【 】参数默认值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标准风险处置方案模板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补充【 】场景预案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风险隔离与止损操作SOP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优化【 】流程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谈判沟通话术框架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新增【 】场景话术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项目结案复盘报告模板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本报告归档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风险案例库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新增案例编号【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五、制度优化建议</w:t>
      </w:r>
    </w:p>
    <w:p>
      <w:pPr>
        <w:pStyle w:val="Heading3"/>
      </w:pPr>
      <w:r>
        <w:t>5.1 认知范式优化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当前短板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优化建议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责任部门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5.2 时序范式优化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当前短板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优化建议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责任部门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5.3 组织范式优化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当前短板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优化建议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责任部门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5.4 积累范式优化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当前短板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优化建议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责任部门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5.5 价值范式优化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当前短板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优化建议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责任部门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六、附件</w:t>
      </w:r>
    </w:p>
    <w:p>
      <w:pPr>
        <w:pStyle w:val="Heading3"/>
      </w:pPr>
      <w:r>
        <w:t>6.1 核心文件清单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序号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文件名称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文件编号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存放位置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原始合同/协议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违约/逾期通知书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风险等级评估表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风险损失测算模板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标准风险处置方案（三套预案）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风险隔离与止损操作SOP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谈判沟通话术框架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谈判纪要（历次）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和解/还款协议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诉讼/仲裁文书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收款凭证/银行流水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结案确认书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6.2 关键数据汇总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数据项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数值</w:t>
            </w:r>
          </w:p>
        </w:tc>
        <w:tc>
          <w:tcPr>
            <w:tcW w:type="dxa" w:w="302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涉及本金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涉及利息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违约金/罚息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实际回收本金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实际回收利息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减免金额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处置总成本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净回收金额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净回收率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】%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6.3 参与人员清单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角色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姓名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部门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职责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表现评价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项目负责人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主谈人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法务支持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财务支持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外部律师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其他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七、审批与归档</w:t>
      </w:r>
    </w:p>
    <w:p>
      <w:pPr>
        <w:pStyle w:val="Heading3"/>
      </w:pPr>
      <w:r>
        <w:t>7.1 报告审批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审批环节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审批人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审批意见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审批日期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编制人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部门负责人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风控负责人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分管领导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pStyle w:val="Heading3"/>
      </w:pPr>
      <w:r>
        <w:t>7.2 归档确认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归档事项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完成情况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归档人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归档日期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纸质档案归档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】已完成 / 【 】未完成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电子档案归档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】已完成 / 【 】未完成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知识库更新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】已完成 / 【 】未完成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案例入库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】已完成 / 【 】未完成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【 】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BodyText"/>
      </w:pPr>
      <w:r>
        <w:rPr>
          <w:b/>
        </w:rPr>
        <w:t>编制说明</w:t>
      </w:r>
      <w:r>
        <w:t>：本模板基于《危机应对的道与术》复盘框架、《黑天鹅》认知偏差反思、白皮书五大风控范式编制。所有【】标注处为必填项。复盘报告应在结案后【 】天内完成编制，并作为组织知识资产沉淀。</w:t>
      </w:r>
    </w:p>
    <w:p>
      <w:pPr>
        <w:pStyle w:val="BodyText"/>
      </w:pPr>
      <w:r>
        <w:rPr>
          <w:b/>
        </w:rPr>
        <w:t>《危机应对的道与术》核心复盘原则</w:t>
      </w:r>
      <w:r>
        <w:t>：危机是改革契机——每一次风险处置都是组织风控能力跃迁的机会，复盘不是为了追责，而是为了下一次不再踩同样的坑。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1F4E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1F4E7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1F4E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Arial" w:hAnsi="Arial" w:eastAsia="微软雅黑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微软雅黑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微软雅黑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微软雅黑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微软雅黑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1F4E7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项目结案复盘报告模板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"28be32b4-adfa-4466-9552-595ecdf190f7", "ReservedCode1": "72dafc97cd38b92e5f3d5cdfd0dfbbe6", "ContentPropagator": "001191110000802100433B11010001191110000802100433B11010", "PropagateID": "7eec19eb-8614-4caa-ab0c-92c17fc3f568", "ReservedCode2": "2734827274df537123a472bf4de01eb5"}</vt:lpwstr>
  </property>
</Properties>
</file>