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风险隔离与止损操作SOP</w:t>
      </w:r>
    </w:p>
    <w:p>
      <w:pPr>
        <w:pStyle w:val="BodyText"/>
      </w:pPr>
      <w:r>
        <w:rPr>
          <w:b/>
        </w:rPr>
        <w:t>版本</w:t>
      </w:r>
      <w:r>
        <w:t>：V1.0</w:t>
      </w:r>
    </w:p>
    <w:p>
      <w:pPr>
        <w:pStyle w:val="BodyText"/>
      </w:pPr>
      <w:r>
        <w:rPr>
          <w:b/>
        </w:rPr>
        <w:t>生效日期</w:t>
      </w:r>
      <w:r>
        <w:t>：【请填写】</w:t>
      </w:r>
    </w:p>
    <w:p>
      <w:pPr>
        <w:pStyle w:val="BodyText"/>
      </w:pPr>
      <w:r>
        <w:rPr>
          <w:b/>
        </w:rPr>
        <w:t>适用范围</w:t>
      </w:r>
      <w:r>
        <w:t>：企业经营风险暴露后的紧急响应与止损操作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一、SOP启动条件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触发情形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判定标准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启动时限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合同违约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对方逾期≥【 】天或明确表示无力履约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债务逾期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应收款逾期≥【 】天且无合理解释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资产异常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核心资产被查封/冻结/转移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舆情危机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负面舆情指数达到阈值或媒体介入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合作方暴雷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合作方进入破产/清算/失信名单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黑天鹅事件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不可抗力/政策突变/市场极端波动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T+0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二、五层风险隔离操作</w:t>
      </w:r>
    </w:p>
    <w:p>
      <w:pPr>
        <w:pStyle w:val="Heading3"/>
      </w:pPr>
      <w:r>
        <w:t>2.1 业务隔离层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步骤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操作事项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责任人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完成时限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检查标准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立即停止与该对手方的新业务合作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确认无新增订单/合同签署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冻结该对手方的信用额度与账期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确认ERP系统已锁死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暂停已签约但未履行的合同执行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书面通知对方并留痕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停止发货/服务交付（如适用）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物流/服务系统已拦截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通知相关部门（销售/采购/法务/财务）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确认各部门已签收</w:t>
            </w:r>
          </w:p>
        </w:tc>
      </w:tr>
    </w:tbl>
    <w:p>
      <w:pPr>
        <w:pStyle w:val="BodyText"/>
      </w:pPr>
      <w:r>
        <w:rPr>
          <w:b/>
        </w:rPr>
        <w:t>《黑天鹅》反脆弱视角</w:t>
      </w:r>
      <w:r>
        <w:t>：业务隔离的核心是切断风险传导链，防止单一风险通过业务往来蔓延至其他健康业务单元。隔离动作必须快于市场反应速度。</w:t>
      </w:r>
    </w:p>
    <w:p>
      <w:pPr>
        <w:pStyle w:val="Heading3"/>
      </w:pPr>
      <w:r>
        <w:t>2.2 财务隔离层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步骤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操作事项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责任人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完成时限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检查标准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将该对手方应收款单独列示，停止计提收入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财务系统科目调整完成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评估坏账准备计提比例，按最谨慎原则处理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财务总监签字确认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冻结与该对手方相关的所有资金往来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银行/支付系统确认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核查是否存在关联交易/资金拆借，一并隔离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关联交易清单已梳理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评估对现金流的影响，启动应急资金预案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资金缺口测算完成</w:t>
            </w:r>
          </w:p>
        </w:tc>
      </w:tr>
    </w:tbl>
    <w:p>
      <w:pPr>
        <w:pStyle w:val="BodyText"/>
      </w:pPr>
      <w:r>
        <w:rPr>
          <w:b/>
        </w:rPr>
        <w:t>《掘金》不良资产经营视角</w:t>
      </w:r>
      <w:r>
        <w:t>：财务隔离的本质是"止损记账"——越早按最坏情况计提，后续处置的财务弹性越大。拖延计提会导致后续处置时"账面好看、实际更亏"。</w:t>
      </w:r>
    </w:p>
    <w:p>
      <w:pPr>
        <w:pStyle w:val="Heading3"/>
      </w:pPr>
      <w:r>
        <w:t>2.3 法律隔离层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步骤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操作事项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责任人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完成时限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检查标准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梳理全部合同文本，确认己方履约情况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履约清单+证据目录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核查担保/抵押/质押的有效性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担保登记/抵押物现状确认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评估连带责任的范围与切割可能性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法律意见书出具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确认诉讼时效剩余时间，启动中断程序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T+7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催收函/律师函已发出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评估是否涉及刑事犯罪（诈骗/侵占等）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T+7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初步法律判断完成</w:t>
            </w:r>
          </w:p>
        </w:tc>
      </w:tr>
    </w:tbl>
    <w:p>
      <w:pPr>
        <w:pStyle w:val="BodyText"/>
      </w:pPr>
      <w:r>
        <w:rPr>
          <w:b/>
        </w:rPr>
        <w:t>法律隔离关键原则</w:t>
      </w:r>
      <w:r>
        <w:t>：</w:t>
      </w:r>
    </w:p>
    <w:p>
      <w:pPr>
        <w:pStyle w:val="ListBullet"/>
      </w:pPr>
      <w:r>
        <w:rPr>
          <w:b/>
        </w:rPr>
        <w:t>责任切割</w:t>
      </w:r>
      <w:r>
        <w:t>：明确己方已履约部分 vs 未履约部分，避免被"全盘违约"</w:t>
      </w:r>
    </w:p>
    <w:p>
      <w:pPr>
        <w:pStyle w:val="ListBullet"/>
      </w:pPr>
      <w:r>
        <w:rPr>
          <w:b/>
        </w:rPr>
        <w:t>证据固定</w:t>
      </w:r>
      <w:r>
        <w:t>：合同、对账单、往来函件、转账记录、会议纪要全部归档</w:t>
      </w:r>
    </w:p>
    <w:p>
      <w:pPr>
        <w:pStyle w:val="ListBullet"/>
      </w:pPr>
      <w:r>
        <w:rPr>
          <w:b/>
        </w:rPr>
        <w:t>时效保护</w:t>
      </w:r>
      <w:r>
        <w:t>：每6个月至少一次有效催收（书面/公证/诉讼），中断诉讼时效</w:t>
      </w:r>
    </w:p>
    <w:p>
      <w:pPr>
        <w:pStyle w:val="Heading3"/>
      </w:pPr>
      <w:r>
        <w:t>2.4 声誉隔离层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步骤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操作事项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责任人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完成时限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检查标准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启动舆情监测（24小时）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T+0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监测系统已上线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制定统一对外话术，禁止随意表态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话术手册下发各部门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评估是否需主动发布声明/公告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声明稿法务审核通过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准备媒体应对预案（Q&amp;A清单）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Q&amp;A清单已备妥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监控关联方舆情，防止次生危机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关联方舆情日报启动</w:t>
            </w:r>
          </w:p>
        </w:tc>
      </w:tr>
    </w:tbl>
    <w:p>
      <w:pPr>
        <w:pStyle w:val="BodyText"/>
      </w:pPr>
      <w:r>
        <w:rPr>
          <w:b/>
        </w:rPr>
        <w:t>《闪电战》黄金4小时原则</w:t>
      </w:r>
      <w:r>
        <w:t>：舆情隔离必须在事件曝光后4小时内完成核心动作——统一口径、暂停表态、法务审核。超时的表态无论内容如何，都会被市场解读为"失控"。</w:t>
      </w:r>
    </w:p>
    <w:p>
      <w:pPr>
        <w:pStyle w:val="Heading3"/>
      </w:pPr>
      <w:r>
        <w:t>2.5 组织隔离层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步骤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操作事项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责任人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完成时限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检查标准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成立专项处置小组，信息分级管理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小组成员名单+保密协议签署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明确决策权限，重大事项升级路径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决策权限矩阵表已发布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隔离知情范围，防止内部信息泄露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知情人名单已锁定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启动内部追责（如存在管理过失）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T+7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初步责任认定完成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更新风险档案，纳入组织知识库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T+30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风险案例已归档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三、止损底线设定与监控</w:t>
      </w:r>
    </w:p>
    <w:p>
      <w:pPr>
        <w:pStyle w:val="Heading3"/>
      </w:pPr>
      <w:r>
        <w:t>3.1 止损维度与底线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止损维度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底线指标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触发条件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决策动作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决策权限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金额止损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处置成本/预期回收≥【 】%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累计投入超过回收预期的【 】%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启动止损离场程序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时间止损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处置周期≥【 】天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超期且无实质进展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切换至兜底方案或核销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机会止损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机会成本≥【 】元/月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资金占用损失超过阈值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评估债权转让或资产证券化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声誉止损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负面舆情指数≥【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舆情升级至媒体/监管介入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启动危机公关+法律应对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法律止损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诉讼时效剩余≤【 】个月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时效即将届满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立即起诉或仲裁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3.2 止损监控仪表盘</w:t>
      </w:r>
    </w:p>
    <w:p>
      <w:pPr>
        <w:pStyle w:val="BodyText"/>
      </w:pPr>
      <w:r>
        <w:rPr>
          <w:b/>
        </w:rPr>
        <w:t>每周更新指标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监控指标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当前值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阈值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状态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备注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累计处置成本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预期回收金额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成本回收比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处置天数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对方履约意愿指数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舆情指数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诉讼时效剩余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】月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】月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《黑天鹅》杠铃策略应用</w:t>
      </w:r>
      <w:r>
        <w:t>：止损监控不是"越精确越好"，而是要在"确定性高的保守指标"和"尾部风险的极端指标"之间建立双轨监控。常规指标每周更新，极端指标（如对方资产转移、刑事立案）触发即时响应。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四、三套预案切换机制</w:t>
      </w:r>
    </w:p>
    <w:p>
      <w:pPr>
        <w:pStyle w:val="Heading3"/>
      </w:pPr>
      <w:r>
        <w:t>4.1 切换触发条件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当前预案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切换至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触发条件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决策时点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审批权限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方案A（乐观）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方案B（基准）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对方首次违约/谈判停滞≥【 】天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每周评审会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方案A/B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方案C（悲观）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对方明确无履约能力/资产转移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即时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方案B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方案A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对方恢复履约意愿并支付首期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即时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任意方案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止损退出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触及止损底线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即时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4.2 切换决策流程</w:t>
      </w:r>
    </w:p>
    <w:p>
      <w:pPr>
        <w:pStyle w:val="Code"/>
      </w:pPr>
      <w:r>
        <w:t>触发信号 → 专项小组评估（24h） → 法律/财务复核（48h） → 决策层审批（72h） → 执行切换 → 更新SOP记录</w:t>
      </w:r>
    </w:p>
    <w:p>
      <w:pPr>
        <w:pStyle w:val="BodyText"/>
      </w:pPr>
      <w:r>
        <w:rPr>
          <w:b/>
        </w:rPr>
        <w:t>切换审批单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项目</w:t>
            </w:r>
          </w:p>
        </w:tc>
        <w:tc>
          <w:tcPr>
            <w:tcW w:type="dxa" w:w="453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切换申请日期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当前预案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拟切换至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切换原因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风险评估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财务影响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法律意见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审批意见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执行日期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五、退出机制</w:t>
      </w:r>
    </w:p>
    <w:p>
      <w:pPr>
        <w:pStyle w:val="Heading3"/>
      </w:pPr>
      <w:r>
        <w:t>5.1 正常退出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退出条件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验收标准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归档要求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全额回收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本金+利息+费用全部到账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结案报告+资金流水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协议履行完毕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分期/展期协议全部执行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履约确认书+结清证明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债务重组成功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新债权债务关系确立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重组协议+担保落实</w:t>
            </w:r>
          </w:p>
        </w:tc>
      </w:tr>
    </w:tbl>
    <w:p>
      <w:pPr>
        <w:pStyle w:val="Heading3"/>
      </w:pPr>
      <w:r>
        <w:t>5.2 止损退出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退出条件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验收标准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归档要求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核销坏账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审批流程完成+税务处理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核销审批单+税务备案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债权转让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转让协议签署+资金到账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转让协议+收款凭证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破产清算参与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债权申报+清偿分配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债权申报书+清偿记录</w:t>
            </w:r>
          </w:p>
        </w:tc>
      </w:tr>
    </w:tbl>
    <w:p>
      <w:pPr>
        <w:pStyle w:val="Heading3"/>
      </w:pPr>
      <w:r>
        <w:t>5.3 升级退出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退出条件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升级路径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接手方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超出本部门处置能力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移交集团风控/法务中心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涉及刑事犯罪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移交经侦/检察院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跨地域/跨国复杂案件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委托外部专业机构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六、复盘与SOP迭代</w:t>
      </w:r>
    </w:p>
    <w:p>
      <w:pPr>
        <w:pStyle w:val="Heading3"/>
      </w:pPr>
      <w:r>
        <w:t>6.1 复盘触发条件</w:t>
      </w:r>
    </w:p>
    <w:p>
      <w:pPr>
        <w:pStyle w:val="ListBullet"/>
      </w:pPr>
      <w:r>
        <w:t>风险处置结案后【 】天内必须启动复盘</w:t>
      </w:r>
    </w:p>
    <w:p>
      <w:pPr>
        <w:pStyle w:val="ListBullet"/>
      </w:pPr>
      <w:r>
        <w:t>切换预案后【 】天内启动复盘</w:t>
      </w:r>
    </w:p>
    <w:p>
      <w:pPr>
        <w:pStyle w:val="ListBullet"/>
      </w:pPr>
      <w:r>
        <w:t>止损退出后【 】天内启动复盘</w:t>
      </w:r>
    </w:p>
    <w:p>
      <w:pPr>
        <w:pStyle w:val="Heading3"/>
      </w:pPr>
      <w:r>
        <w:t>6.2 复盘框架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复盘维度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关键问题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改进动作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责任人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完成时间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预判复盘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预警信号是否被忽视？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隔离复盘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隔离动作是否及时？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止损复盘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止损底线设定是否合理？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切换复盘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预案切换时机是否恰当？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执行复盘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执行过程哪些环节可优化？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成本复盘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实际成本与预算偏差原因？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6.3 SOP更新记录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版本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更新日期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更新内容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更新人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审批人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V1.0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初始发布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V1.1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BodyText"/>
      </w:pPr>
      <w:r>
        <w:rPr>
          <w:b/>
        </w:rPr>
        <w:t>编制说明</w:t>
      </w:r>
      <w:r>
        <w:t>：本SOP基于《黑天鹅》反脆弱组织框架、《危机应对的道与术》止损逻辑、《掘金》不良资产经营原则编制，所有【】标注处为必填项。SOP应与《标准风险处置方案模板（三套预案版）》配套使用。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eastAsia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57"/>
      <w:ind w:firstLine="420"/>
    </w:pPr>
    <w:rPr>
      <w:rFonts w:ascii="Arial" w:hAnsi="Arial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ind w:firstLine="0"/>
      <w:jc w:val="center"/>
      <w:outlineLvl w:val="0"/>
    </w:pPr>
    <w:rPr>
      <w:rFonts w:cstheme="majorBidi" w:ascii="Arial" w:hAnsi="Arial" w:eastAsia="黑体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黑体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黑体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黑体"/>
      <w:b/>
      <w:bCs/>
      <w:i/>
      <w:iCs/>
      <w:color w:val="1F4E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黑体"/>
      <w:b/>
      <w:color w:val="1F4E78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黑体"/>
      <w:b/>
      <w:i/>
      <w:iCs/>
      <w:color w:val="1F4E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黑体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黑体"/>
      <w:i/>
      <w:iCs/>
      <w:color w:val="1F4E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57" w:line="384" w:lineRule="auto"/>
      <w:ind w:firstLine="420"/>
    </w:pPr>
    <w:rPr>
      <w:rFonts w:ascii="Arial" w:hAnsi="Arial" w:eastAsia="微软雅黑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微软雅黑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微软雅黑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微软雅黑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微软雅黑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微软雅黑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微软雅黑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61616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微软雅黑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1F4E7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风险隔离与止损操作SOP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"be82418a-9f23-4363-bfbe-bbaec659c446", "ReservedCode1": "72dafc97cd38b92e5f3d5cdfd0dfbbe6", "ContentPropagator": "001191110000802100433B11010001191110000802100433B11010", "PropagateID": "29eb43fa-ad8a-409e-ba7b-62676cddc655", "ReservedCode2": "2734827274df537123a472bf4de01eb5"}</vt:lpwstr>
  </property>
</Properties>
</file>