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标准风险处置方案模板（三套预案版）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标准风险处置方案模板（三套预案版）</w:t>
      </w:r>
    </w:p>
    <w:p>
      <w:pPr>
        <w:spacing w:after="40"/>
        <w:ind w:left="360" w:firstLine="0"/>
      </w:pPr>
      <w:r>
        <w:rPr>
          <w:b w:val="0"/>
        </w:rPr>
        <w:t>一、项目概况与风险识别</w:t>
      </w:r>
    </w:p>
    <w:p>
      <w:pPr>
        <w:spacing w:after="40"/>
        <w:ind w:left="720" w:firstLine="0"/>
      </w:pPr>
      <w:r>
        <w:rPr>
          <w:b w:val="0"/>
        </w:rPr>
        <w:t>1.1 项目基本信息</w:t>
      </w:r>
    </w:p>
    <w:p>
      <w:pPr>
        <w:spacing w:after="40"/>
        <w:ind w:left="720" w:firstLine="0"/>
      </w:pPr>
      <w:r>
        <w:rPr>
          <w:b w:val="0"/>
        </w:rPr>
        <w:t>1.2 风险事件概述</w:t>
      </w:r>
    </w:p>
    <w:p>
      <w:pPr>
        <w:spacing w:after="40"/>
        <w:ind w:left="720" w:firstLine="0"/>
      </w:pPr>
      <w:r>
        <w:rPr>
          <w:b w:val="0"/>
        </w:rPr>
        <w:t>1.3 风险类型判定</w:t>
      </w:r>
    </w:p>
    <w:p>
      <w:pPr>
        <w:spacing w:after="40"/>
        <w:ind w:left="720" w:firstLine="0"/>
      </w:pPr>
      <w:r>
        <w:rPr>
          <w:b w:val="0"/>
        </w:rPr>
        <w:t>1.4 相关方梳理</w:t>
      </w:r>
    </w:p>
    <w:p>
      <w:pPr>
        <w:spacing w:after="40"/>
        <w:ind w:left="360" w:firstLine="0"/>
      </w:pPr>
      <w:r>
        <w:rPr>
          <w:b w:val="0"/>
        </w:rPr>
        <w:t>二、风险定级与损失测算</w:t>
      </w:r>
    </w:p>
    <w:p>
      <w:pPr>
        <w:spacing w:after="40"/>
        <w:ind w:left="720" w:firstLine="0"/>
      </w:pPr>
      <w:r>
        <w:rPr>
          <w:b w:val="0"/>
        </w:rPr>
        <w:t>2.1 风险等级评估</w:t>
      </w:r>
    </w:p>
    <w:p>
      <w:pPr>
        <w:spacing w:after="40"/>
        <w:ind w:left="720" w:firstLine="0"/>
      </w:pPr>
      <w:r>
        <w:rPr>
          <w:b w:val="0"/>
        </w:rPr>
        <w:t>2.2 损失测算结果</w:t>
      </w:r>
    </w:p>
    <w:p>
      <w:pPr>
        <w:spacing w:after="40"/>
        <w:ind w:left="720" w:firstLine="0"/>
      </w:pPr>
      <w:r>
        <w:rPr>
          <w:b w:val="0"/>
        </w:rPr>
        <w:t>2.3 风险传导分析</w:t>
      </w:r>
    </w:p>
    <w:p>
      <w:pPr>
        <w:spacing w:after="40"/>
        <w:ind w:left="360" w:firstLine="0"/>
      </w:pPr>
      <w:r>
        <w:rPr>
          <w:b w:val="0"/>
        </w:rPr>
        <w:t>三、三套处置预案</w:t>
      </w:r>
    </w:p>
    <w:p>
      <w:pPr>
        <w:spacing w:after="40"/>
        <w:ind w:left="720" w:firstLine="0"/>
      </w:pPr>
      <w:r>
        <w:rPr>
          <w:b w:val="0"/>
        </w:rPr>
        <w:t>3.1 乐观预案（方案A：最优和解）</w:t>
      </w:r>
    </w:p>
    <w:p>
      <w:pPr>
        <w:spacing w:after="40"/>
        <w:ind w:left="720" w:firstLine="0"/>
      </w:pPr>
      <w:r>
        <w:rPr>
          <w:b w:val="0"/>
        </w:rPr>
        <w:t>3.2 基准预案（方案B：保守处置）</w:t>
      </w:r>
    </w:p>
    <w:p>
      <w:pPr>
        <w:spacing w:after="40"/>
        <w:ind w:left="720" w:firstLine="0"/>
      </w:pPr>
      <w:r>
        <w:rPr>
          <w:b w:val="0"/>
        </w:rPr>
        <w:t>3.3 悲观预案（方案C：兜底诉讼/重组）</w:t>
      </w:r>
    </w:p>
    <w:p>
      <w:pPr>
        <w:spacing w:after="40"/>
        <w:ind w:left="360" w:firstLine="0"/>
      </w:pPr>
      <w:r>
        <w:rPr>
          <w:b w:val="0"/>
        </w:rPr>
        <w:t>四、处置执行计划</w:t>
      </w:r>
    </w:p>
    <w:p>
      <w:pPr>
        <w:spacing w:after="40"/>
        <w:ind w:left="720" w:firstLine="0"/>
      </w:pPr>
      <w:r>
        <w:rPr>
          <w:b w:val="0"/>
        </w:rPr>
        <w:t>4.1 执行时间表</w:t>
      </w:r>
    </w:p>
    <w:p>
      <w:pPr>
        <w:spacing w:after="40"/>
        <w:ind w:left="720" w:firstLine="0"/>
      </w:pPr>
      <w:r>
        <w:rPr>
          <w:b w:val="0"/>
        </w:rPr>
        <w:t>4.2 资源配置</w:t>
      </w:r>
    </w:p>
    <w:p>
      <w:pPr>
        <w:spacing w:after="40"/>
        <w:ind w:left="720" w:firstLine="0"/>
      </w:pPr>
      <w:r>
        <w:rPr>
          <w:b w:val="0"/>
        </w:rPr>
        <w:t>4.3 关键节点控制</w:t>
      </w:r>
    </w:p>
    <w:p>
      <w:pPr>
        <w:spacing w:after="40"/>
        <w:ind w:left="360" w:firstLine="0"/>
      </w:pPr>
      <w:r>
        <w:rPr>
          <w:b w:val="0"/>
        </w:rPr>
        <w:t>五、风险隔离与止损</w:t>
      </w:r>
    </w:p>
    <w:p>
      <w:pPr>
        <w:spacing w:after="40"/>
        <w:ind w:left="720" w:firstLine="0"/>
      </w:pPr>
      <w:r>
        <w:rPr>
          <w:b w:val="0"/>
        </w:rPr>
        <w:t>5.1 风险隔离措施</w:t>
      </w:r>
    </w:p>
    <w:p>
      <w:pPr>
        <w:spacing w:after="40"/>
        <w:ind w:left="720" w:firstLine="0"/>
      </w:pPr>
      <w:r>
        <w:rPr>
          <w:b w:val="0"/>
        </w:rPr>
        <w:t>5.2 止损底线设定</w:t>
      </w:r>
    </w:p>
    <w:p>
      <w:pPr>
        <w:spacing w:after="40"/>
        <w:ind w:left="720" w:firstLine="0"/>
      </w:pPr>
      <w:r>
        <w:rPr>
          <w:b w:val="0"/>
        </w:rPr>
        <w:t>5.3 退出机制</w:t>
      </w:r>
    </w:p>
    <w:p>
      <w:pPr>
        <w:spacing w:after="40"/>
        <w:ind w:left="360" w:firstLine="0"/>
      </w:pPr>
      <w:r>
        <w:rPr>
          <w:b w:val="0"/>
        </w:rPr>
        <w:t>六、复盘与组织资产沉淀</w:t>
      </w:r>
    </w:p>
    <w:p>
      <w:pPr>
        <w:spacing w:after="40"/>
        <w:ind w:left="720" w:firstLine="0"/>
      </w:pPr>
      <w:r>
        <w:rPr>
          <w:b w:val="0"/>
        </w:rPr>
        <w:t>6.1 处置过程复盘</w:t>
      </w:r>
    </w:p>
    <w:p>
      <w:pPr>
        <w:spacing w:after="40"/>
        <w:ind w:left="720" w:firstLine="0"/>
      </w:pPr>
      <w:r>
        <w:rPr>
          <w:b w:val="0"/>
        </w:rPr>
        <w:t>6.2 经验教训</w:t>
      </w:r>
    </w:p>
    <w:p>
      <w:pPr>
        <w:spacing w:after="40"/>
        <w:ind w:left="720" w:firstLine="0"/>
      </w:pPr>
      <w:r>
        <w:rPr>
          <w:b w:val="0"/>
        </w:rPr>
        <w:t>6.3 制度优化建议</w:t>
      </w:r>
    </w:p>
    <w:p>
      <w:pPr>
        <w:spacing w:after="40"/>
        <w:ind w:left="720" w:firstLine="0"/>
      </w:pPr>
      <w:r>
        <w:rPr>
          <w:b w:val="0"/>
        </w:rPr>
        <w:t>6.4 组织资产更新</w:t>
      </w:r>
    </w:p>
    <w:p>
      <w:pPr>
        <w:spacing w:after="40"/>
        <w:ind w:left="360" w:firstLine="0"/>
      </w:pPr>
      <w:r>
        <w:rPr>
          <w:b w:val="0"/>
        </w:rPr>
        <w:t>附录：配套工具与参考文献</w:t>
      </w:r>
    </w:p>
    <w:p>
      <w:pPr>
        <w:spacing w:after="40"/>
        <w:ind w:left="720" w:firstLine="0"/>
      </w:pPr>
      <w:r>
        <w:rPr>
          <w:b w:val="0"/>
        </w:rPr>
        <w:t>配套工具清单</w:t>
      </w:r>
    </w:p>
    <w:p>
      <w:pPr>
        <w:spacing w:after="40"/>
        <w:ind w:left="720" w:firstLine="0"/>
      </w:pPr>
      <w:r>
        <w:rPr>
          <w:b w:val="0"/>
        </w:rPr>
        <w:t>参考文献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标准风险处置方案模板（三套预案版）</w:t>
      </w:r>
    </w:p>
    <w:p>
      <w:pPr>
        <w:pStyle w:val="BodyText"/>
      </w:pPr>
      <w:r>
        <w:rPr>
          <w:b/>
        </w:rPr>
        <w:t>适用场景</w:t>
      </w:r>
      <w:r>
        <w:t>：企业面临经营风险、债务违约、合作纠纷、项目停滞等需制定处置方案时使用</w:t>
      </w:r>
    </w:p>
    <w:p>
      <w:pPr>
        <w:pStyle w:val="BodyText"/>
      </w:pPr>
      <w:r>
        <w:rPr>
          <w:b/>
        </w:rPr>
        <w:t>编制单位</w:t>
      </w:r>
      <w:r>
        <w:t>：【请填写编制部门或顾问团队名称】</w:t>
      </w:r>
    </w:p>
    <w:p>
      <w:pPr>
        <w:pStyle w:val="BodyText"/>
      </w:pPr>
      <w:r>
        <w:rPr>
          <w:b/>
        </w:rPr>
        <w:t>编制日期</w:t>
      </w:r>
      <w:r>
        <w:t>：【请填写编制日期，如2026年XX月XX日】</w:t>
      </w:r>
    </w:p>
    <w:p>
      <w:pPr>
        <w:pStyle w:val="BodyText"/>
      </w:pPr>
      <w:r>
        <w:rPr>
          <w:b/>
        </w:rPr>
        <w:t>版本号</w:t>
      </w:r>
      <w:r>
        <w:t>：V1.0</w:t>
      </w:r>
    </w:p>
    <w:p>
      <w:pPr>
        <w:pStyle w:val="BodyText"/>
      </w:pPr>
      <w:r>
        <w:rPr>
          <w:b/>
        </w:rPr>
        <w:t>保密级别</w:t>
      </w:r>
      <w:r>
        <w:t>：【内部机密/商业机密/公开】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一、项目概况与风险识别</w:t>
      </w:r>
    </w:p>
    <w:p>
      <w:pPr>
        <w:pStyle w:val="Heading3"/>
      </w:pPr>
      <w:r>
        <w:t>1.1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项目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内容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项目名称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项目编号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涉及金额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【请填写，含币种】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风险发生时间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风险上报时间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项目负责人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编制人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</w:tbl>
    <w:p>
      <w:pPr>
        <w:pStyle w:val="Heading3"/>
      </w:pPr>
      <w:r>
        <w:t>1.2 风险事件概述</w:t>
      </w:r>
    </w:p>
    <w:p>
      <w:pPr>
        <w:pStyle w:val="BodyText"/>
      </w:pPr>
      <w:r>
        <w:rPr>
          <w:b/>
        </w:rPr>
        <w:t>风险事件描述</w:t>
      </w:r>
      <w:r>
        <w:t>：【请用2-3句话描述风险事件的核心事实：发生了什么问题、涉及哪些主体、当前状态如何】</w:t>
      </w:r>
    </w:p>
    <w:p>
      <w:pPr>
        <w:pStyle w:val="BodyText"/>
      </w:pPr>
      <w:r>
        <w:rPr>
          <w:b/>
        </w:rPr>
        <w:t>风险触发原因</w:t>
      </w:r>
      <w:r>
        <w:t>：【请分析风险爆发的直接触发因素：是外部政策突变、市场波动、合作方违约、内部管理疏漏，还是多重因素叠加】</w:t>
      </w:r>
    </w:p>
    <w:p>
      <w:pPr>
        <w:pStyle w:val="BodyText"/>
      </w:pPr>
      <w:r>
        <w:rPr>
          <w:b/>
        </w:rPr>
        <w:t>当前事态进展</w:t>
      </w:r>
      <w:r>
        <w:t>：【请描述风险当前所处的阶段：萌芽期/爆发期/僵持期/恶化期/缓解期】</w:t>
      </w:r>
    </w:p>
    <w:p>
      <w:pPr>
        <w:pStyle w:val="Heading3"/>
      </w:pPr>
      <w:r>
        <w:t>1.3 风险类型判定</w:t>
      </w:r>
    </w:p>
    <w:p>
      <w:pPr>
        <w:pStyle w:val="BodyText"/>
      </w:pPr>
      <w:r>
        <w:rPr>
          <w:b/>
        </w:rPr>
        <w:t>依据《危机应对的道与术》风险分类框架，本风险属于</w:t>
      </w:r>
      <w:r>
        <w:t>：</w:t>
      </w:r>
    </w:p>
    <w:p>
      <w:pPr>
        <w:pStyle w:val="ListBullet"/>
      </w:pPr>
      <w:r>
        <w:t>【 】 经营性风险（市场变化、竞争加剧、需求萎缩）</w:t>
      </w:r>
    </w:p>
    <w:p>
      <w:pPr>
        <w:pStyle w:val="ListBullet"/>
      </w:pPr>
      <w:r>
        <w:t>【 】 财务性风险（现金流断裂、债务违约、资金链紧张）</w:t>
      </w:r>
    </w:p>
    <w:p>
      <w:pPr>
        <w:pStyle w:val="ListBullet"/>
      </w:pPr>
      <w:r>
        <w:t>【 】 合规性风险（政策调整、监管处罚、法律纠纷）</w:t>
      </w:r>
    </w:p>
    <w:p>
      <w:pPr>
        <w:pStyle w:val="ListBullet"/>
      </w:pPr>
      <w:r>
        <w:t>【 】 合作性风险（合同违约、履约僵局、股东纠纷）</w:t>
      </w:r>
    </w:p>
    <w:p>
      <w:pPr>
        <w:pStyle w:val="ListBullet"/>
      </w:pPr>
      <w:r>
        <w:t>【 】 声誉性风险（舆情危机、负面传播、品牌受损）</w:t>
      </w:r>
    </w:p>
    <w:p>
      <w:pPr>
        <w:pStyle w:val="ListBullet"/>
      </w:pPr>
      <w:r>
        <w:t>【 】 黑天鹅风险（不可预测、影响极端、事后可解释）</w:t>
      </w:r>
    </w:p>
    <w:p>
      <w:pPr>
        <w:pStyle w:val="BodyText"/>
      </w:pPr>
      <w:r>
        <w:rPr>
          <w:b/>
        </w:rPr>
        <w:t>复合风险判断</w:t>
      </w:r>
      <w:r>
        <w:t>：【如属于多类型叠加，请说明主风险与次生风险的关系，及风险传导路径】</w:t>
      </w:r>
    </w:p>
    <w:p>
      <w:pPr>
        <w:pStyle w:val="Heading3"/>
      </w:pPr>
      <w:r>
        <w:t>1.4 相关方梳理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相关方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角色定位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利益诉求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谈判筹码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联系方式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甲方/债权人/委托方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乙方/债务人/违约方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担保方/连带责任人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第三方（监管/平台/媒体）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二、风险定级与损失测算</w:t>
      </w:r>
    </w:p>
    <w:p>
      <w:pPr>
        <w:pStyle w:val="Heading3"/>
      </w:pPr>
      <w:r>
        <w:t>2.1 风险等级评估</w:t>
      </w:r>
    </w:p>
    <w:p>
      <w:pPr>
        <w:pStyle w:val="BodyText"/>
      </w:pPr>
      <w:r>
        <w:rPr>
          <w:b/>
        </w:rPr>
        <w:t>依据《风险等级评估表》打分结果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评估维度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权重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评分（1-5）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加权得分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风险等级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工商合规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15%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【自动计算】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【自动判定】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涉诉风险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【自动计算】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【自动判定】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资产安全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15%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【自动计算】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【自动判定】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合同履约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15%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【自动计算】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【自动判定】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舆情声誉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15%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【自动计算】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【自动判定】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资金财务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【自动计算】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【自动判定】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综合评估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—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【自动计算】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【自动判定】</w:t>
            </w:r>
          </w:p>
        </w:tc>
      </w:tr>
    </w:tbl>
    <w:p>
      <w:pPr>
        <w:pStyle w:val="BodyText"/>
      </w:pPr>
      <w:r>
        <w:rPr>
          <w:b/>
        </w:rPr>
        <w:t>风险等级判定标准</w:t>
      </w:r>
      <w:r>
        <w:t>：</w:t>
      </w:r>
    </w:p>
    <w:p>
      <w:pPr>
        <w:pStyle w:val="ListBullet"/>
      </w:pPr>
      <w:r>
        <w:t>综合评分≥4.0：高风险（红色）——需立即启动危机处置，升级至最高决策层</w:t>
      </w:r>
    </w:p>
    <w:p>
      <w:pPr>
        <w:pStyle w:val="ListBullet"/>
      </w:pPr>
      <w:r>
        <w:t>综合评分3.0-3.9：中风险（黄色）——需制定处置方案，限期推进</w:t>
      </w:r>
    </w:p>
    <w:p>
      <w:pPr>
        <w:pStyle w:val="ListBullet"/>
      </w:pPr>
      <w:r>
        <w:t>综合评分&lt;3.0：低风险（绿色）——常规管理，持续监测</w:t>
      </w:r>
    </w:p>
    <w:p>
      <w:pPr>
        <w:pStyle w:val="BodyText"/>
      </w:pPr>
      <w:r>
        <w:rPr>
          <w:b/>
        </w:rPr>
        <w:t>本风险综合等级</w:t>
      </w:r>
      <w:r>
        <w:t>：【 】 高风险 / 【 】 中风险 / 【 】 低风险</w:t>
      </w:r>
    </w:p>
    <w:p>
      <w:pPr>
        <w:pStyle w:val="Heading3"/>
      </w:pPr>
      <w:r>
        <w:t>2.2 损失测算结果</w:t>
      </w:r>
    </w:p>
    <w:p>
      <w:pPr>
        <w:pStyle w:val="BodyText"/>
      </w:pPr>
      <w:r>
        <w:rPr>
          <w:b/>
        </w:rPr>
        <w:t>依据《风险损失测算模板》计算结果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测算项目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乐观情景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基准情景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悲观情景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逾期利息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违约风险敞口(EAD)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预期损失(EL)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催收/诉讼成本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间接成本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机会成本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保险赔付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担保回收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净预期损失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处置总成本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损失率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回收金额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回收率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</w:tr>
    </w:tbl>
    <w:p>
      <w:pPr>
        <w:pStyle w:val="BodyText"/>
      </w:pPr>
      <w:r>
        <w:rPr>
          <w:b/>
        </w:rPr>
        <w:t>损失率判定</w:t>
      </w:r>
      <w:r>
        <w:t>：</w:t>
      </w:r>
    </w:p>
    <w:p>
      <w:pPr>
        <w:pStyle w:val="ListBullet"/>
      </w:pPr>
      <w:r>
        <w:t>&lt;5%：低风险——常规催收即可</w:t>
      </w:r>
    </w:p>
    <w:p>
      <w:pPr>
        <w:pStyle w:val="ListBullet"/>
      </w:pPr>
      <w:r>
        <w:t>5%-15%：中风险——需主动介入处置</w:t>
      </w:r>
    </w:p>
    <w:p>
      <w:pPr>
        <w:pStyle w:val="ListBullet"/>
      </w:pPr>
      <w:r>
        <w:t>≥15%：高风险——必须制定专项处置方案，考虑止损离场</w:t>
      </w:r>
    </w:p>
    <w:p>
      <w:pPr>
        <w:pStyle w:val="Heading3"/>
      </w:pPr>
      <w:r>
        <w:t>2.3 风险传导分析</w:t>
      </w:r>
    </w:p>
    <w:p>
      <w:pPr>
        <w:pStyle w:val="BodyText"/>
      </w:pPr>
      <w:r>
        <w:rPr>
          <w:b/>
        </w:rPr>
        <w:t>《黑天鹅》视角：非常规风险的级联传导路径</w:t>
      </w:r>
    </w:p>
    <w:p>
      <w:pPr>
        <w:pStyle w:val="BodyText"/>
      </w:pPr>
      <w:r>
        <w:rPr>
          <w:b/>
        </w:rPr>
        <w:t>一级传导</w:t>
      </w:r>
      <w:r>
        <w:t>：【请描述风险直接冲击的业务模块或资产：如核心客户流失、关键合同作废、现金流中断】</w:t>
      </w:r>
    </w:p>
    <w:p>
      <w:pPr>
        <w:pStyle w:val="BodyText"/>
      </w:pPr>
      <w:r>
        <w:rPr>
          <w:b/>
        </w:rPr>
        <w:t>二级传导</w:t>
      </w:r>
      <w:r>
        <w:t>：【请描述风险向关联方的蔓延：如供应商断供、银行抽贷、担保链触发、合作方连锁违约】</w:t>
      </w:r>
    </w:p>
    <w:p>
      <w:pPr>
        <w:pStyle w:val="BodyText"/>
      </w:pPr>
      <w:r>
        <w:rPr>
          <w:b/>
        </w:rPr>
        <w:t>三级传导</w:t>
      </w:r>
      <w:r>
        <w:t>：【请描述风险对组织声誉和战略的影响：如市场信心动摇、人才流失、战略收缩、估值下调】</w:t>
      </w:r>
    </w:p>
    <w:p>
      <w:pPr>
        <w:pStyle w:val="BodyText"/>
      </w:pPr>
      <w:r>
        <w:rPr>
          <w:b/>
        </w:rPr>
        <w:t>《危机应对的道与术》止损逻辑：拖延成本指数增长曲线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时间节点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处置动作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累计损失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回收率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关键救助者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T+7天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T+30天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T+90天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T+180天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T+360天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核心判断</w:t>
      </w:r>
      <w:r>
        <w:t>：每延迟处置一个月，净回收率约下降【 】%。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三、三套处置预案</w:t>
      </w:r>
    </w:p>
    <w:p>
      <w:pPr>
        <w:pStyle w:val="BodyText"/>
      </w:pPr>
      <w:r>
        <w:rPr>
          <w:b/>
        </w:rPr>
        <w:t>处置顾问核心能力：任何一个风险必须输出三套方案——最优和解、保守处置、兜底诉讼。三套预案并行推演，根据事态进展动态切换。</w:t>
      </w:r>
    </w:p>
    <w:p>
      <w:pPr>
        <w:pStyle w:val="Heading3"/>
      </w:pPr>
      <w:r>
        <w:t>3.1 乐观预案（方案A：最优和解）</w:t>
      </w:r>
    </w:p>
    <w:p>
      <w:pPr>
        <w:pStyle w:val="BodyText"/>
      </w:pPr>
      <w:r>
        <w:rPr>
          <w:b/>
        </w:rPr>
        <w:t>预案定位</w:t>
      </w:r>
      <w:r>
        <w:t>：低成本、快止损、保关系，优先非诉解决，兼顾商业合作延续</w:t>
      </w:r>
    </w:p>
    <w:p>
      <w:pPr>
        <w:pStyle w:val="BodyText"/>
      </w:pPr>
      <w:r>
        <w:rPr>
          <w:b/>
        </w:rPr>
        <w:t>适用触发条件</w:t>
      </w:r>
      <w:r>
        <w:t>：</w:t>
      </w:r>
    </w:p>
    <w:p>
      <w:pPr>
        <w:pStyle w:val="ListBullet"/>
      </w:pPr>
      <w:r>
        <w:t>对方有还款/履约意愿但暂时困难</w:t>
      </w:r>
    </w:p>
    <w:p>
      <w:pPr>
        <w:pStyle w:val="ListBullet"/>
      </w:pPr>
      <w:r>
        <w:t>双方商业关系有长期价值</w:t>
      </w:r>
    </w:p>
    <w:p>
      <w:pPr>
        <w:pStyle w:val="ListBullet"/>
      </w:pPr>
      <w:r>
        <w:t>诉讼成本高于预期回收金额</w:t>
      </w:r>
    </w:p>
    <w:p>
      <w:pPr>
        <w:pStyle w:val="ListBullet"/>
      </w:pPr>
      <w:r>
        <w:t>证据链存在瑕疵，诉讼胜诉率不确定</w:t>
      </w:r>
    </w:p>
    <w:p>
      <w:pPr>
        <w:pStyle w:val="BodyText"/>
      </w:pPr>
      <w:r>
        <w:rPr>
          <w:b/>
        </w:rPr>
        <w:t>处置策略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策略模块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具体措施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负责方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时间节点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成本预算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预期效果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沟通策略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【请填写：首次接触方式、谈判切入点、让步空间】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债务重组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【请填写：分期方案、展期期限、利率调整、减免幅度】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资产保全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【请填写：抵押物置换、追加担保、应收账款质押】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履约保障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【请填写：分期履约保证金、第三方监管账户、里程碑付款】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《掘金》不良资产经营视角：本方案的回收率目标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指标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目标值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达成路径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本金回收率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≥【 】%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利息回收率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≥【 】%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处置周期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≤【 】天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综合成本率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≤【 】%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谈判底线</w:t>
      </w:r>
      <w:r>
        <w:t>：【请填写：最低可接受的本金回收比例、最长可容忍的回收周期、是否接受以物抵债】</w:t>
      </w:r>
    </w:p>
    <w:p>
      <w:pPr>
        <w:pStyle w:val="BodyText"/>
      </w:pPr>
      <w:r>
        <w:rPr>
          <w:b/>
        </w:rPr>
        <w:t>退出触发</w:t>
      </w:r>
      <w:r>
        <w:t>：【请填写：何种条件下从方案A切换至方案B——如对方连续两期违约、新增重大负面信息、核心资产转移】</w:t>
      </w:r>
    </w:p>
    <w:p>
      <w:pPr>
        <w:pStyle w:val="Heading3"/>
      </w:pPr>
      <w:r>
        <w:t>3.2 基准预案（方案B：保守处置）</w:t>
      </w:r>
    </w:p>
    <w:p>
      <w:pPr>
        <w:pStyle w:val="BodyText"/>
      </w:pPr>
      <w:r>
        <w:rPr>
          <w:b/>
        </w:rPr>
        <w:t>预案定位</w:t>
      </w:r>
      <w:r>
        <w:t>：稳、不扩大损失，强化催收与证据固定，做好诉讼准备但暂不启动</w:t>
      </w:r>
    </w:p>
    <w:p>
      <w:pPr>
        <w:pStyle w:val="BodyText"/>
      </w:pPr>
      <w:r>
        <w:rPr>
          <w:b/>
        </w:rPr>
        <w:t>适用触发条件</w:t>
      </w:r>
      <w:r>
        <w:t>：</w:t>
      </w:r>
    </w:p>
    <w:p>
      <w:pPr>
        <w:pStyle w:val="ListBullet"/>
      </w:pPr>
      <w:r>
        <w:t>方案A谈判破裂或对方履约意愿存疑</w:t>
      </w:r>
    </w:p>
    <w:p>
      <w:pPr>
        <w:pStyle w:val="ListBullet"/>
      </w:pPr>
      <w:r>
        <w:t>风险等级维持中风险及以上超过【 】天</w:t>
      </w:r>
    </w:p>
    <w:p>
      <w:pPr>
        <w:pStyle w:val="ListBullet"/>
      </w:pPr>
      <w:r>
        <w:t>对方出现资产转移、抽逃资金迹象</w:t>
      </w:r>
    </w:p>
    <w:p>
      <w:pPr>
        <w:pStyle w:val="ListBullet"/>
      </w:pPr>
      <w:r>
        <w:t>诉讼时效剩余不足【 】个月</w:t>
      </w:r>
    </w:p>
    <w:p>
      <w:pPr>
        <w:pStyle w:val="BodyText"/>
      </w:pPr>
      <w:r>
        <w:rPr>
          <w:b/>
        </w:rPr>
        <w:t>处置策略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策略模块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具体措施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负责方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时间节点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成本预算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预期效果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催收升级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【请填写：律师函、上门催收、第三方催收机构介入】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证据固定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【请填写：合同/对账单/往来函件/转账记录保全】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财产保全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【请填写：诉前保全申请、查封标的、担保措施】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诉讼准备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【请填写：起诉状起草、管辖权确认、证据目录整理】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《稳评指南》标准化处置流程：五步工作法嵌入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风险识别</w:t>
      </w:r>
      <w:r>
        <w:t>：【请确认已识别全部风险点：合同效力、担保有效性、诉讼时效、管辖争议】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风险分析</w:t>
      </w:r>
      <w:r>
        <w:t>：【请分析各风险点的影响程度和发生概率】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风险评估</w:t>
      </w:r>
      <w:r>
        <w:t>：【请给出综合风险等级：低/中/高/极高】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风险处置</w:t>
      </w:r>
      <w:r>
        <w:t>：【请制定针对性处置措施和备选方案】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风险监控</w:t>
      </w:r>
      <w:r>
        <w:t>：【请设定监控指标和预警阈值】</w:t>
      </w:r>
    </w:p>
    <w:p>
      <w:pPr>
        <w:pStyle w:val="BodyText"/>
      </w:pPr>
      <w:r>
        <w:rPr>
          <w:b/>
        </w:rPr>
        <w:t>止损底线</w:t>
      </w:r>
      <w:r>
        <w:t>：【请填写：当累计处置成本超过预期回收金额的【 】%时，启动止损离场程序】</w:t>
      </w:r>
    </w:p>
    <w:p>
      <w:pPr>
        <w:pStyle w:val="Heading3"/>
      </w:pPr>
      <w:r>
        <w:t>3.3 悲观预案（方案C：兜底诉讼/重组）</w:t>
      </w:r>
    </w:p>
    <w:p>
      <w:pPr>
        <w:pStyle w:val="BodyText"/>
      </w:pPr>
      <w:r>
        <w:rPr>
          <w:b/>
        </w:rPr>
        <w:t>预案定位</w:t>
      </w:r>
      <w:r>
        <w:t>：底线防守，穷尽法律手段，同步评估债务重组/债权转让/破产清算选项</w:t>
      </w:r>
    </w:p>
    <w:p>
      <w:pPr>
        <w:pStyle w:val="BodyText"/>
      </w:pPr>
      <w:r>
        <w:rPr>
          <w:b/>
        </w:rPr>
        <w:t>适用触发条件</w:t>
      </w:r>
      <w:r>
        <w:t>：</w:t>
      </w:r>
    </w:p>
    <w:p>
      <w:pPr>
        <w:pStyle w:val="ListBullet"/>
      </w:pPr>
      <w:r>
        <w:t>方案A、B均已穷尽，对方明确无履约能力</w:t>
      </w:r>
    </w:p>
    <w:p>
      <w:pPr>
        <w:pStyle w:val="ListBullet"/>
      </w:pPr>
      <w:r>
        <w:t>对方已进入实质性破产或清算程序</w:t>
      </w:r>
    </w:p>
    <w:p>
      <w:pPr>
        <w:pStyle w:val="ListBullet"/>
      </w:pPr>
      <w:r>
        <w:t>核心资产已被其他债权人查封/执行</w:t>
      </w:r>
    </w:p>
    <w:p>
      <w:pPr>
        <w:pStyle w:val="ListBullet"/>
      </w:pPr>
      <w:r>
        <w:t>诉讼时效即将届满，必须立即启动司法程序</w:t>
      </w:r>
    </w:p>
    <w:p>
      <w:pPr>
        <w:pStyle w:val="ListBullet"/>
      </w:pPr>
      <w:r>
        <w:t>涉及刑事犯罪（合同诈骗、职务侵占等）</w:t>
      </w:r>
    </w:p>
    <w:p>
      <w:pPr>
        <w:pStyle w:val="BodyText"/>
      </w:pPr>
      <w:r>
        <w:rPr>
          <w:b/>
        </w:rPr>
        <w:t>处置策略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策略模块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具体措施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负责方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时间节点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成本预算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预期效果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诉讼/仲裁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【请填写：管辖法院/仲裁机构、诉讼请求、证据策略】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执行预案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【请填写：执行标的、执行难点、追加被执行人路径】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债权转让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【请填写：潜在受让方、折扣率区间、转让条件】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破产参与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【请填写：申报债权、参与债权人会议、重整方案】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刑事报案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【请填写：报案机关、涉嫌罪名、关键证据】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《黑天鹅》杠铃策略应用：极端情景下的风险控制</w:t>
      </w:r>
    </w:p>
    <w:p>
      <w:pPr>
        <w:pStyle w:val="BodyText"/>
      </w:pPr>
      <w:r>
        <w:rPr>
          <w:b/>
        </w:rPr>
        <w:t>方案C-1 诉讼路径</w:t>
      </w:r>
      <w:r>
        <w:t>：</w:t>
      </w:r>
    </w:p>
    <w:p>
      <w:pPr>
        <w:pStyle w:val="ListBullet"/>
      </w:pPr>
      <w:r>
        <w:t>投入：诉讼费【 】+ 律师费【 】+ 保全费【 】= 【 】</w:t>
      </w:r>
    </w:p>
    <w:p>
      <w:pPr>
        <w:pStyle w:val="ListBullet"/>
      </w:pPr>
      <w:r>
        <w:t>预期回收：【 】（胜诉率【 】% × 执行到位率【 】% × 本金【 】）</w:t>
      </w:r>
    </w:p>
    <w:p>
      <w:pPr>
        <w:pStyle w:val="ListBullet"/>
      </w:pPr>
      <w:r>
        <w:t>净收益：【 】</w:t>
      </w:r>
    </w:p>
    <w:p>
      <w:pPr>
        <w:pStyle w:val="ListBullet"/>
      </w:pPr>
      <w:r>
        <w:t>周期：【 】个月</w:t>
      </w:r>
    </w:p>
    <w:p>
      <w:pPr>
        <w:pStyle w:val="BodyText"/>
      </w:pPr>
      <w:r>
        <w:rPr>
          <w:b/>
        </w:rPr>
        <w:t>方案C-2 债权转让路径</w:t>
      </w:r>
      <w:r>
        <w:t>：</w:t>
      </w:r>
    </w:p>
    <w:p>
      <w:pPr>
        <w:pStyle w:val="ListBullet"/>
      </w:pPr>
      <w:r>
        <w:t>转让折扣：【 】%</w:t>
      </w:r>
    </w:p>
    <w:p>
      <w:pPr>
        <w:pStyle w:val="ListBullet"/>
      </w:pPr>
      <w:r>
        <w:t>即时回收：【 】</w:t>
      </w:r>
    </w:p>
    <w:p>
      <w:pPr>
        <w:pStyle w:val="ListBullet"/>
      </w:pPr>
      <w:r>
        <w:t>机会成本节省：【 】</w:t>
      </w:r>
    </w:p>
    <w:p>
      <w:pPr>
        <w:pStyle w:val="ListBullet"/>
      </w:pPr>
      <w:r>
        <w:t>综合收益：【 】</w:t>
      </w:r>
    </w:p>
    <w:p>
      <w:pPr>
        <w:pStyle w:val="BodyText"/>
      </w:pPr>
      <w:r>
        <w:rPr>
          <w:b/>
        </w:rPr>
        <w:t>方案C-3 破产清算路径</w:t>
      </w:r>
      <w:r>
        <w:t>：</w:t>
      </w:r>
    </w:p>
    <w:p>
      <w:pPr>
        <w:pStyle w:val="ListBullet"/>
      </w:pPr>
      <w:r>
        <w:t>清偿顺位：【请填写：有担保债权/职工债权/税款/普通债权】</w:t>
      </w:r>
    </w:p>
    <w:p>
      <w:pPr>
        <w:pStyle w:val="ListBullet"/>
      </w:pPr>
      <w:r>
        <w:t>预估清偿率：【 】%</w:t>
      </w:r>
    </w:p>
    <w:p>
      <w:pPr>
        <w:pStyle w:val="ListBullet"/>
      </w:pPr>
      <w:r>
        <w:t>回收金额：【 】</w:t>
      </w:r>
    </w:p>
    <w:p>
      <w:pPr>
        <w:pStyle w:val="BodyText"/>
      </w:pPr>
      <w:r>
        <w:rPr>
          <w:b/>
        </w:rPr>
        <w:t>决策矩阵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路径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回收金额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回收周期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综合成本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确定性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推荐优先级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诉讼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债权转让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破产参与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止损离场线</w:t>
      </w:r>
      <w:r>
        <w:t>：【请填写：当所有路径的预期净收益均低于【 】元时，建议核销坏账并启动内部追责】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四、处置执行计划</w:t>
      </w:r>
    </w:p>
    <w:p>
      <w:pPr>
        <w:pStyle w:val="Heading3"/>
      </w:pPr>
      <w:r>
        <w:t>4.1 执行时间表</w:t>
      </w:r>
    </w:p>
    <w:p>
      <w:pPr>
        <w:pStyle w:val="BodyText"/>
      </w:pPr>
      <w:r>
        <w:rPr>
          <w:b/>
        </w:rPr>
        <w:t>《危机应对的道与术》关键救助者时间窗口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阶段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时间窗口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核心任务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决策要点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负责人</w:t>
            </w:r>
          </w:p>
        </w:tc>
        <w:tc>
          <w:tcPr>
            <w:tcW w:type="dxa" w:w="150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交付物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紧急响应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T+0至T+7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【请填写：事实确认、损失冻结、相关方通知】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方案制定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T+8至T+14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【请填写：尽调完成、三套预案编制、内部评审】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谈判实施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T+15至T+45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【请填写：首轮谈判、方案A推进、备选方案准备】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升级处置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T+46至T+90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【请填写：方案切换、诉讼启动、资产保全强化】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执行落地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T+91至T+180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【请填写：协议签署、资金回收、资产交割】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复盘归档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T+181至T+210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【请填写：处置复盘、资产沉淀、制度优化】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4.2 资源配置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资源类型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需求描述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预算金额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来源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到位时间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人力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【请填写：内部团队/外部律师/催收机构】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【请填写：诉讼费/保全担保/差旅】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信息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【请填写：尽调报告/舆情监测/司法信息】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【请填写：关键人脉/行业协会/监管部门】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4.3 关键节点控制</w:t>
      </w:r>
    </w:p>
    <w:p>
      <w:pPr>
        <w:pStyle w:val="BodyText"/>
      </w:pPr>
      <w:r>
        <w:rPr>
          <w:b/>
        </w:rPr>
        <w:t>节点1</w:t>
      </w:r>
      <w:r>
        <w:t>：【 】——若未达成，触发【 】</w:t>
      </w:r>
    </w:p>
    <w:p>
      <w:pPr>
        <w:pStyle w:val="BodyText"/>
      </w:pPr>
      <w:r>
        <w:rPr>
          <w:b/>
        </w:rPr>
        <w:t>节点2</w:t>
      </w:r>
      <w:r>
        <w:t>：【 】——若未达成，触发【 】</w:t>
      </w:r>
    </w:p>
    <w:p>
      <w:pPr>
        <w:pStyle w:val="BodyText"/>
      </w:pPr>
      <w:r>
        <w:rPr>
          <w:b/>
        </w:rPr>
        <w:t>节点3</w:t>
      </w:r>
      <w:r>
        <w:t>：【 】——若未达成，触发【 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五、风险隔离与止损</w:t>
      </w:r>
    </w:p>
    <w:p>
      <w:pPr>
        <w:pStyle w:val="Heading3"/>
      </w:pPr>
      <w:r>
        <w:t>5.1 风险隔离措施</w:t>
      </w:r>
    </w:p>
    <w:p>
      <w:pPr>
        <w:pStyle w:val="BodyText"/>
      </w:pPr>
      <w:r>
        <w:rPr>
          <w:b/>
        </w:rPr>
        <w:t>《黑天鹅》反脆弱组织架构应用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隔离层级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隔离措施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责任人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完成时间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业务隔离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【请填写：暂停新业务合作、冻结信用额度、停止发货】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财务隔离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【请填写：资金归集、账户监管、关联交易冻结】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法律隔离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【请填写：担保责任厘清、连带责任切割、诉讼主体确认】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声誉隔离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【请填写：舆情监测、对外话术统一、媒体应对预案】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组织隔离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【请填写：项目组独立运作、信息分级管理、决策权限上收】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5.2 止损底线设定</w:t>
      </w:r>
    </w:p>
    <w:p>
      <w:pPr>
        <w:pStyle w:val="BodyText"/>
      </w:pPr>
      <w:r>
        <w:rPr>
          <w:b/>
        </w:rPr>
        <w:t>依据《掘金》不良资产经营止损原则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止损维度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底线设定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触发动作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决策权限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金额止损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当累计处置成本≥预期回收金额的【 】%时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启动止损离场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时间止损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当处置周期≥【 】天且无实质进展时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切换至方案C或核销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机会止损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当机会成本≥【 】元/月时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评估债权转让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声誉止损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当负面舆情指数≥【 】时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启动危机公关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5.3 退出机制</w:t>
      </w:r>
    </w:p>
    <w:p>
      <w:pPr>
        <w:pStyle w:val="BodyText"/>
      </w:pPr>
      <w:r>
        <w:rPr>
          <w:b/>
        </w:rPr>
        <w:t>正常退出</w:t>
      </w:r>
      <w:r>
        <w:t>：【请填写：全额回收、协议履行完毕、结案条件】</w:t>
      </w:r>
    </w:p>
    <w:p>
      <w:pPr>
        <w:pStyle w:val="BodyText"/>
      </w:pPr>
      <w:r>
        <w:rPr>
          <w:b/>
        </w:rPr>
        <w:t>止损退出</w:t>
      </w:r>
      <w:r>
        <w:t>：【请填写：核销条件、内部追责、经验归档】</w:t>
      </w:r>
    </w:p>
    <w:p>
      <w:pPr>
        <w:pStyle w:val="BodyText"/>
      </w:pPr>
      <w:r>
        <w:rPr>
          <w:b/>
        </w:rPr>
        <w:t>升级退出</w:t>
      </w:r>
      <w:r>
        <w:t>：【请填写：转交上级部门、引入外部机构、启动刑事程序】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六、复盘与组织资产沉淀</w:t>
      </w:r>
    </w:p>
    <w:p>
      <w:pPr>
        <w:pStyle w:val="Heading3"/>
      </w:pPr>
      <w:r>
        <w:t>6.1 处置过程复盘</w:t>
      </w:r>
    </w:p>
    <w:p>
      <w:pPr>
        <w:pStyle w:val="BodyText"/>
      </w:pPr>
      <w:r>
        <w:rPr>
          <w:b/>
        </w:rPr>
        <w:t>《危机应对的道与术》复盘框架：危机是改革契机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复盘维度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关键问题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本案例情况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改进方向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预判复盘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风险爆发前是否有预警信号？预警是否被忽视？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止损复盘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处置启动是否及时？是否存在拖延？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决策复盘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方案选择是否正确？切换时机是否恰当？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执行复盘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执行过程中哪些环节可以优化？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成本复盘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实际成本与预算偏差原因？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6.2 经验教训</w:t>
      </w:r>
    </w:p>
    <w:p>
      <w:pPr>
        <w:pStyle w:val="BodyText"/>
      </w:pPr>
      <w:r>
        <w:rPr>
          <w:b/>
        </w:rPr>
        <w:t>成功经验（可复制）</w:t>
      </w:r>
      <w:r>
        <w:t>：</w:t>
      </w:r>
    </w:p>
    <w:p>
      <w:pPr>
        <w:pStyle w:val="ListBullet"/>
      </w:pPr>
      <w:r>
        <w:t>【请填写】</w:t>
      </w:r>
    </w:p>
    <w:p>
      <w:pPr>
        <w:pStyle w:val="ListBullet"/>
      </w:pPr>
      <w:r>
        <w:t>【请填写】</w:t>
      </w:r>
    </w:p>
    <w:p>
      <w:pPr>
        <w:pStyle w:val="BodyText"/>
      </w:pPr>
      <w:r>
        <w:rPr>
          <w:b/>
        </w:rPr>
        <w:t>失败教训（需规避）</w:t>
      </w:r>
      <w:r>
        <w:t>：</w:t>
      </w:r>
    </w:p>
    <w:p>
      <w:pPr>
        <w:pStyle w:val="ListBullet"/>
      </w:pPr>
      <w:r>
        <w:t>【请填写】</w:t>
      </w:r>
    </w:p>
    <w:p>
      <w:pPr>
        <w:pStyle w:val="ListBullet"/>
      </w:pPr>
      <w:r>
        <w:t>【请填写】</w:t>
      </w:r>
    </w:p>
    <w:p>
      <w:pPr>
        <w:pStyle w:val="Heading3"/>
      </w:pPr>
      <w:r>
        <w:t>6.3 制度优化建议</w:t>
      </w:r>
    </w:p>
    <w:p>
      <w:pPr>
        <w:pStyle w:val="BodyText"/>
      </w:pPr>
      <w:r>
        <w:rPr>
          <w:b/>
        </w:rPr>
        <w:t>依据白皮书五大风控范式（认知/时序/组织/积累/价值）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范式维度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当前短板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优化建议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责任部门</w:t>
            </w:r>
          </w:p>
        </w:tc>
        <w:tc>
          <w:tcPr>
            <w:tcW w:type="dxa" w:w="1805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完成时间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认知范式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时序范式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组织范式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积累范式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价值范式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6.4 组织资产更新</w:t>
      </w:r>
    </w:p>
    <w:p>
      <w:pPr>
        <w:pStyle w:val="BodyText"/>
      </w:pPr>
      <w:r>
        <w:rPr>
          <w:b/>
        </w:rPr>
        <w:t>本次处置后需更新的组织资产清单</w:t>
      </w:r>
      <w:r>
        <w:t>：</w:t>
      </w:r>
    </w:p>
    <w:p>
      <w:pPr>
        <w:pStyle w:val="ListBullet"/>
      </w:pPr>
      <w:r>
        <w:t>【 】 更新《企业风险全面尽调清单》：新增【 】类风险信号</w:t>
      </w:r>
    </w:p>
    <w:p>
      <w:pPr>
        <w:pStyle w:val="ListBullet"/>
      </w:pPr>
      <w:r>
        <w:t>【 】 更新《风险等级评估表》：调整【 】维度权重</w:t>
      </w:r>
    </w:p>
    <w:p>
      <w:pPr>
        <w:pStyle w:val="ListBullet"/>
      </w:pPr>
      <w:r>
        <w:t>【 】 更新《风险损失测算模板》：修正【 】参数默认值</w:t>
      </w:r>
    </w:p>
    <w:p>
      <w:pPr>
        <w:pStyle w:val="ListBullet"/>
      </w:pPr>
      <w:r>
        <w:t>【 】 更新《标准风险处置方案模板》：补充【 】场景预案</w:t>
      </w:r>
    </w:p>
    <w:p>
      <w:pPr>
        <w:pStyle w:val="ListBullet"/>
      </w:pPr>
      <w:r>
        <w:t>【 】 更新《谈判沟通话术框架》：新增【 】场景话术</w:t>
      </w:r>
    </w:p>
    <w:p>
      <w:pPr>
        <w:pStyle w:val="ListBullet"/>
      </w:pPr>
      <w:r>
        <w:t>【 】 更新《风险隔离与止损操作SOP》：优化【 】流程</w:t>
      </w:r>
    </w:p>
    <w:p>
      <w:pPr>
        <w:pStyle w:val="BodyText"/>
      </w:pPr>
      <w:r>
        <w:rPr>
          <w:b/>
        </w:rPr>
        <w:t>资产沉淀责任人</w:t>
      </w:r>
      <w:r>
        <w:t>：【请填写】</w:t>
      </w:r>
    </w:p>
    <w:p>
      <w:pPr>
        <w:pStyle w:val="BodyText"/>
      </w:pPr>
      <w:r>
        <w:rPr>
          <w:b/>
        </w:rPr>
        <w:t>下次更新日期</w:t>
      </w:r>
      <w:r>
        <w:t>：【请填写】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附录：配套工具与参考文献</w:t>
      </w:r>
    </w:p>
    <w:p>
      <w:pPr>
        <w:pStyle w:val="Heading3"/>
      </w:pPr>
      <w:r>
        <w:t>配套工具清单</w:t>
      </w:r>
    </w:p>
    <w:p>
      <w:pPr>
        <w:pStyle w:val="ListNumber"/>
        <w:numPr>
          <w:ilvl w:val="0"/>
          <w:numId w:val="11"/>
        </w:numPr>
      </w:pPr>
      <w:r>
        <w:t>《企业风险全面尽调清单》（60项检查项/6维度）</w:t>
      </w:r>
    </w:p>
    <w:p>
      <w:pPr>
        <w:pStyle w:val="ListNumber"/>
        <w:numPr>
          <w:ilvl w:val="0"/>
          <w:numId w:val="11"/>
        </w:numPr>
      </w:pPr>
      <w:r>
        <w:t>《风险等级评估表》（6维度19项评分/自动定级）</w:t>
      </w:r>
    </w:p>
    <w:p>
      <w:pPr>
        <w:pStyle w:val="ListNumber"/>
        <w:numPr>
          <w:ilvl w:val="0"/>
          <w:numId w:val="11"/>
        </w:numPr>
      </w:pPr>
      <w:r>
        <w:t>《风险损失测算模板》（参数输入/自动计算/三情景对比）</w:t>
      </w:r>
    </w:p>
    <w:p>
      <w:pPr>
        <w:pStyle w:val="ListNumber"/>
        <w:numPr>
          <w:ilvl w:val="0"/>
          <w:numId w:val="11"/>
        </w:numPr>
      </w:pPr>
      <w:r>
        <w:t>《标准风险处置方案模板（三套预案版）》（本文档）</w:t>
      </w:r>
    </w:p>
    <w:p>
      <w:pPr>
        <w:pStyle w:val="ListNumber"/>
        <w:numPr>
          <w:ilvl w:val="0"/>
          <w:numId w:val="11"/>
        </w:numPr>
      </w:pPr>
      <w:r>
        <w:t>《谈判沟通话术框架》（另行编制）</w:t>
      </w:r>
    </w:p>
    <w:p>
      <w:pPr>
        <w:pStyle w:val="ListNumber"/>
        <w:numPr>
          <w:ilvl w:val="0"/>
          <w:numId w:val="11"/>
        </w:numPr>
      </w:pPr>
      <w:r>
        <w:t>《项目结案复盘报告模板》（另行编制）</w:t>
      </w:r>
    </w:p>
    <w:p>
      <w:pPr>
        <w:pStyle w:val="Heading3"/>
      </w:pPr>
      <w:r>
        <w:t>参考文献</w:t>
      </w:r>
    </w:p>
    <w:p>
      <w:pPr>
        <w:pStyle w:val="ListNumber"/>
        <w:numPr>
          <w:ilvl w:val="0"/>
          <w:numId w:val="12"/>
        </w:numPr>
      </w:pPr>
      <w:r>
        <w:t>《危机应对的道与术》——人民日报出版社（风险预判、止损、复盘底层逻辑）</w:t>
      </w:r>
    </w:p>
    <w:p>
      <w:pPr>
        <w:pStyle w:val="ListNumber"/>
        <w:numPr>
          <w:ilvl w:val="0"/>
          <w:numId w:val="12"/>
        </w:numPr>
      </w:pPr>
      <w:r>
        <w:t>《掘金：不良资产经营与金融风险化解实操精要》——王彬（成本测算、回收率、交易结构）</w:t>
      </w:r>
    </w:p>
    <w:p>
      <w:pPr>
        <w:pStyle w:val="ListNumber"/>
        <w:numPr>
          <w:ilvl w:val="0"/>
          <w:numId w:val="12"/>
        </w:numPr>
      </w:pPr>
      <w:r>
        <w:t>《重大决策社会稳定风险评估指南：理论·方法·案例》——中国应急管理学会（标准化方案撰写、五步工作法）</w:t>
      </w:r>
    </w:p>
    <w:p>
      <w:pPr>
        <w:pStyle w:val="ListNumber"/>
        <w:numPr>
          <w:ilvl w:val="0"/>
          <w:numId w:val="12"/>
        </w:numPr>
      </w:pPr>
      <w:r>
        <w:t>《黑天鹅》——纳西姆·塔勒布（非常规突发风险识别、杠铃策略、反脆弱）</w:t>
      </w:r>
    </w:p>
    <w:p>
      <w:pPr>
        <w:pStyle w:val="ListNumber"/>
        <w:numPr>
          <w:ilvl w:val="0"/>
          <w:numId w:val="12"/>
        </w:numPr>
      </w:pPr>
      <w:r>
        <w:t>《闪电战：AI时代上市公司舆情攻防实战手册》——舆情危机处置、黄金4小时响应</w:t>
      </w:r>
    </w:p>
    <w:p>
      <w:pPr>
        <w:pStyle w:val="ListNumber"/>
        <w:numPr>
          <w:ilvl w:val="0"/>
          <w:numId w:val="12"/>
        </w:numPr>
      </w:pPr>
      <w:r>
        <w:t>《商业风控——企业的隐形数字资产白皮书》——融智研究院（风控资产化五大范式）</w:t>
      </w:r>
    </w:p>
    <w:p>
      <w:pPr>
        <w:pStyle w:val="ListNumber"/>
        <w:numPr>
          <w:ilvl w:val="0"/>
          <w:numId w:val="12"/>
        </w:numPr>
      </w:pPr>
      <w:r>
        <w:t>《易经》体用阴阳定律——资产为体、债权为用，守体方可安民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BodyText"/>
      </w:pPr>
      <w:r>
        <w:rPr>
          <w:b/>
        </w:rPr>
        <w:t>编制说明</w:t>
      </w:r>
      <w:r>
        <w:t>：本模板基于前五份读书报告知识体系及风控资产化理念编制，所有【】标注处为必填项。三套预案应并行推演、动态切换，处置过程中持续更新损失测算与风险定级。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57"/>
      <w:ind w:firstLine="420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1F4E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1F4E78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1F4E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7" w:line="384" w:lineRule="auto"/>
      <w:ind w:firstLine="420"/>
    </w:pPr>
    <w:rPr>
      <w:rFonts w:ascii="Arial" w:hAnsi="Arial" w:eastAsia="微软雅黑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微软雅黑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微软雅黑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1F4E7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标准风险处置方案模板（三套预案版）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"05a7c0bf-4379-42ca-9223-7f7240f07f9b", "ReservedCode1": "72dafc97cd38b92e5f3d5cdfd0dfbbe6", "ContentPropagator": "001191110000802100433B11010001191110000802100433B11010", "PropagateID": "3003e5e6-d1dc-4722-a522-998a132a35a0", "ReservedCode2": "2734827274df537123a472bf4de01eb5"}</vt:lpwstr>
  </property>
</Properties>
</file>