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72E5" w14:textId="77777777" w:rsidR="0039275D" w:rsidRDefault="00000000">
      <w:pPr>
        <w:pStyle w:val="Title"/>
        <w:spacing w:after="360"/>
        <w:jc w:val="center"/>
      </w:pPr>
      <w:r>
        <w:rPr>
          <w:b/>
          <w:bCs/>
          <w:color w:val="1F4E78"/>
          <w:sz w:val="48"/>
          <w:szCs w:val="48"/>
        </w:rPr>
        <w:t>Statistical Consultation Request</w:t>
      </w:r>
    </w:p>
    <w:p w14:paraId="4BABABCF" w14:textId="77777777" w:rsidR="0039275D" w:rsidRDefault="00000000">
      <w:pPr>
        <w:spacing w:after="480"/>
        <w:jc w:val="center"/>
      </w:pPr>
      <w:r>
        <w:rPr>
          <w:i/>
          <w:iCs/>
          <w:color w:val="595959"/>
          <w:sz w:val="26"/>
          <w:szCs w:val="26"/>
        </w:rPr>
        <w:t>Converting Mean Absolute Error to User-Friendly Accuracy Scores</w:t>
      </w:r>
    </w:p>
    <w:p w14:paraId="13EAFE57" w14:textId="77777777" w:rsidR="0039275D" w:rsidRDefault="00000000">
      <w:pPr>
        <w:pStyle w:val="Heading1"/>
      </w:pPr>
      <w:r>
        <w:t>1. Executive Summary</w:t>
      </w:r>
    </w:p>
    <w:p w14:paraId="392C16CA" w14:textId="77777777" w:rsidR="0039275D" w:rsidRDefault="00000000">
      <w:pPr>
        <w:spacing w:after="120"/>
      </w:pPr>
      <w:r>
        <w:t>I'm building an application that evaluates prediction accuracy using Mean Absolute Error (MAE) as the core metric. The MAE values have a wide range (3.6 to 62.7) and I need to convert them to a 0-100 scale that's intuitive for end users. I'm seeking your guidance on selecting the most appropriate transformation function given the data characteristics and design goals outlined below.</w:t>
      </w:r>
    </w:p>
    <w:p w14:paraId="6B730C49" w14:textId="77777777" w:rsidR="0039275D" w:rsidRDefault="00000000">
      <w:pPr>
        <w:pStyle w:val="Heading1"/>
      </w:pPr>
      <w:r>
        <w:t>2. Problem Statement</w:t>
      </w:r>
    </w:p>
    <w:p w14:paraId="37AB429B" w14:textId="77777777" w:rsidR="0039275D" w:rsidRDefault="00000000">
      <w:pPr>
        <w:spacing w:after="120"/>
      </w:pPr>
      <w:r>
        <w:t>I have a dataset of 323 entities where prediction accuracy is measured using Mean Absolute Error (MAE) of rank predictions. I need to transform these MAE values into a 0-100 'accuracy score' that:</w:t>
      </w:r>
    </w:p>
    <w:p w14:paraId="40271857" w14:textId="77777777" w:rsidR="0039275D" w:rsidRDefault="00000000">
      <w:pPr>
        <w:pStyle w:val="ListParagraph"/>
        <w:numPr>
          <w:ilvl w:val="0"/>
          <w:numId w:val="2"/>
        </w:numPr>
      </w:pPr>
      <w:r>
        <w:t>Is intuitive for non-technical users</w:t>
      </w:r>
    </w:p>
    <w:p w14:paraId="36DD87E4" w14:textId="77777777" w:rsidR="0039275D" w:rsidRDefault="00000000">
      <w:pPr>
        <w:pStyle w:val="ListParagraph"/>
        <w:numPr>
          <w:ilvl w:val="0"/>
          <w:numId w:val="2"/>
        </w:numPr>
      </w:pPr>
      <w:r>
        <w:t>Rewards top performers (low MAE) with scores approaching 100</w:t>
      </w:r>
    </w:p>
    <w:p w14:paraId="6BB2F7D6" w14:textId="77777777" w:rsidR="0039275D" w:rsidRDefault="00000000">
      <w:pPr>
        <w:pStyle w:val="ListParagraph"/>
        <w:numPr>
          <w:ilvl w:val="0"/>
          <w:numId w:val="2"/>
        </w:numPr>
      </w:pPr>
      <w:r>
        <w:t>Provides meaningful differentiation across the performance spectrum</w:t>
      </w:r>
    </w:p>
    <w:p w14:paraId="4BDACDEB" w14:textId="77777777" w:rsidR="0039275D" w:rsidRDefault="00000000">
      <w:pPr>
        <w:pStyle w:val="ListParagraph"/>
        <w:numPr>
          <w:ilvl w:val="0"/>
          <w:numId w:val="2"/>
        </w:numPr>
      </w:pPr>
      <w:r>
        <w:t>Handles the wide variance across different subgroups (discussed below)</w:t>
      </w:r>
    </w:p>
    <w:p w14:paraId="241A8FE8" w14:textId="77777777" w:rsidR="0039275D" w:rsidRDefault="0039275D">
      <w:pPr>
        <w:spacing w:before="240"/>
      </w:pPr>
    </w:p>
    <w:p w14:paraId="2A0F8176" w14:textId="77777777" w:rsidR="0039275D" w:rsidRDefault="00000000">
      <w:pPr>
        <w:pStyle w:val="Heading1"/>
      </w:pPr>
      <w:r>
        <w:t>3. Data Characteristics</w:t>
      </w:r>
    </w:p>
    <w:p w14:paraId="2FE65EF7" w14:textId="77777777" w:rsidR="0039275D" w:rsidRDefault="00000000">
      <w:pPr>
        <w:pStyle w:val="Heading2"/>
      </w:pPr>
      <w:r>
        <w:t>3.1 Overall Distribution (n=323)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3568"/>
        <w:gridCol w:w="1806"/>
        <w:gridCol w:w="1836"/>
        <w:gridCol w:w="1806"/>
      </w:tblGrid>
      <w:tr w:rsidR="0039275D" w14:paraId="0A6B8412" w14:textId="77777777">
        <w:trPr>
          <w:tblHeader/>
        </w:trPr>
        <w:tc>
          <w:tcPr>
            <w:tcW w:w="3744" w:type="dxa"/>
            <w:shd w:val="clear" w:color="auto" w:fill="D5E8F0"/>
          </w:tcPr>
          <w:p w14:paraId="33D5EE11" w14:textId="77777777" w:rsidR="0039275D" w:rsidRDefault="00000000">
            <w:pPr>
              <w:jc w:val="center"/>
            </w:pPr>
            <w:r>
              <w:rPr>
                <w:b/>
                <w:bCs/>
              </w:rPr>
              <w:t>Statistic</w:t>
            </w:r>
          </w:p>
        </w:tc>
        <w:tc>
          <w:tcPr>
            <w:tcW w:w="1872" w:type="dxa"/>
            <w:shd w:val="clear" w:color="auto" w:fill="D5E8F0"/>
          </w:tcPr>
          <w:p w14:paraId="311ACED4" w14:textId="77777777" w:rsidR="0039275D" w:rsidRDefault="00000000">
            <w:pPr>
              <w:jc w:val="center"/>
            </w:pPr>
            <w:r>
              <w:rPr>
                <w:b/>
                <w:bCs/>
              </w:rPr>
              <w:t>Value</w:t>
            </w:r>
          </w:p>
        </w:tc>
        <w:tc>
          <w:tcPr>
            <w:tcW w:w="1872" w:type="dxa"/>
            <w:shd w:val="clear" w:color="auto" w:fill="D5E8F0"/>
          </w:tcPr>
          <w:p w14:paraId="6C7D6DE2" w14:textId="77777777" w:rsidR="0039275D" w:rsidRDefault="00000000">
            <w:pPr>
              <w:jc w:val="center"/>
            </w:pPr>
            <w:r>
              <w:rPr>
                <w:b/>
                <w:bCs/>
              </w:rPr>
              <w:t>Statistic</w:t>
            </w:r>
          </w:p>
        </w:tc>
        <w:tc>
          <w:tcPr>
            <w:tcW w:w="1872" w:type="dxa"/>
            <w:shd w:val="clear" w:color="auto" w:fill="D5E8F0"/>
          </w:tcPr>
          <w:p w14:paraId="22ED7343" w14:textId="77777777" w:rsidR="0039275D" w:rsidRDefault="00000000">
            <w:pPr>
              <w:jc w:val="center"/>
            </w:pPr>
            <w:r>
              <w:rPr>
                <w:b/>
                <w:bCs/>
              </w:rPr>
              <w:t>Value</w:t>
            </w:r>
          </w:p>
        </w:tc>
      </w:tr>
      <w:tr w:rsidR="0039275D" w14:paraId="7B7EC96D" w14:textId="77777777">
        <w:tc>
          <w:tcPr>
            <w:tcW w:w="3744" w:type="dxa"/>
          </w:tcPr>
          <w:p w14:paraId="59B658E4" w14:textId="77777777" w:rsidR="0039275D" w:rsidRDefault="00000000">
            <w:r>
              <w:t>Minimum</w:t>
            </w:r>
          </w:p>
        </w:tc>
        <w:tc>
          <w:tcPr>
            <w:tcW w:w="1872" w:type="dxa"/>
          </w:tcPr>
          <w:p w14:paraId="437CFF11" w14:textId="77777777" w:rsidR="0039275D" w:rsidRDefault="00000000">
            <w:pPr>
              <w:jc w:val="right"/>
            </w:pPr>
            <w:r>
              <w:t>3.57</w:t>
            </w:r>
          </w:p>
        </w:tc>
        <w:tc>
          <w:tcPr>
            <w:tcW w:w="1872" w:type="dxa"/>
          </w:tcPr>
          <w:p w14:paraId="2D51F9A8" w14:textId="77777777" w:rsidR="0039275D" w:rsidRDefault="00000000">
            <w:r>
              <w:t>Mean</w:t>
            </w:r>
          </w:p>
        </w:tc>
        <w:tc>
          <w:tcPr>
            <w:tcW w:w="1872" w:type="dxa"/>
          </w:tcPr>
          <w:p w14:paraId="3CE36AA3" w14:textId="77777777" w:rsidR="0039275D" w:rsidRDefault="00000000">
            <w:pPr>
              <w:jc w:val="right"/>
            </w:pPr>
            <w:r>
              <w:t>19.93</w:t>
            </w:r>
          </w:p>
        </w:tc>
      </w:tr>
      <w:tr w:rsidR="0039275D" w14:paraId="7031FDB3" w14:textId="77777777">
        <w:tc>
          <w:tcPr>
            <w:tcW w:w="3744" w:type="dxa"/>
          </w:tcPr>
          <w:p w14:paraId="4A024F1C" w14:textId="77777777" w:rsidR="0039275D" w:rsidRDefault="00000000">
            <w:r>
              <w:t>25th Percentile</w:t>
            </w:r>
          </w:p>
        </w:tc>
        <w:tc>
          <w:tcPr>
            <w:tcW w:w="1872" w:type="dxa"/>
          </w:tcPr>
          <w:p w14:paraId="55A1D065" w14:textId="77777777" w:rsidR="0039275D" w:rsidRDefault="00000000">
            <w:pPr>
              <w:jc w:val="right"/>
            </w:pPr>
            <w:r>
              <w:t>11.31</w:t>
            </w:r>
          </w:p>
        </w:tc>
        <w:tc>
          <w:tcPr>
            <w:tcW w:w="1872" w:type="dxa"/>
          </w:tcPr>
          <w:p w14:paraId="3BC489C2" w14:textId="77777777" w:rsidR="0039275D" w:rsidRDefault="00000000">
            <w:r>
              <w:t>Median</w:t>
            </w:r>
          </w:p>
        </w:tc>
        <w:tc>
          <w:tcPr>
            <w:tcW w:w="1872" w:type="dxa"/>
          </w:tcPr>
          <w:p w14:paraId="7DE5B3DC" w14:textId="77777777" w:rsidR="0039275D" w:rsidRDefault="00000000">
            <w:pPr>
              <w:jc w:val="right"/>
            </w:pPr>
            <w:r>
              <w:t>17.00</w:t>
            </w:r>
          </w:p>
        </w:tc>
      </w:tr>
      <w:tr w:rsidR="0039275D" w14:paraId="1E75FE9D" w14:textId="77777777">
        <w:tc>
          <w:tcPr>
            <w:tcW w:w="3744" w:type="dxa"/>
          </w:tcPr>
          <w:p w14:paraId="48DEA2C1" w14:textId="77777777" w:rsidR="0039275D" w:rsidRDefault="00000000">
            <w:r>
              <w:t>75th Percentile</w:t>
            </w:r>
          </w:p>
        </w:tc>
        <w:tc>
          <w:tcPr>
            <w:tcW w:w="1872" w:type="dxa"/>
          </w:tcPr>
          <w:p w14:paraId="2016A127" w14:textId="77777777" w:rsidR="0039275D" w:rsidRDefault="00000000">
            <w:pPr>
              <w:jc w:val="right"/>
            </w:pPr>
            <w:r>
              <w:t>25.58</w:t>
            </w:r>
          </w:p>
        </w:tc>
        <w:tc>
          <w:tcPr>
            <w:tcW w:w="1872" w:type="dxa"/>
          </w:tcPr>
          <w:p w14:paraId="1F31233F" w14:textId="77777777" w:rsidR="0039275D" w:rsidRDefault="00000000">
            <w:r>
              <w:t>Maximum</w:t>
            </w:r>
          </w:p>
        </w:tc>
        <w:tc>
          <w:tcPr>
            <w:tcW w:w="1872" w:type="dxa"/>
          </w:tcPr>
          <w:p w14:paraId="3B21E5B4" w14:textId="77777777" w:rsidR="0039275D" w:rsidRDefault="00000000">
            <w:pPr>
              <w:jc w:val="right"/>
            </w:pPr>
            <w:r>
              <w:t>62.67</w:t>
            </w:r>
          </w:p>
        </w:tc>
      </w:tr>
      <w:tr w:rsidR="0039275D" w14:paraId="60DD99A4" w14:textId="77777777">
        <w:tc>
          <w:tcPr>
            <w:tcW w:w="3744" w:type="dxa"/>
          </w:tcPr>
          <w:p w14:paraId="2FB586CE" w14:textId="77777777" w:rsidR="0039275D" w:rsidRDefault="00000000">
            <w:r>
              <w:t>Standard Deviation</w:t>
            </w:r>
          </w:p>
        </w:tc>
        <w:tc>
          <w:tcPr>
            <w:tcW w:w="1872" w:type="dxa"/>
          </w:tcPr>
          <w:p w14:paraId="62016866" w14:textId="77777777" w:rsidR="0039275D" w:rsidRDefault="00000000">
            <w:pPr>
              <w:jc w:val="right"/>
            </w:pPr>
            <w:r>
              <w:t>11.05</w:t>
            </w:r>
          </w:p>
        </w:tc>
        <w:tc>
          <w:tcPr>
            <w:tcW w:w="1872" w:type="dxa"/>
          </w:tcPr>
          <w:p w14:paraId="6B0EE98B" w14:textId="77777777" w:rsidR="0039275D" w:rsidRDefault="00000000">
            <w:r>
              <w:t>Range</w:t>
            </w:r>
          </w:p>
        </w:tc>
        <w:tc>
          <w:tcPr>
            <w:tcW w:w="1872" w:type="dxa"/>
          </w:tcPr>
          <w:p w14:paraId="36226731" w14:textId="77777777" w:rsidR="0039275D" w:rsidRDefault="00000000">
            <w:pPr>
              <w:jc w:val="right"/>
            </w:pPr>
            <w:r>
              <w:t>59.10</w:t>
            </w:r>
          </w:p>
        </w:tc>
      </w:tr>
    </w:tbl>
    <w:p w14:paraId="305C166D" w14:textId="77777777" w:rsidR="0039275D" w:rsidRDefault="0039275D">
      <w:pPr>
        <w:spacing w:before="240" w:after="120"/>
      </w:pPr>
    </w:p>
    <w:p w14:paraId="57D51203" w14:textId="77777777" w:rsidR="0039275D" w:rsidRDefault="00000000">
      <w:pPr>
        <w:pStyle w:val="Heading2"/>
      </w:pPr>
      <w:r>
        <w:t>3.2 Subgroup Characteristics</w:t>
      </w:r>
    </w:p>
    <w:p w14:paraId="2420E2B2" w14:textId="77777777" w:rsidR="0039275D" w:rsidRDefault="00000000">
      <w:pPr>
        <w:spacing w:after="120"/>
      </w:pPr>
      <w:r>
        <w:t>The dataset contains four distinct subgroups with significantly different MAE distributions: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264"/>
        <w:gridCol w:w="1347"/>
        <w:gridCol w:w="1792"/>
        <w:gridCol w:w="1811"/>
        <w:gridCol w:w="1802"/>
      </w:tblGrid>
      <w:tr w:rsidR="0039275D" w14:paraId="2F093DBD" w14:textId="77777777">
        <w:trPr>
          <w:tblHeader/>
        </w:trPr>
        <w:tc>
          <w:tcPr>
            <w:tcW w:w="2340" w:type="dxa"/>
            <w:shd w:val="clear" w:color="auto" w:fill="D5E8F0"/>
          </w:tcPr>
          <w:p w14:paraId="1CA585D5" w14:textId="77777777" w:rsidR="0039275D" w:rsidRDefault="00000000">
            <w:pPr>
              <w:jc w:val="center"/>
            </w:pPr>
            <w:r>
              <w:rPr>
                <w:b/>
                <w:bCs/>
              </w:rPr>
              <w:t>Subgroup</w:t>
            </w:r>
          </w:p>
        </w:tc>
        <w:tc>
          <w:tcPr>
            <w:tcW w:w="1404" w:type="dxa"/>
            <w:shd w:val="clear" w:color="auto" w:fill="D5E8F0"/>
          </w:tcPr>
          <w:p w14:paraId="150BF494" w14:textId="77777777" w:rsidR="0039275D" w:rsidRDefault="00000000">
            <w:pPr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1872" w:type="dxa"/>
            <w:shd w:val="clear" w:color="auto" w:fill="D5E8F0"/>
          </w:tcPr>
          <w:p w14:paraId="06B28E16" w14:textId="77777777" w:rsidR="0039275D" w:rsidRDefault="00000000">
            <w:pPr>
              <w:jc w:val="center"/>
            </w:pPr>
            <w:r>
              <w:rPr>
                <w:b/>
                <w:bCs/>
              </w:rPr>
              <w:t>Mean MAE</w:t>
            </w:r>
          </w:p>
        </w:tc>
        <w:tc>
          <w:tcPr>
            <w:tcW w:w="1872" w:type="dxa"/>
            <w:shd w:val="clear" w:color="auto" w:fill="D5E8F0"/>
          </w:tcPr>
          <w:p w14:paraId="0B019DF0" w14:textId="77777777" w:rsidR="0039275D" w:rsidRDefault="00000000">
            <w:pPr>
              <w:jc w:val="center"/>
            </w:pPr>
            <w:r>
              <w:rPr>
                <w:b/>
                <w:bCs/>
              </w:rPr>
              <w:t>Median MAE</w:t>
            </w:r>
          </w:p>
        </w:tc>
        <w:tc>
          <w:tcPr>
            <w:tcW w:w="1872" w:type="dxa"/>
            <w:shd w:val="clear" w:color="auto" w:fill="D5E8F0"/>
          </w:tcPr>
          <w:p w14:paraId="5814BFA7" w14:textId="77777777" w:rsidR="0039275D" w:rsidRDefault="00000000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39275D" w14:paraId="6FE0740C" w14:textId="77777777">
        <w:tc>
          <w:tcPr>
            <w:tcW w:w="2340" w:type="dxa"/>
          </w:tcPr>
          <w:p w14:paraId="10924DDC" w14:textId="77777777" w:rsidR="0039275D" w:rsidRDefault="00000000">
            <w:r>
              <w:t>Group A</w:t>
            </w:r>
          </w:p>
        </w:tc>
        <w:tc>
          <w:tcPr>
            <w:tcW w:w="1404" w:type="dxa"/>
          </w:tcPr>
          <w:p w14:paraId="57C1AE5D" w14:textId="77777777" w:rsidR="0039275D" w:rsidRDefault="00000000">
            <w:pPr>
              <w:jc w:val="center"/>
            </w:pPr>
            <w:r>
              <w:t>36</w:t>
            </w:r>
          </w:p>
        </w:tc>
        <w:tc>
          <w:tcPr>
            <w:tcW w:w="1872" w:type="dxa"/>
          </w:tcPr>
          <w:p w14:paraId="3C4AFD87" w14:textId="77777777" w:rsidR="0039275D" w:rsidRDefault="00000000">
            <w:pPr>
              <w:jc w:val="right"/>
            </w:pPr>
            <w:r>
              <w:t>9.19</w:t>
            </w:r>
          </w:p>
        </w:tc>
        <w:tc>
          <w:tcPr>
            <w:tcW w:w="1872" w:type="dxa"/>
          </w:tcPr>
          <w:p w14:paraId="23ECF26C" w14:textId="77777777" w:rsidR="0039275D" w:rsidRDefault="00000000">
            <w:pPr>
              <w:jc w:val="right"/>
            </w:pPr>
            <w:r>
              <w:t>8.93</w:t>
            </w:r>
          </w:p>
        </w:tc>
        <w:tc>
          <w:tcPr>
            <w:tcW w:w="1872" w:type="dxa"/>
          </w:tcPr>
          <w:p w14:paraId="541CCC8F" w14:textId="77777777" w:rsidR="0039275D" w:rsidRDefault="00000000">
            <w:pPr>
              <w:jc w:val="right"/>
            </w:pPr>
            <w:r>
              <w:t>3.6 - 18.0</w:t>
            </w:r>
          </w:p>
        </w:tc>
      </w:tr>
      <w:tr w:rsidR="0039275D" w14:paraId="14FA9FDC" w14:textId="77777777">
        <w:tc>
          <w:tcPr>
            <w:tcW w:w="2340" w:type="dxa"/>
          </w:tcPr>
          <w:p w14:paraId="10D0D1FF" w14:textId="77777777" w:rsidR="0039275D" w:rsidRDefault="00000000">
            <w:r>
              <w:lastRenderedPageBreak/>
              <w:t>Group B</w:t>
            </w:r>
          </w:p>
        </w:tc>
        <w:tc>
          <w:tcPr>
            <w:tcW w:w="1404" w:type="dxa"/>
          </w:tcPr>
          <w:p w14:paraId="3614CAD3" w14:textId="77777777" w:rsidR="0039275D" w:rsidRDefault="00000000">
            <w:pPr>
              <w:jc w:val="center"/>
            </w:pPr>
            <w:r>
              <w:t>89</w:t>
            </w:r>
          </w:p>
        </w:tc>
        <w:tc>
          <w:tcPr>
            <w:tcW w:w="1872" w:type="dxa"/>
          </w:tcPr>
          <w:p w14:paraId="56B5DA6A" w14:textId="77777777" w:rsidR="0039275D" w:rsidRDefault="00000000">
            <w:pPr>
              <w:jc w:val="right"/>
            </w:pPr>
            <w:r>
              <w:t>15.31</w:t>
            </w:r>
          </w:p>
        </w:tc>
        <w:tc>
          <w:tcPr>
            <w:tcW w:w="1872" w:type="dxa"/>
          </w:tcPr>
          <w:p w14:paraId="19890594" w14:textId="77777777" w:rsidR="0039275D" w:rsidRDefault="00000000">
            <w:pPr>
              <w:jc w:val="right"/>
            </w:pPr>
            <w:r>
              <w:t>14.00</w:t>
            </w:r>
          </w:p>
        </w:tc>
        <w:tc>
          <w:tcPr>
            <w:tcW w:w="1872" w:type="dxa"/>
          </w:tcPr>
          <w:p w14:paraId="38A7B5EA" w14:textId="77777777" w:rsidR="0039275D" w:rsidRDefault="00000000">
            <w:pPr>
              <w:jc w:val="right"/>
            </w:pPr>
            <w:r>
              <w:t>3.9 - 40.3</w:t>
            </w:r>
          </w:p>
        </w:tc>
      </w:tr>
      <w:tr w:rsidR="0039275D" w14:paraId="2DFF57EE" w14:textId="77777777">
        <w:tc>
          <w:tcPr>
            <w:tcW w:w="2340" w:type="dxa"/>
          </w:tcPr>
          <w:p w14:paraId="6DD38A32" w14:textId="77777777" w:rsidR="0039275D" w:rsidRDefault="00000000">
            <w:r>
              <w:t>Group C</w:t>
            </w:r>
          </w:p>
        </w:tc>
        <w:tc>
          <w:tcPr>
            <w:tcW w:w="1404" w:type="dxa"/>
          </w:tcPr>
          <w:p w14:paraId="676980BF" w14:textId="77777777" w:rsidR="0039275D" w:rsidRDefault="00000000">
            <w:pPr>
              <w:jc w:val="center"/>
            </w:pPr>
            <w:r>
              <w:t>66</w:t>
            </w:r>
          </w:p>
        </w:tc>
        <w:tc>
          <w:tcPr>
            <w:tcW w:w="1872" w:type="dxa"/>
          </w:tcPr>
          <w:p w14:paraId="557CFE78" w14:textId="77777777" w:rsidR="0039275D" w:rsidRDefault="00000000">
            <w:pPr>
              <w:jc w:val="right"/>
            </w:pPr>
            <w:r>
              <w:t>16.18</w:t>
            </w:r>
          </w:p>
        </w:tc>
        <w:tc>
          <w:tcPr>
            <w:tcW w:w="1872" w:type="dxa"/>
          </w:tcPr>
          <w:p w14:paraId="373B2EB1" w14:textId="77777777" w:rsidR="0039275D" w:rsidRDefault="00000000">
            <w:pPr>
              <w:jc w:val="right"/>
            </w:pPr>
            <w:r>
              <w:t>14.23</w:t>
            </w:r>
          </w:p>
        </w:tc>
        <w:tc>
          <w:tcPr>
            <w:tcW w:w="1872" w:type="dxa"/>
          </w:tcPr>
          <w:p w14:paraId="747B01C2" w14:textId="77777777" w:rsidR="0039275D" w:rsidRDefault="00000000">
            <w:pPr>
              <w:jc w:val="right"/>
            </w:pPr>
            <w:r>
              <w:t>5.3 - 44.0</w:t>
            </w:r>
          </w:p>
        </w:tc>
      </w:tr>
      <w:tr w:rsidR="0039275D" w14:paraId="0A02E517" w14:textId="77777777">
        <w:tc>
          <w:tcPr>
            <w:tcW w:w="2340" w:type="dxa"/>
          </w:tcPr>
          <w:p w14:paraId="37DD0108" w14:textId="77777777" w:rsidR="0039275D" w:rsidRDefault="00000000">
            <w:r>
              <w:t>Group D</w:t>
            </w:r>
          </w:p>
        </w:tc>
        <w:tc>
          <w:tcPr>
            <w:tcW w:w="1404" w:type="dxa"/>
          </w:tcPr>
          <w:p w14:paraId="347D52E5" w14:textId="77777777" w:rsidR="0039275D" w:rsidRDefault="00000000">
            <w:pPr>
              <w:jc w:val="center"/>
            </w:pPr>
            <w:r>
              <w:t>132</w:t>
            </w:r>
          </w:p>
        </w:tc>
        <w:tc>
          <w:tcPr>
            <w:tcW w:w="1872" w:type="dxa"/>
          </w:tcPr>
          <w:p w14:paraId="46E1DD81" w14:textId="77777777" w:rsidR="0039275D" w:rsidRDefault="00000000">
            <w:pPr>
              <w:jc w:val="right"/>
            </w:pPr>
            <w:r>
              <w:t>27.85</w:t>
            </w:r>
          </w:p>
        </w:tc>
        <w:tc>
          <w:tcPr>
            <w:tcW w:w="1872" w:type="dxa"/>
          </w:tcPr>
          <w:p w14:paraId="61FB6E2F" w14:textId="77777777" w:rsidR="0039275D" w:rsidRDefault="00000000">
            <w:pPr>
              <w:jc w:val="right"/>
            </w:pPr>
            <w:r>
              <w:t>26.62</w:t>
            </w:r>
          </w:p>
        </w:tc>
        <w:tc>
          <w:tcPr>
            <w:tcW w:w="1872" w:type="dxa"/>
          </w:tcPr>
          <w:p w14:paraId="05BEF67E" w14:textId="77777777" w:rsidR="0039275D" w:rsidRDefault="00000000">
            <w:pPr>
              <w:jc w:val="right"/>
            </w:pPr>
            <w:r>
              <w:t>4.7 - 62.7</w:t>
            </w:r>
          </w:p>
        </w:tc>
      </w:tr>
    </w:tbl>
    <w:p w14:paraId="2C1B685E" w14:textId="77777777" w:rsidR="0039275D" w:rsidRDefault="00000000">
      <w:pPr>
        <w:spacing w:before="180" w:after="120"/>
      </w:pPr>
      <w:r>
        <w:rPr>
          <w:i/>
          <w:iCs/>
          <w:color w:val="666666"/>
          <w:sz w:val="22"/>
          <w:szCs w:val="22"/>
        </w:rPr>
        <w:t>Note: Group A has ~3× lower MAE than Group D, indicating significantly different prediction difficulty across subgroups.</w:t>
      </w:r>
    </w:p>
    <w:p w14:paraId="327F9CCA" w14:textId="77777777" w:rsidR="0039275D" w:rsidRDefault="00000000">
      <w:pPr>
        <w:pStyle w:val="Heading1"/>
      </w:pPr>
      <w:r>
        <w:t>4. Transformation Function Options</w:t>
      </w:r>
    </w:p>
    <w:p w14:paraId="64AEC586" w14:textId="77777777" w:rsidR="0039275D" w:rsidRDefault="00000000">
      <w:pPr>
        <w:spacing w:after="120"/>
      </w:pPr>
      <w:r>
        <w:t>I've identified five candidate transformation functions. All convert MAE → Score where lower MAE yields higher scores:</w:t>
      </w:r>
    </w:p>
    <w:p w14:paraId="1FDCA536" w14:textId="77777777" w:rsidR="0039275D" w:rsidRDefault="00000000">
      <w:pPr>
        <w:pStyle w:val="Heading2"/>
      </w:pPr>
      <w:r>
        <w:t>Option 1: Linear with Floor</w:t>
      </w:r>
    </w:p>
    <w:p w14:paraId="6EBAC1EF" w14:textId="77777777" w:rsidR="0039275D" w:rsidRDefault="00000000">
      <w:pPr>
        <w:spacing w:before="120" w:after="60"/>
      </w:pPr>
      <w:r>
        <w:rPr>
          <w:rFonts w:ascii="Courier New" w:eastAsia="Courier New" w:hAnsi="Courier New" w:cs="Courier New"/>
        </w:rPr>
        <w:t>Formula: score = max(10, 100 - MAE × 1.2)</w:t>
      </w:r>
    </w:p>
    <w:p w14:paraId="0DAEEC4E" w14:textId="77777777" w:rsidR="0039275D" w:rsidRDefault="00000000">
      <w:pPr>
        <w:spacing w:after="60"/>
      </w:pPr>
      <w:r>
        <w:rPr>
          <w:b/>
          <w:bCs/>
        </w:rPr>
        <w:t>Characteristics:</w:t>
      </w:r>
    </w:p>
    <w:p w14:paraId="0AAC3731" w14:textId="77777777" w:rsidR="0039275D" w:rsidRDefault="00000000">
      <w:pPr>
        <w:pStyle w:val="ListParagraph"/>
        <w:numPr>
          <w:ilvl w:val="0"/>
          <w:numId w:val="2"/>
        </w:numPr>
      </w:pPr>
      <w:r>
        <w:t>Linear relationship, guaranteed minimum score of 10</w:t>
      </w:r>
    </w:p>
    <w:p w14:paraId="0BCE17E3" w14:textId="77777777" w:rsidR="0039275D" w:rsidRDefault="00000000">
      <w:pPr>
        <w:pStyle w:val="ListParagraph"/>
        <w:numPr>
          <w:ilvl w:val="0"/>
          <w:numId w:val="2"/>
        </w:numPr>
      </w:pPr>
      <w:r>
        <w:t>Score range: 25-96 (best to worst)</w:t>
      </w:r>
    </w:p>
    <w:p w14:paraId="7C772512" w14:textId="77777777" w:rsidR="0039275D" w:rsidRDefault="00000000">
      <w:pPr>
        <w:pStyle w:val="ListParagraph"/>
        <w:numPr>
          <w:ilvl w:val="0"/>
          <w:numId w:val="2"/>
        </w:numPr>
      </w:pPr>
      <w:r>
        <w:t>Median entity scores 80</w:t>
      </w:r>
    </w:p>
    <w:p w14:paraId="01D619EE" w14:textId="77777777" w:rsidR="0039275D" w:rsidRDefault="0039275D">
      <w:pPr>
        <w:spacing w:before="120"/>
      </w:pPr>
    </w:p>
    <w:p w14:paraId="0DAD72A4" w14:textId="77777777" w:rsidR="0039275D" w:rsidRDefault="00000000">
      <w:pPr>
        <w:pStyle w:val="Heading2"/>
      </w:pPr>
      <w:r>
        <w:t>Option 2: Power Function</w:t>
      </w:r>
    </w:p>
    <w:p w14:paraId="5213B361" w14:textId="77777777" w:rsidR="0039275D" w:rsidRDefault="00000000">
      <w:pPr>
        <w:spacing w:before="120" w:after="60"/>
      </w:pPr>
      <w:r>
        <w:rPr>
          <w:rFonts w:ascii="Courier New" w:eastAsia="Courier New" w:hAnsi="Courier New" w:cs="Courier New"/>
        </w:rPr>
        <w:t>Formula: score = max(0, 100 - (MAE × 0.5)^1.3)</w:t>
      </w:r>
    </w:p>
    <w:p w14:paraId="58D56AC0" w14:textId="77777777" w:rsidR="0039275D" w:rsidRDefault="00000000">
      <w:pPr>
        <w:spacing w:after="60"/>
      </w:pPr>
      <w:r>
        <w:rPr>
          <w:b/>
          <w:bCs/>
        </w:rPr>
        <w:t>Characteristics:</w:t>
      </w:r>
    </w:p>
    <w:p w14:paraId="0E6D31C7" w14:textId="77777777" w:rsidR="0039275D" w:rsidRDefault="00000000">
      <w:pPr>
        <w:pStyle w:val="ListParagraph"/>
        <w:numPr>
          <w:ilvl w:val="0"/>
          <w:numId w:val="2"/>
        </w:numPr>
      </w:pPr>
      <w:r>
        <w:t>Non-linear with gentle compression</w:t>
      </w:r>
    </w:p>
    <w:p w14:paraId="0E1B5399" w14:textId="77777777" w:rsidR="0039275D" w:rsidRDefault="00000000">
      <w:pPr>
        <w:pStyle w:val="ListParagraph"/>
        <w:numPr>
          <w:ilvl w:val="0"/>
          <w:numId w:val="2"/>
        </w:numPr>
      </w:pPr>
      <w:r>
        <w:t>Score range: 12-98 (best to worst)</w:t>
      </w:r>
    </w:p>
    <w:p w14:paraId="4962BFD1" w14:textId="77777777" w:rsidR="0039275D" w:rsidRDefault="00000000">
      <w:pPr>
        <w:pStyle w:val="ListParagraph"/>
        <w:numPr>
          <w:ilvl w:val="0"/>
          <w:numId w:val="2"/>
        </w:numPr>
      </w:pPr>
      <w:r>
        <w:t>Median entity scores 84</w:t>
      </w:r>
    </w:p>
    <w:p w14:paraId="6C658758" w14:textId="77777777" w:rsidR="0039275D" w:rsidRDefault="00000000">
      <w:pPr>
        <w:pStyle w:val="ListParagraph"/>
        <w:numPr>
          <w:ilvl w:val="0"/>
          <w:numId w:val="2"/>
        </w:numPr>
      </w:pPr>
      <w:r>
        <w:t>Rewards top performers (compresses scores at high end)</w:t>
      </w:r>
    </w:p>
    <w:p w14:paraId="0E0633AE" w14:textId="77777777" w:rsidR="0039275D" w:rsidRDefault="0039275D">
      <w:pPr>
        <w:spacing w:before="120"/>
      </w:pPr>
    </w:p>
    <w:p w14:paraId="1EF965AB" w14:textId="77777777" w:rsidR="0039275D" w:rsidRDefault="00000000">
      <w:pPr>
        <w:pStyle w:val="Heading2"/>
      </w:pPr>
      <w:r>
        <w:t>Option 3: Exponential Decay</w:t>
      </w:r>
    </w:p>
    <w:p w14:paraId="60BE0139" w14:textId="77777777" w:rsidR="0039275D" w:rsidRDefault="00000000">
      <w:pPr>
        <w:spacing w:before="120" w:after="60"/>
      </w:pPr>
      <w:r>
        <w:rPr>
          <w:rFonts w:ascii="Courier New" w:eastAsia="Courier New" w:hAnsi="Courier New" w:cs="Courier New"/>
        </w:rPr>
        <w:t>Formula: score = 100 × exp(-MAE / 15)</w:t>
      </w:r>
    </w:p>
    <w:p w14:paraId="7441D912" w14:textId="77777777" w:rsidR="0039275D" w:rsidRDefault="00000000">
      <w:pPr>
        <w:spacing w:after="60"/>
      </w:pPr>
      <w:r>
        <w:rPr>
          <w:b/>
          <w:bCs/>
        </w:rPr>
        <w:t>Characteristics:</w:t>
      </w:r>
    </w:p>
    <w:p w14:paraId="1D3180ED" w14:textId="77777777" w:rsidR="0039275D" w:rsidRDefault="00000000">
      <w:pPr>
        <w:pStyle w:val="ListParagraph"/>
        <w:numPr>
          <w:ilvl w:val="0"/>
          <w:numId w:val="2"/>
        </w:numPr>
      </w:pPr>
      <w:r>
        <w:t>Smooth exponential decay</w:t>
      </w:r>
    </w:p>
    <w:p w14:paraId="0F2BC178" w14:textId="77777777" w:rsidR="0039275D" w:rsidRDefault="00000000">
      <w:pPr>
        <w:pStyle w:val="ListParagraph"/>
        <w:numPr>
          <w:ilvl w:val="0"/>
          <w:numId w:val="2"/>
        </w:numPr>
      </w:pPr>
      <w:r>
        <w:t>Score range: 2-79 (best to worst)</w:t>
      </w:r>
    </w:p>
    <w:p w14:paraId="1CA9C301" w14:textId="77777777" w:rsidR="0039275D" w:rsidRDefault="00000000">
      <w:pPr>
        <w:pStyle w:val="ListParagraph"/>
        <w:numPr>
          <w:ilvl w:val="0"/>
          <w:numId w:val="2"/>
        </w:numPr>
      </w:pPr>
      <w:r>
        <w:t>Median entity scores only 32 (may feel too harsh)</w:t>
      </w:r>
    </w:p>
    <w:p w14:paraId="37AACFDC" w14:textId="77777777" w:rsidR="0039275D" w:rsidRDefault="0039275D">
      <w:pPr>
        <w:spacing w:before="120"/>
      </w:pPr>
    </w:p>
    <w:p w14:paraId="2EF5043D" w14:textId="77777777" w:rsidR="0039275D" w:rsidRDefault="00000000">
      <w:pPr>
        <w:pStyle w:val="Heading2"/>
      </w:pPr>
      <w:r>
        <w:t>Option 4: Square Root Compression</w:t>
      </w:r>
    </w:p>
    <w:p w14:paraId="08B05F6C" w14:textId="77777777" w:rsidR="0039275D" w:rsidRDefault="00000000">
      <w:pPr>
        <w:spacing w:before="120" w:after="60"/>
      </w:pPr>
      <w:r>
        <w:rPr>
          <w:rFonts w:ascii="Courier New" w:eastAsia="Courier New" w:hAnsi="Courier New" w:cs="Courier New"/>
        </w:rPr>
        <w:t>Formula: score = max(0, 100 - √MAE × 10)</w:t>
      </w:r>
    </w:p>
    <w:p w14:paraId="71495BBE" w14:textId="77777777" w:rsidR="0039275D" w:rsidRDefault="00000000">
      <w:pPr>
        <w:spacing w:after="60"/>
      </w:pPr>
      <w:r>
        <w:rPr>
          <w:b/>
          <w:bCs/>
        </w:rPr>
        <w:t>Characteristics:</w:t>
      </w:r>
    </w:p>
    <w:p w14:paraId="265179FE" w14:textId="77777777" w:rsidR="0039275D" w:rsidRDefault="00000000">
      <w:pPr>
        <w:pStyle w:val="ListParagraph"/>
        <w:numPr>
          <w:ilvl w:val="0"/>
          <w:numId w:val="2"/>
        </w:numPr>
      </w:pPr>
      <w:r>
        <w:t>Moderate non-linear compression</w:t>
      </w:r>
    </w:p>
    <w:p w14:paraId="1EC1C364" w14:textId="77777777" w:rsidR="0039275D" w:rsidRDefault="00000000">
      <w:pPr>
        <w:pStyle w:val="ListParagraph"/>
        <w:numPr>
          <w:ilvl w:val="0"/>
          <w:numId w:val="2"/>
        </w:numPr>
      </w:pPr>
      <w:r>
        <w:lastRenderedPageBreak/>
        <w:t>Score range: 21-81 (best to worst)</w:t>
      </w:r>
    </w:p>
    <w:p w14:paraId="0A719D10" w14:textId="77777777" w:rsidR="0039275D" w:rsidRDefault="00000000">
      <w:pPr>
        <w:pStyle w:val="ListParagraph"/>
        <w:numPr>
          <w:ilvl w:val="0"/>
          <w:numId w:val="2"/>
        </w:numPr>
      </w:pPr>
      <w:r>
        <w:t>Median entity scores 59</w:t>
      </w:r>
    </w:p>
    <w:p w14:paraId="43A31819" w14:textId="77777777" w:rsidR="0039275D" w:rsidRDefault="0039275D">
      <w:pPr>
        <w:spacing w:before="120"/>
      </w:pPr>
    </w:p>
    <w:p w14:paraId="62E05424" w14:textId="77777777" w:rsidR="0039275D" w:rsidRDefault="00000000">
      <w:pPr>
        <w:pStyle w:val="Heading2"/>
      </w:pPr>
      <w:r>
        <w:t>Option 5: Percentile-Based</w:t>
      </w:r>
    </w:p>
    <w:p w14:paraId="5308D9D8" w14:textId="77777777" w:rsidR="0039275D" w:rsidRDefault="00000000">
      <w:pPr>
        <w:spacing w:before="120" w:after="60"/>
      </w:pPr>
      <w:r>
        <w:rPr>
          <w:rFonts w:ascii="Courier New" w:eastAsia="Courier New" w:hAnsi="Courier New" w:cs="Courier New"/>
        </w:rPr>
        <w:t xml:space="preserve">Formula: score = 100 - </w:t>
      </w:r>
      <w:proofErr w:type="spellStart"/>
      <w:r>
        <w:rPr>
          <w:rFonts w:ascii="Courier New" w:eastAsia="Courier New" w:hAnsi="Courier New" w:cs="Courier New"/>
        </w:rPr>
        <w:t>percentile_rank</w:t>
      </w:r>
      <w:proofErr w:type="spellEnd"/>
      <w:r>
        <w:rPr>
          <w:rFonts w:ascii="Courier New" w:eastAsia="Courier New" w:hAnsi="Courier New" w:cs="Courier New"/>
        </w:rPr>
        <w:t>(MAE)</w:t>
      </w:r>
    </w:p>
    <w:p w14:paraId="159A1B79" w14:textId="77777777" w:rsidR="0039275D" w:rsidRDefault="00000000">
      <w:pPr>
        <w:spacing w:after="60"/>
      </w:pPr>
      <w:r>
        <w:rPr>
          <w:b/>
          <w:bCs/>
        </w:rPr>
        <w:t>Characteristics:</w:t>
      </w:r>
    </w:p>
    <w:p w14:paraId="541CA8ED" w14:textId="77777777" w:rsidR="0039275D" w:rsidRDefault="00000000">
      <w:pPr>
        <w:pStyle w:val="ListParagraph"/>
        <w:numPr>
          <w:ilvl w:val="0"/>
          <w:numId w:val="2"/>
        </w:numPr>
      </w:pPr>
      <w:r>
        <w:t>Relative ranking within dataset</w:t>
      </w:r>
    </w:p>
    <w:p w14:paraId="6A89803C" w14:textId="77777777" w:rsidR="0039275D" w:rsidRDefault="00000000">
      <w:pPr>
        <w:pStyle w:val="ListParagraph"/>
        <w:numPr>
          <w:ilvl w:val="0"/>
          <w:numId w:val="2"/>
        </w:numPr>
      </w:pPr>
      <w:r>
        <w:t>Score range: 0-100 (perfectly distributed)</w:t>
      </w:r>
    </w:p>
    <w:p w14:paraId="38096C77" w14:textId="77777777" w:rsidR="0039275D" w:rsidRDefault="00000000">
      <w:pPr>
        <w:pStyle w:val="ListParagraph"/>
        <w:numPr>
          <w:ilvl w:val="0"/>
          <w:numId w:val="2"/>
        </w:numPr>
      </w:pPr>
      <w:r>
        <w:t>Median entity scores exactly 50</w:t>
      </w:r>
    </w:p>
    <w:p w14:paraId="0CF1B076" w14:textId="47707EB6" w:rsidR="0039275D" w:rsidRDefault="00000000" w:rsidP="00FA53B6">
      <w:pPr>
        <w:pStyle w:val="ListParagraph"/>
        <w:numPr>
          <w:ilvl w:val="0"/>
          <w:numId w:val="2"/>
        </w:numPr>
      </w:pPr>
      <w:r>
        <w:t>Automatically accounts for subgroup differences</w:t>
      </w:r>
    </w:p>
    <w:p w14:paraId="1108B896" w14:textId="77777777" w:rsidR="00FA53B6" w:rsidRDefault="00FA53B6">
      <w:pPr>
        <w:pStyle w:val="Heading1"/>
      </w:pPr>
    </w:p>
    <w:p w14:paraId="2F0B6227" w14:textId="41B9D40C" w:rsidR="0039275D" w:rsidRDefault="00000000">
      <w:pPr>
        <w:pStyle w:val="Heading1"/>
      </w:pPr>
      <w:r>
        <w:t>5. Design Considerations</w:t>
      </w:r>
    </w:p>
    <w:p w14:paraId="62C1505A" w14:textId="77777777" w:rsidR="0039275D" w:rsidRDefault="00000000">
      <w:pPr>
        <w:pStyle w:val="Heading2"/>
      </w:pPr>
      <w:r>
        <w:t>5.1 User Psychology</w:t>
      </w:r>
    </w:p>
    <w:p w14:paraId="2D3472E6" w14:textId="77777777" w:rsidR="0039275D" w:rsidRDefault="00000000">
      <w:pPr>
        <w:spacing w:after="120"/>
      </w:pPr>
      <w:r>
        <w:t>The target users are non-technical but expect scores similar to academic grading (90+ = excellent, 70-80 = average, &lt;60 = poor). This creates a preference for transformations that keep most entities in the 70-90 range.</w:t>
      </w:r>
    </w:p>
    <w:p w14:paraId="5028B21A" w14:textId="77777777" w:rsidR="0039275D" w:rsidRDefault="00000000">
      <w:pPr>
        <w:pStyle w:val="Heading2"/>
      </w:pPr>
      <w:r>
        <w:t>5.2 Subgroup Fairness</w:t>
      </w:r>
    </w:p>
    <w:p w14:paraId="44457366" w14:textId="77777777" w:rsidR="0039275D" w:rsidRDefault="00000000">
      <w:pPr>
        <w:spacing w:after="120"/>
      </w:pPr>
      <w:r>
        <w:t>Group D entities are inherently 3× harder to predict than Group A entities. Should the scoring function:</w:t>
      </w:r>
    </w:p>
    <w:p w14:paraId="3768F5BC" w14:textId="77777777" w:rsidR="0039275D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Apply uniformly (Group D entities would score systematically lower)</w:t>
      </w:r>
    </w:p>
    <w:p w14:paraId="50A7F36E" w14:textId="77777777" w:rsidR="0039275D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Adjust for subgroup difficulty (normalize within each group)</w:t>
      </w:r>
    </w:p>
    <w:p w14:paraId="56329D66" w14:textId="77777777" w:rsidR="0039275D" w:rsidRDefault="00000000">
      <w:pPr>
        <w:spacing w:before="120" w:after="120"/>
      </w:pPr>
      <w:r>
        <w:t>Option (1) is simpler but may feel unfair. Option (2) requires separate scoring per subgroup or a position-adjusted formula.</w:t>
      </w:r>
    </w:p>
    <w:p w14:paraId="6ECD351B" w14:textId="77777777" w:rsidR="0039275D" w:rsidRDefault="00000000">
      <w:pPr>
        <w:pStyle w:val="Heading2"/>
      </w:pPr>
      <w:r>
        <w:t>5.3 Score Interpretability</w:t>
      </w:r>
    </w:p>
    <w:p w14:paraId="517B51F5" w14:textId="77777777" w:rsidR="0039275D" w:rsidRDefault="00000000">
      <w:pPr>
        <w:spacing w:after="120"/>
      </w:pPr>
      <w:r>
        <w:t>Users should be able to roughly understand: 'What does a score of 75 mean?' Options 1-2 keep median scores high (80-84), which may inflate perception. Option 3 is potentially too harsh. Option 5 offers clear interpretation (50 = median performer) but loses absolute meaning.</w:t>
      </w:r>
    </w:p>
    <w:p w14:paraId="0303F54E" w14:textId="77777777" w:rsidR="0039275D" w:rsidRDefault="00000000">
      <w:pPr>
        <w:pStyle w:val="Heading1"/>
      </w:pPr>
      <w:r>
        <w:t>6. Visual Analysis</w:t>
      </w:r>
    </w:p>
    <w:p w14:paraId="49E667E2" w14:textId="77777777" w:rsidR="0039275D" w:rsidRDefault="00000000">
      <w:pPr>
        <w:spacing w:after="240"/>
      </w:pPr>
      <w:r>
        <w:t>The attached visualization shows the MAE distribution and how each transformation function maps MAE values to scores. Key observations:</w:t>
      </w:r>
    </w:p>
    <w:p w14:paraId="272C2BF0" w14:textId="77777777" w:rsidR="0039275D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F9D32A8" wp14:editId="0CAD1AD8">
            <wp:extent cx="6172200" cy="4114800"/>
            <wp:effectExtent l="0" t="0" r="0" b="0"/>
            <wp:docPr id="1" name="mae_analysis" descr="MAE distribution analysis with scoring curves" title="MA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50B4" w14:textId="77777777" w:rsidR="0039275D" w:rsidRDefault="00000000">
      <w:pPr>
        <w:pStyle w:val="ListParagraph"/>
        <w:numPr>
          <w:ilvl w:val="0"/>
          <w:numId w:val="2"/>
        </w:numPr>
      </w:pPr>
      <w:r>
        <w:t>Top left: MAE distribution by subgroup shows clear separation</w:t>
      </w:r>
    </w:p>
    <w:p w14:paraId="288B0446" w14:textId="783D56FB" w:rsidR="0039275D" w:rsidRDefault="009B68C9">
      <w:pPr>
        <w:pStyle w:val="ListParagraph"/>
        <w:numPr>
          <w:ilvl w:val="0"/>
          <w:numId w:val="2"/>
        </w:numPr>
      </w:pPr>
      <w:r>
        <w:t>Top middle: Overall distribution approximates normality with right skew</w:t>
      </w:r>
    </w:p>
    <w:p w14:paraId="782FC712" w14:textId="77777777" w:rsidR="0039275D" w:rsidRDefault="00000000">
      <w:pPr>
        <w:pStyle w:val="ListParagraph"/>
        <w:numPr>
          <w:ilvl w:val="0"/>
          <w:numId w:val="2"/>
        </w:numPr>
      </w:pPr>
      <w:r>
        <w:t>Bottom left: Scoring curves show dramatic differences in how each function maps MAE to scores</w:t>
      </w:r>
    </w:p>
    <w:p w14:paraId="5BF4EEFB" w14:textId="77777777" w:rsidR="0039275D" w:rsidRDefault="00000000">
      <w:pPr>
        <w:pStyle w:val="ListParagraph"/>
        <w:numPr>
          <w:ilvl w:val="0"/>
          <w:numId w:val="2"/>
        </w:numPr>
      </w:pPr>
      <w:r>
        <w:t>Bottom middle: Percentile-based provides stepwise but uniform distribution</w:t>
      </w:r>
    </w:p>
    <w:p w14:paraId="5E80ED52" w14:textId="77777777" w:rsidR="0039275D" w:rsidRDefault="0039275D">
      <w:pPr>
        <w:spacing w:before="240"/>
      </w:pPr>
    </w:p>
    <w:p w14:paraId="131D5056" w14:textId="77777777" w:rsidR="0039275D" w:rsidRDefault="00000000">
      <w:pPr>
        <w:pStyle w:val="Heading1"/>
      </w:pPr>
      <w:r>
        <w:t>7. Questions for Expert Input</w:t>
      </w:r>
    </w:p>
    <w:p w14:paraId="669FBC25" w14:textId="77777777" w:rsidR="0039275D" w:rsidRDefault="00000000">
      <w:pPr>
        <w:spacing w:after="120"/>
      </w:pPr>
      <w:r>
        <w:t>Given the data characteristics and design goals, I would appreciate your perspective on:</w:t>
      </w:r>
    </w:p>
    <w:p w14:paraId="1901CD88" w14:textId="77777777" w:rsidR="0039275D" w:rsidRDefault="00000000" w:rsidP="009B68C9">
      <w:pPr>
        <w:pStyle w:val="ListParagraph"/>
        <w:numPr>
          <w:ilvl w:val="0"/>
          <w:numId w:val="5"/>
        </w:numPr>
      </w:pPr>
      <w:r>
        <w:rPr>
          <w:b/>
          <w:bCs/>
        </w:rPr>
        <w:t>Which transformation function best balances user-friendliness with statistical soundness?</w:t>
      </w:r>
    </w:p>
    <w:p w14:paraId="75369812" w14:textId="77777777" w:rsidR="0039275D" w:rsidRDefault="00000000" w:rsidP="009B68C9">
      <w:pPr>
        <w:pStyle w:val="ListParagraph"/>
        <w:numPr>
          <w:ilvl w:val="0"/>
          <w:numId w:val="5"/>
        </w:numPr>
      </w:pPr>
      <w:r>
        <w:rPr>
          <w:b/>
          <w:bCs/>
        </w:rPr>
        <w:t>Should I normalize scores within subgroups given the 3× MAE difference, or accept that some subgroups are inherently harder to predict?</w:t>
      </w:r>
    </w:p>
    <w:p w14:paraId="4A74D72F" w14:textId="77777777" w:rsidR="0039275D" w:rsidRDefault="00000000" w:rsidP="009B68C9">
      <w:pPr>
        <w:pStyle w:val="ListParagraph"/>
        <w:numPr>
          <w:ilvl w:val="0"/>
          <w:numId w:val="5"/>
        </w:numPr>
      </w:pPr>
      <w:r>
        <w:rPr>
          <w:b/>
          <w:bCs/>
        </w:rPr>
        <w:t>Are there any statistical considerations I'm overlooking in this transformation problem?</w:t>
      </w:r>
    </w:p>
    <w:p w14:paraId="7F700E98" w14:textId="77777777" w:rsidR="0039275D" w:rsidRDefault="00000000" w:rsidP="009B68C9">
      <w:pPr>
        <w:pStyle w:val="ListParagraph"/>
        <w:numPr>
          <w:ilvl w:val="0"/>
          <w:numId w:val="5"/>
        </w:numPr>
      </w:pPr>
      <w:r>
        <w:rPr>
          <w:b/>
          <w:bCs/>
        </w:rPr>
        <w:t>Would you recommend a different transformation function not listed here?</w:t>
      </w:r>
    </w:p>
    <w:p w14:paraId="08ECEC56" w14:textId="77777777" w:rsidR="0039275D" w:rsidRDefault="0039275D">
      <w:pPr>
        <w:spacing w:before="360" w:after="120"/>
      </w:pPr>
    </w:p>
    <w:p w14:paraId="04335053" w14:textId="77777777" w:rsidR="0039275D" w:rsidRDefault="00000000">
      <w:r>
        <w:rPr>
          <w:i/>
          <w:iCs/>
        </w:rPr>
        <w:t>Thank you for your time and expertise. I'm happy to provide additional details or clarifications as needed.</w:t>
      </w:r>
    </w:p>
    <w:sectPr w:rsidR="0039275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C5E62"/>
    <w:multiLevelType w:val="hybridMultilevel"/>
    <w:tmpl w:val="52E82548"/>
    <w:lvl w:ilvl="0" w:tplc="967A2CCE">
      <w:start w:val="1"/>
      <w:numFmt w:val="bullet"/>
      <w:lvlText w:val="●"/>
      <w:lvlJc w:val="left"/>
      <w:pPr>
        <w:ind w:left="720" w:hanging="360"/>
      </w:pPr>
    </w:lvl>
    <w:lvl w:ilvl="1" w:tplc="2E4C9B88">
      <w:start w:val="1"/>
      <w:numFmt w:val="bullet"/>
      <w:lvlText w:val="○"/>
      <w:lvlJc w:val="left"/>
      <w:pPr>
        <w:ind w:left="1440" w:hanging="360"/>
      </w:pPr>
    </w:lvl>
    <w:lvl w:ilvl="2" w:tplc="290277BC">
      <w:start w:val="1"/>
      <w:numFmt w:val="bullet"/>
      <w:lvlText w:val="■"/>
      <w:lvlJc w:val="left"/>
      <w:pPr>
        <w:ind w:left="2160" w:hanging="360"/>
      </w:pPr>
    </w:lvl>
    <w:lvl w:ilvl="3" w:tplc="CA1C1F16">
      <w:start w:val="1"/>
      <w:numFmt w:val="bullet"/>
      <w:lvlText w:val="●"/>
      <w:lvlJc w:val="left"/>
      <w:pPr>
        <w:ind w:left="2880" w:hanging="360"/>
      </w:pPr>
    </w:lvl>
    <w:lvl w:ilvl="4" w:tplc="F1DE809C">
      <w:start w:val="1"/>
      <w:numFmt w:val="bullet"/>
      <w:lvlText w:val="○"/>
      <w:lvlJc w:val="left"/>
      <w:pPr>
        <w:ind w:left="3600" w:hanging="360"/>
      </w:pPr>
    </w:lvl>
    <w:lvl w:ilvl="5" w:tplc="4D9EF7E4">
      <w:start w:val="1"/>
      <w:numFmt w:val="bullet"/>
      <w:lvlText w:val="■"/>
      <w:lvlJc w:val="left"/>
      <w:pPr>
        <w:ind w:left="4320" w:hanging="360"/>
      </w:pPr>
    </w:lvl>
    <w:lvl w:ilvl="6" w:tplc="8FBA6BE4">
      <w:start w:val="1"/>
      <w:numFmt w:val="bullet"/>
      <w:lvlText w:val="●"/>
      <w:lvlJc w:val="left"/>
      <w:pPr>
        <w:ind w:left="5040" w:hanging="360"/>
      </w:pPr>
    </w:lvl>
    <w:lvl w:ilvl="7" w:tplc="60CE4054">
      <w:start w:val="1"/>
      <w:numFmt w:val="bullet"/>
      <w:lvlText w:val="●"/>
      <w:lvlJc w:val="left"/>
      <w:pPr>
        <w:ind w:left="5760" w:hanging="360"/>
      </w:pPr>
    </w:lvl>
    <w:lvl w:ilvl="8" w:tplc="4A44654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9D65DE"/>
    <w:multiLevelType w:val="hybridMultilevel"/>
    <w:tmpl w:val="1D3E4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A923577"/>
    <w:multiLevelType w:val="hybridMultilevel"/>
    <w:tmpl w:val="C8C24EE2"/>
    <w:lvl w:ilvl="0" w:tplc="904E67A0">
      <w:start w:val="1"/>
      <w:numFmt w:val="bullet"/>
      <w:lvlText w:val="•"/>
      <w:lvlJc w:val="left"/>
      <w:pPr>
        <w:ind w:left="720" w:hanging="360"/>
      </w:pPr>
    </w:lvl>
    <w:lvl w:ilvl="1" w:tplc="010A3F4E">
      <w:numFmt w:val="decimal"/>
      <w:lvlText w:val=""/>
      <w:lvlJc w:val="left"/>
    </w:lvl>
    <w:lvl w:ilvl="2" w:tplc="FE4E9F24">
      <w:numFmt w:val="decimal"/>
      <w:lvlText w:val=""/>
      <w:lvlJc w:val="left"/>
    </w:lvl>
    <w:lvl w:ilvl="3" w:tplc="BF62AC7A">
      <w:numFmt w:val="decimal"/>
      <w:lvlText w:val=""/>
      <w:lvlJc w:val="left"/>
    </w:lvl>
    <w:lvl w:ilvl="4" w:tplc="369EA3D4">
      <w:numFmt w:val="decimal"/>
      <w:lvlText w:val=""/>
      <w:lvlJc w:val="left"/>
    </w:lvl>
    <w:lvl w:ilvl="5" w:tplc="826871EA">
      <w:numFmt w:val="decimal"/>
      <w:lvlText w:val=""/>
      <w:lvlJc w:val="left"/>
    </w:lvl>
    <w:lvl w:ilvl="6" w:tplc="97844516">
      <w:numFmt w:val="decimal"/>
      <w:lvlText w:val=""/>
      <w:lvlJc w:val="left"/>
    </w:lvl>
    <w:lvl w:ilvl="7" w:tplc="D014294E">
      <w:numFmt w:val="decimal"/>
      <w:lvlText w:val=""/>
      <w:lvlJc w:val="left"/>
    </w:lvl>
    <w:lvl w:ilvl="8" w:tplc="F16C74D8">
      <w:numFmt w:val="decimal"/>
      <w:lvlText w:val=""/>
      <w:lvlJc w:val="left"/>
    </w:lvl>
  </w:abstractNum>
  <w:abstractNum w:abstractNumId="3" w15:restartNumberingAfterBreak="0">
    <w:nsid w:val="72AD2F0F"/>
    <w:multiLevelType w:val="hybridMultilevel"/>
    <w:tmpl w:val="1D3E4A08"/>
    <w:lvl w:ilvl="0" w:tplc="93DCE13E">
      <w:start w:val="1"/>
      <w:numFmt w:val="decimal"/>
      <w:lvlText w:val="%1."/>
      <w:lvlJc w:val="left"/>
      <w:pPr>
        <w:ind w:left="720" w:hanging="360"/>
      </w:pPr>
    </w:lvl>
    <w:lvl w:ilvl="1" w:tplc="9CE482A4">
      <w:numFmt w:val="decimal"/>
      <w:lvlText w:val=""/>
      <w:lvlJc w:val="left"/>
    </w:lvl>
    <w:lvl w:ilvl="2" w:tplc="5E12359C">
      <w:numFmt w:val="decimal"/>
      <w:lvlText w:val=""/>
      <w:lvlJc w:val="left"/>
    </w:lvl>
    <w:lvl w:ilvl="3" w:tplc="2BCEEA3C">
      <w:numFmt w:val="decimal"/>
      <w:lvlText w:val=""/>
      <w:lvlJc w:val="left"/>
    </w:lvl>
    <w:lvl w:ilvl="4" w:tplc="A5F42508">
      <w:numFmt w:val="decimal"/>
      <w:lvlText w:val=""/>
      <w:lvlJc w:val="left"/>
    </w:lvl>
    <w:lvl w:ilvl="5" w:tplc="199CE40C">
      <w:numFmt w:val="decimal"/>
      <w:lvlText w:val=""/>
      <w:lvlJc w:val="left"/>
    </w:lvl>
    <w:lvl w:ilvl="6" w:tplc="2E3AC6EA">
      <w:numFmt w:val="decimal"/>
      <w:lvlText w:val=""/>
      <w:lvlJc w:val="left"/>
    </w:lvl>
    <w:lvl w:ilvl="7" w:tplc="B8DA385A">
      <w:numFmt w:val="decimal"/>
      <w:lvlText w:val=""/>
      <w:lvlJc w:val="left"/>
    </w:lvl>
    <w:lvl w:ilvl="8" w:tplc="516C1852">
      <w:numFmt w:val="decimal"/>
      <w:lvlText w:val=""/>
      <w:lvlJc w:val="left"/>
    </w:lvl>
  </w:abstractNum>
  <w:num w:numId="1" w16cid:durableId="1367294834">
    <w:abstractNumId w:val="0"/>
    <w:lvlOverride w:ilvl="0">
      <w:startOverride w:val="1"/>
    </w:lvlOverride>
  </w:num>
  <w:num w:numId="2" w16cid:durableId="265381385">
    <w:abstractNumId w:val="2"/>
    <w:lvlOverride w:ilvl="0">
      <w:startOverride w:val="1"/>
    </w:lvlOverride>
  </w:num>
  <w:num w:numId="3" w16cid:durableId="73822332">
    <w:abstractNumId w:val="3"/>
    <w:lvlOverride w:ilvl="0">
      <w:startOverride w:val="1"/>
    </w:lvlOverride>
  </w:num>
  <w:num w:numId="4" w16cid:durableId="1291010569">
    <w:abstractNumId w:val="3"/>
  </w:num>
  <w:num w:numId="5" w16cid:durableId="129933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5D"/>
    <w:rsid w:val="0039275D"/>
    <w:rsid w:val="009B68C9"/>
    <w:rsid w:val="00CF6DC0"/>
    <w:rsid w:val="00FA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9745"/>
  <w15:docId w15:val="{929D2686-7433-4A66-BA22-5C4528DB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360" w:after="180"/>
      <w:outlineLvl w:val="0"/>
    </w:pPr>
    <w:rPr>
      <w:b/>
      <w:bCs/>
      <w:color w:val="2B579A"/>
      <w:sz w:val="32"/>
      <w:szCs w:val="32"/>
    </w:rPr>
  </w:style>
  <w:style w:type="paragraph" w:styleId="Heading2">
    <w:name w:val="heading 2"/>
    <w:uiPriority w:val="9"/>
    <w:unhideWhenUsed/>
    <w:qFormat/>
    <w:pPr>
      <w:spacing w:before="240" w:after="120"/>
      <w:outlineLvl w:val="1"/>
    </w:pPr>
    <w:rPr>
      <w:b/>
      <w:bCs/>
      <w:color w:val="2B579A"/>
      <w:sz w:val="28"/>
      <w:szCs w:val="28"/>
    </w:rPr>
  </w:style>
  <w:style w:type="paragraph" w:styleId="Heading3">
    <w:name w:val="heading 3"/>
    <w:uiPriority w:val="9"/>
    <w:semiHidden/>
    <w:unhideWhenUsed/>
    <w:qFormat/>
    <w:pPr>
      <w:spacing w:before="180" w:after="120"/>
      <w:outlineLvl w:val="2"/>
    </w:pPr>
    <w:rPr>
      <w:b/>
      <w:bCs/>
      <w:color w:val="404040"/>
      <w:sz w:val="26"/>
      <w:szCs w:val="26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Chris McCleary</cp:lastModifiedBy>
  <cp:revision>3</cp:revision>
  <dcterms:created xsi:type="dcterms:W3CDTF">2025-10-30T17:45:00Z</dcterms:created>
  <dcterms:modified xsi:type="dcterms:W3CDTF">2025-10-30T18:09:00Z</dcterms:modified>
</cp:coreProperties>
</file>