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Residence is not synonymous with citizenship (Robinette v Emmons *2)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A person can reside in one state and be domiciled in another Miss. Band of Choctaw Indians v. Holyfield, 490 U.S. 30 (1989)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Two requirements are required to acquire a new domicile, physical presence in the new state and either intention to make a home there indefinitely or the absence of an intention to make a home elsewhere. See Gilbert v. David, 235 U.S. 561, 569-70, 35 S.Ct. 164, 59 L.Ed. 360 (1915)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“</w:t>
      </w:r>
      <w:r>
        <w:rPr/>
        <w:t xml:space="preserve">A person's previous domicile is not lost until a new one is acquired”. Von Dunser v. Aronoff, 915 F.2d 1071, 1072 (6th Cir.1990) </w:t>
      </w:r>
      <w:r>
        <w:rPr/>
        <w:t xml:space="preserve"> 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“</w:t>
      </w:r>
      <w:r>
        <w:rPr/>
        <w:t xml:space="preserve">Federal jurisdiction is tested according to the facts as they exist at the time an action is initiated” </w:t>
      </w:r>
      <w:r>
        <w:rPr/>
        <w:t xml:space="preserve">Television Reception Corp. v. Dunbar, 426 F.2d 174, 177 (6th Cir.1970). 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“</w:t>
      </w:r>
      <w:r>
        <w:rPr/>
        <w:t>Federal courts are courts of limited jurisdiction,” and “the burden of establishing” a jurisdictional basis “rests upon the party asserting jurisdiction.” Kokkonen v. Guardian Life Ins. Co. of Am., 114 S. Ct. 1673, 1675 (1994).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Deasy v. Louisville &amp; Jefferson County Metropolitan Sewer District</w:t>
      </w:r>
    </w:p>
    <w:p>
      <w:pPr>
        <w:pStyle w:val="Normal"/>
        <w:bidi w:val="0"/>
        <w:jc w:val="left"/>
        <w:rPr/>
      </w:pPr>
      <w:r>
        <w:rPr/>
        <w:t>Posture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 xml:space="preserve">Plaintiff sued 35 Kentucky defendants under </w:t>
      </w:r>
      <w:r>
        <w:rPr/>
        <w:t xml:space="preserve">§§ </w:t>
      </w:r>
      <w:r>
        <w:rPr/>
        <w:t>1331 and 1332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 xml:space="preserve">Rule 12(b)(1) granted </w:t>
      </w:r>
      <w:r>
        <w:rPr/>
        <w:t xml:space="preserve">for lack of subject matter jurisdiction 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Sixth circuit affirmed</w:t>
      </w:r>
    </w:p>
    <w:p>
      <w:pPr>
        <w:pStyle w:val="Normal"/>
        <w:bidi w:val="0"/>
        <w:jc w:val="left"/>
        <w:rPr/>
      </w:pPr>
      <w:r>
        <w:rPr/>
        <w:t>Jurisdiction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Deasy wanted to prove that he was a resident of Tennessee, he wanted the court to be in the Western District of Kentucky, they had 1332 jurisdiction over the sewer district claims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/>
        <w:t>The defendants wanted to prove that Deasy was a Kentucky resident, meaning that he and every defendant shared a state, complete diversity would fail and the court would not have subject matter jurisdiction</w:t>
      </w:r>
    </w:p>
    <w:p>
      <w:pPr>
        <w:pStyle w:val="Normal"/>
        <w:bidi w:val="0"/>
        <w:jc w:val="left"/>
        <w:rPr/>
      </w:pPr>
      <w:r>
        <w:rPr/>
        <w:t>Facts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>Deasy claimed residence in Portland, Tennessee but listed a Louisville, Kentucky address for mail and business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His claimed Tennessee residence was half of his sister’s duplex 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>He owned the home he lived in when in Kentucky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>He changed his voter registration to Tennessee but never voted there and voted regularly in Kentucky before the change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He was physically present in Tennessee only on weekends 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>His daughter had never attended school in Tennessee</w:t>
      </w:r>
    </w:p>
    <w:p>
      <w:pPr>
        <w:pStyle w:val="Normal"/>
        <w:bidi w:val="0"/>
        <w:jc w:val="left"/>
        <w:rPr/>
      </w:pPr>
      <w:r>
        <w:rPr/>
        <w:t>Issue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Was Deasy a resident of Tennessee or Kentucky?</w:t>
      </w:r>
    </w:p>
    <w:p>
      <w:pPr>
        <w:pStyle w:val="Normal"/>
        <w:bidi w:val="0"/>
        <w:jc w:val="left"/>
        <w:rPr/>
      </w:pPr>
      <w:r>
        <w:rPr/>
        <w:t>Holding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 xml:space="preserve">Kentucky was Deasy’s domicile, diversity jurisdiction was lacking </w:t>
      </w:r>
    </w:p>
    <w:p>
      <w:pPr>
        <w:pStyle w:val="Normal"/>
        <w:bidi w:val="0"/>
        <w:jc w:val="left"/>
        <w:rPr/>
      </w:pPr>
      <w:r>
        <w:rPr/>
        <w:t>Reasoning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>Deasy presented no evidence inconsistent with a Kentucky domicile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>A voter registration change without actual voting did not move the needle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>Deasy owned a home in Kentucky while only claiming half of a duplex in Tennessee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>Deasy rents his Tennessee home he inhered instead of living there</w:t>
      </w:r>
    </w:p>
    <w:p>
      <w:pPr>
        <w:pStyle w:val="Normal"/>
        <w:bidi w:val="0"/>
        <w:jc w:val="left"/>
        <w:rPr/>
      </w:pPr>
      <w:r>
        <w:rPr/>
        <w:t>Relation to Fox Case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Deasy had Kentucky home ownership with presence in Tennessee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Deasy’s primary location was in Kentucky, Fox’s primary location was in Tennessee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Pitt Excavating, LLC v. Pitt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Posture</w:t>
      </w:r>
    </w:p>
    <w:p>
      <w:pPr>
        <w:pStyle w:val="Normal"/>
        <w:numPr>
          <w:ilvl w:val="0"/>
          <w:numId w:val="8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A Tennessee LLC sued its sole member’s ex-wife who was a Kentucky citizen for conversion and breach of fiduciary duty in the US District Court for the Middle District of Tennessee</w:t>
      </w:r>
    </w:p>
    <w:p>
      <w:pPr>
        <w:pStyle w:val="Normal"/>
        <w:numPr>
          <w:ilvl w:val="0"/>
          <w:numId w:val="8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The district court first found diversity was established</w:t>
      </w:r>
    </w:p>
    <w:p>
      <w:pPr>
        <w:pStyle w:val="Normal"/>
        <w:numPr>
          <w:ilvl w:val="0"/>
          <w:numId w:val="8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On reconsideration and an evidentiary hearing, this was dismissed for lack of jurisdictional</w:t>
      </w:r>
    </w:p>
    <w:p>
      <w:pPr>
        <w:pStyle w:val="Normal"/>
        <w:numPr>
          <w:ilvl w:val="0"/>
          <w:numId w:val="8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$22,376.42 were imposed in fees 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Facts </w:t>
      </w:r>
    </w:p>
    <w:p>
      <w:pPr>
        <w:pStyle w:val="Normal"/>
        <w:numPr>
          <w:ilvl w:val="0"/>
          <w:numId w:val="9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Mr. Pitt lived at the Kentucky farm awarded to his ex wife in their divorce</w:t>
      </w:r>
    </w:p>
    <w:p>
      <w:pPr>
        <w:pStyle w:val="Normal"/>
        <w:numPr>
          <w:ilvl w:val="0"/>
          <w:numId w:val="9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He leased an apartment in Madison, Tennessee beginning in November 2012, held a Tennessee CDL and contractor’s license, and paid federal taxes on Tennessee earned income</w:t>
      </w:r>
    </w:p>
    <w:p>
      <w:pPr>
        <w:pStyle w:val="Normal"/>
        <w:numPr>
          <w:ilvl w:val="0"/>
          <w:numId w:val="9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His ex wife filed an eviction petition in July 2013 leading Pitt to stay exclusively at the Tennessee apartment</w:t>
      </w:r>
    </w:p>
    <w:p>
      <w:pPr>
        <w:pStyle w:val="Normal"/>
        <w:numPr>
          <w:ilvl w:val="0"/>
          <w:numId w:val="9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He never changed his voter registration from Kentucky and voted in Kentucky in 2012</w:t>
      </w:r>
    </w:p>
    <w:p>
      <w:pPr>
        <w:pStyle w:val="Normal"/>
        <w:numPr>
          <w:ilvl w:val="0"/>
          <w:numId w:val="9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In a July 2013 filing objecting to the eviction, he stated he had continued to live on the Kentucky estate since 2008</w:t>
      </w:r>
    </w:p>
    <w:p>
      <w:pPr>
        <w:pStyle w:val="Normal"/>
        <w:numPr>
          <w:ilvl w:val="0"/>
          <w:numId w:val="9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After filing his lawsuit, he signed a materialman’s lien affidavit listing the Kentucky farm as his address</w:t>
      </w:r>
    </w:p>
    <w:p>
      <w:pPr>
        <w:pStyle w:val="Normal"/>
        <w:numPr>
          <w:ilvl w:val="0"/>
          <w:numId w:val="9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He petitioned a Kentucky court to set aside the divorce decree so as to reclaim the farm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130</TotalTime>
  <Application>LibreOffice/7.3.7.2$Linux_X86_64 LibreOffice_project/30$Build-2</Application>
  <AppVersion>15.0000</AppVersion>
  <Pages>2</Pages>
  <Words>662</Words>
  <Characters>3246</Characters>
  <CharactersWithSpaces>3834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2026-09-06T18:18:21Z</dcterms:created>
  <dc:creator/>
  <dc:description/>
  <dc:language>en-US</dc:language>
  <cp:lastModifiedBy/>
  <dcterms:modified xsi:type="dcterms:W3CDTF">2026-09-06T23:54:48Z</dcterms:modified>
  <cp:revision>1</cp:revision>
  <dc:subject/>
  <dc:title/>
</cp:coreProperties>
</file>