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b/>
          <w:bCs/>
        </w:rPr>
        <w:t>Question A</w:t>
      </w:r>
    </w:p>
    <w:p>
      <w:pPr>
        <w:pStyle w:val="Normal"/>
        <w:bidi w:val="0"/>
        <w:jc w:val="left"/>
        <w:rPr/>
      </w:pPr>
      <w:r>
        <w:rPr/>
        <w:t xml:space="preserve">Regarding the attachment of Dot’s property without a prior hearing, Dot is likely to succeed. As established in Connecticut v. Doehr, a state statute authorizing prejudgement attachment of property without prior notice or hearing violates the Due Process Clause of the Fourteenth amendment of the United States Constitution. </w:t>
      </w:r>
      <w:r>
        <w:rPr/>
        <w:t xml:space="preserve">The Constitution is interpreted as the supreme law of the United States to which all laws must conform, and since the O’Quinn law that allows for the freezing of a person’s assets based on an affidavit, violates the principle of due process, it is therefore incompatible with what is legally acceptable according to Anglo-American legal tradition. </w:t>
      </w:r>
      <w:r>
        <w:rPr/>
        <w:t xml:space="preserve">In Connecticut v. Doehr, John F. DiGiovanni sought a $75,000 prejudgement attachment on Brian K. Doehr’s property as part of an assault claim. The attachment was granted based on a vague affidavit without a prior hearing or notice to Doehr. </w:t>
      </w:r>
      <w:r>
        <w:rPr/>
        <w:t xml:space="preserve">The federal district court upheld the prejudgement attachment while the second circuit court of appeals reversed the decision. The Supreme Court held that the circuit court’s decision to reverse the decision of the district court was affirmed. </w:t>
      </w:r>
      <w:r>
        <w:rPr/>
        <w:t xml:space="preserve">This case utilized the Mathews v. Eldridge framework which is a due process analysis that requires three considerations, private interest affected, risk of erroneous deprivation, and governmental interest. Applying this framework to the situation between Pat and Dot, we can conclude that the private interest of Dot is affected because $25,000 in her bank account was frozen, this is a significant amount of money. The risk for erroneous deprivation is present because </w:t>
      </w:r>
      <w:r>
        <w:rPr/>
        <w:t xml:space="preserve">it was stated that “The court shall accept all statements in such an affidavit as true”, if the allegations of Pat are taken at face value without any response from the defendant, this presents a situation where Dot cannot argue her case before the court prior to the asset freeze. A scenario in which only one side of the conflict’s allegations are presented, creates the possibility for wrongful deprivation. Next, one must consider the government interest, the government has an inherent interest in civil cases as the government is the civil authority from which laws originate. Aristotle in the Nichomachean Ethics theorizes that law is a teacher of virtue, shaping the character of citizens through the habits its procedures instill. A procedure that strips a defendant of their wealth simply based on an unsubstantiated affidavit is one that would incentivize </w:t>
      </w:r>
      <w:r>
        <w:rPr/>
        <w:t xml:space="preserve">unjust behavior, it is therefore in the interest of the government to uphold procedures that instill justice and punish injustice. </w:t>
      </w:r>
    </w:p>
    <w:p>
      <w:pPr>
        <w:pStyle w:val="Normal"/>
        <w:bidi w:val="0"/>
        <w:jc w:val="left"/>
        <w:rPr/>
      </w:pPr>
      <w:r>
        <w:rPr/>
      </w:r>
    </w:p>
    <w:p>
      <w:pPr>
        <w:pStyle w:val="Normal"/>
        <w:bidi w:val="0"/>
        <w:jc w:val="left"/>
        <w:rPr>
          <w:b/>
          <w:b/>
          <w:bCs/>
        </w:rPr>
      </w:pPr>
      <w:r>
        <w:rPr>
          <w:b/>
          <w:bCs/>
        </w:rPr>
        <w:t>Question B</w:t>
      </w:r>
    </w:p>
    <w:p>
      <w:pPr>
        <w:pStyle w:val="Normal"/>
        <w:bidi w:val="0"/>
        <w:jc w:val="left"/>
        <w:rPr/>
      </w:pPr>
      <w:r>
        <w:rPr/>
        <w:t xml:space="preserve">Regarding Dot’s motion to dismiss Pat’s complaint for failure to state a claim, the motion to dismiss should be granted. Rule 8(a) of the Federal Rules of Civil Procedure states that a plaintiff must provide a short and plain statement of the claim showing entitlement to relief. The complaint presented by Pat merely states that Pat and Dot entered into a contract, however, it does not specify the terms of that contract. Since it does not state the terms of the contract, statement two of the complaint lacks context, meaning that Pat has failed to show entitlement to relief. It does not logically follow that simply by violating the terms of an agreement, the one filing the complaint is entitled to $25,000. </w:t>
      </w:r>
      <w:r>
        <w:rPr/>
        <w:t xml:space="preserve">Since the terms of the contract are not stated and the specific violation is not articulated, it cannot be assumed that $25,000 is a reasonable restitution for the alleged wrongdoing, in the abstract, a violation of a contract might incur damages of $0 or $1 Million. </w:t>
      </w:r>
      <w:r>
        <w:rPr/>
        <w:t xml:space="preserve">In order to demonstrate </w:t>
      </w:r>
      <w:r>
        <w:rPr/>
        <w:t>that the plaintiff is entitled to the relief outlined by the complaint</w:t>
      </w:r>
      <w:r>
        <w:rPr/>
        <w:t xml:space="preserve">, </w:t>
      </w:r>
      <w:r>
        <w:rPr/>
        <w:t>it</w:t>
      </w:r>
      <w:r>
        <w:rPr/>
        <w:t xml:space="preserve"> must state the terms of the agreement, explain how the defendant violated those terms </w:t>
      </w:r>
      <w:r>
        <w:rPr/>
        <w:t xml:space="preserve">and the damages incurred as a result of the violation. </w:t>
      </w:r>
    </w:p>
    <w:p>
      <w:pPr>
        <w:pStyle w:val="Normal"/>
        <w:bidi w:val="0"/>
        <w:jc w:val="left"/>
        <w:rPr/>
      </w:pPr>
      <w:r>
        <w:rPr/>
      </w:r>
    </w:p>
    <w:p>
      <w:pPr>
        <w:pStyle w:val="Normal"/>
        <w:bidi w:val="0"/>
        <w:jc w:val="left"/>
        <w:rPr>
          <w:b/>
          <w:b/>
          <w:bCs/>
        </w:rPr>
      </w:pPr>
      <w:r>
        <w:rPr>
          <w:b/>
          <w:bCs/>
        </w:rPr>
        <w:t>Question C</w:t>
      </w:r>
    </w:p>
    <w:p>
      <w:pPr>
        <w:pStyle w:val="Normal"/>
        <w:bidi w:val="0"/>
        <w:jc w:val="left"/>
        <w:rPr/>
      </w:pPr>
      <w:r>
        <w:rPr/>
        <w:t>1. In 2013, Plaintiff Pat and Defendant Dot entered into a contract wherein it was stated that “All sales of produce grown at the farm must be jointly approved in advance by Pat and Dot.”</w:t>
      </w:r>
    </w:p>
    <w:p>
      <w:pPr>
        <w:pStyle w:val="Normal"/>
        <w:bidi w:val="0"/>
        <w:jc w:val="left"/>
        <w:rPr/>
      </w:pPr>
      <w:r>
        <w:rPr/>
        <w:t xml:space="preserve">2. In 2024, Dot violated the agreement by selling </w:t>
      </w:r>
      <w:r>
        <w:rPr/>
        <w:t>the entirety of crops harvested from the farm that year at a value of $100,000, the market value of such crops likely would have been $150,000 without notifying Pat.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LibreOffice/7.3.7.2$Linux_X86_64 LibreOffice_project/30$Build-2</Application>
  <AppVersion>15.0000</AppVersion>
  <Pages>1</Pages>
  <Words>701</Words>
  <Characters>3584</Characters>
  <CharactersWithSpaces>4280</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2026-09-16T16:39:37Z</dcterms:created>
  <dc:creator/>
  <dc:description/>
  <dc:language>en-US</dc:language>
  <cp:lastModifiedBy/>
  <dcterms:modified xsi:type="dcterms:W3CDTF">2026-09-16T18:33:35Z</dcterms:modified>
  <cp:revision>3</cp:revision>
  <dc:subject/>
  <dc:title/>
</cp:coreProperties>
</file>