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rFonts w:ascii="Times New Roman" w:hAnsi="Times New Roman"/>
          <w:b/>
          <w:bCs/>
        </w:rPr>
        <w:t>CB pp 1-34</w:t>
      </w:r>
    </w:p>
    <w:p>
      <w:pPr>
        <w:pStyle w:val="Normal"/>
        <w:bidi w:val="0"/>
        <w:jc w:val="left"/>
        <w:rPr/>
      </w:pPr>
      <w:r>
        <w:rPr>
          <w:rFonts w:ascii="Times New Roman" w:hAnsi="Times New Roman"/>
        </w:rPr>
        <w:t>Rules</w:t>
      </w:r>
    </w:p>
    <w:p>
      <w:pPr>
        <w:pStyle w:val="Normal"/>
        <w:numPr>
          <w:ilvl w:val="0"/>
          <w:numId w:val="26"/>
        </w:numPr>
        <w:bidi w:val="0"/>
        <w:jc w:val="left"/>
        <w:rPr>
          <w:rFonts w:ascii="Times New Roman" w:hAnsi="Times New Roman"/>
        </w:rPr>
      </w:pPr>
      <w:r>
        <w:rPr>
          <w:rFonts w:ascii="Times New Roman" w:hAnsi="Times New Roman"/>
        </w:rPr>
        <w:t>Contract Defined: Agreement between two or more persons as to something to be done in the future</w:t>
      </w:r>
    </w:p>
    <w:p>
      <w:pPr>
        <w:pStyle w:val="Normal"/>
        <w:numPr>
          <w:ilvl w:val="0"/>
          <w:numId w:val="27"/>
        </w:numPr>
        <w:bidi w:val="0"/>
        <w:jc w:val="left"/>
        <w:rPr>
          <w:rFonts w:ascii="Times New Roman" w:hAnsi="Times New Roman"/>
        </w:rPr>
      </w:pPr>
      <w:r>
        <w:rPr>
          <w:rFonts w:ascii="Times New Roman" w:hAnsi="Times New Roman"/>
        </w:rPr>
        <w:t>Restatement (Second) of Contracts 17(1) – Requirements for Contract Formation: Bargain, Manifestation of Mutual Assent, Consideration</w:t>
      </w:r>
    </w:p>
    <w:p>
      <w:pPr>
        <w:pStyle w:val="Normal"/>
        <w:numPr>
          <w:ilvl w:val="0"/>
          <w:numId w:val="28"/>
        </w:numPr>
        <w:bidi w:val="0"/>
        <w:jc w:val="left"/>
        <w:rPr>
          <w:rFonts w:ascii="Times New Roman" w:hAnsi="Times New Roman"/>
        </w:rPr>
      </w:pPr>
      <w:r>
        <w:rPr>
          <w:rFonts w:ascii="Times New Roman" w:hAnsi="Times New Roman"/>
        </w:rPr>
        <w:t>Stare Decisis: A precedent is binding only if decided by the same court of by an appellate court of superior rank within the same jurisdiction</w:t>
      </w:r>
    </w:p>
    <w:p>
      <w:pPr>
        <w:pStyle w:val="Normal"/>
        <w:numPr>
          <w:ilvl w:val="0"/>
          <w:numId w:val="29"/>
        </w:numPr>
        <w:bidi w:val="0"/>
        <w:jc w:val="left"/>
        <w:rPr>
          <w:rFonts w:ascii="Times New Roman" w:hAnsi="Times New Roman"/>
        </w:rPr>
      </w:pPr>
      <w:r>
        <w:rPr>
          <w:rFonts w:ascii="Times New Roman" w:hAnsi="Times New Roman"/>
        </w:rPr>
        <w:t xml:space="preserve">Statute of Frauds: Certain types of contracts muse be evidenced by a signed writing to be enforceable in court </w:t>
      </w:r>
    </w:p>
    <w:p>
      <w:pPr>
        <w:pStyle w:val="Normal"/>
        <w:numPr>
          <w:ilvl w:val="0"/>
          <w:numId w:val="30"/>
        </w:numPr>
        <w:bidi w:val="0"/>
        <w:jc w:val="left"/>
        <w:rPr>
          <w:rFonts w:ascii="Times New Roman" w:hAnsi="Times New Roman"/>
        </w:rPr>
      </w:pPr>
      <w:r>
        <w:rPr>
          <w:rFonts w:ascii="Times New Roman" w:hAnsi="Times New Roman"/>
        </w:rPr>
        <w:t xml:space="preserve">Restatement (Second) of Contracts 20 – Manifestation of Mutual Assent: </w:t>
      </w:r>
      <w:r>
        <w:rPr>
          <w:rFonts w:ascii="Times New Roman" w:hAnsi="Times New Roman"/>
        </w:rPr>
        <w:t>The legally operative agreement is found in what the parties said and did</w:t>
      </w:r>
    </w:p>
    <w:p>
      <w:pPr>
        <w:pStyle w:val="Normal"/>
        <w:numPr>
          <w:ilvl w:val="0"/>
          <w:numId w:val="31"/>
        </w:numPr>
        <w:bidi w:val="0"/>
        <w:jc w:val="left"/>
        <w:rPr>
          <w:rFonts w:ascii="Times New Roman" w:hAnsi="Times New Roman"/>
        </w:rPr>
      </w:pPr>
      <w:r>
        <w:rPr>
          <w:rFonts w:ascii="Times New Roman" w:hAnsi="Times New Roman"/>
        </w:rPr>
        <w:t>Restatement (Second) of Contracts 70 – Binding Effect of a Written Offer: One who makes a written offer which is accepted, or who manifests acceptance of the terms of writing which he should reasonably understand to be an offer or a proposed contract, is bound by the contracts</w:t>
      </w:r>
    </w:p>
    <w:p>
      <w:pPr>
        <w:pStyle w:val="Normal"/>
        <w:numPr>
          <w:ilvl w:val="0"/>
          <w:numId w:val="32"/>
        </w:numPr>
        <w:bidi w:val="0"/>
        <w:jc w:val="left"/>
        <w:rPr>
          <w:rFonts w:ascii="Times New Roman" w:hAnsi="Times New Roman"/>
        </w:rPr>
      </w:pPr>
      <w:r>
        <w:rPr>
          <w:rFonts w:ascii="Times New Roman" w:hAnsi="Times New Roman"/>
        </w:rPr>
        <w:t>Unilateral Mistakes Does Not Prevent Contract Formation: Absent fraud, duress, or mutual mistake, one who has the capacity to understand a written document, and who reads and signs it is bound by his signature at law</w:t>
      </w:r>
    </w:p>
    <w:p>
      <w:pPr>
        <w:pStyle w:val="Normal"/>
        <w:numPr>
          <w:ilvl w:val="0"/>
          <w:numId w:val="33"/>
        </w:numPr>
        <w:bidi w:val="0"/>
        <w:jc w:val="left"/>
        <w:rPr>
          <w:rFonts w:ascii="Times New Roman" w:hAnsi="Times New Roman"/>
        </w:rPr>
      </w:pPr>
      <w:r>
        <w:rPr>
          <w:rFonts w:ascii="Times New Roman" w:hAnsi="Times New Roman"/>
        </w:rPr>
        <w:t xml:space="preserve">Bilateral Contract Formation via Offer and Acceptance: A bilateral contract (one formed by an exchange of promises) is traditionally formed when an offeror makes a direct, complete proposal for an exchange of defined performances, created in the offeree a “power of acceptance”, which the offeree may exercise by manifesting acceptance in a legally effective way, at which moment a contract comes into being </w:t>
      </w:r>
    </w:p>
    <w:p>
      <w:pPr>
        <w:pStyle w:val="Normal"/>
        <w:bidi w:val="0"/>
        <w:jc w:val="left"/>
        <w:rPr/>
      </w:pPr>
      <w:r>
        <w:rPr>
          <w:rFonts w:ascii="Times New Roman" w:hAnsi="Times New Roman"/>
        </w:rPr>
        <w:t>Cases</w:t>
      </w:r>
    </w:p>
    <w:p>
      <w:pPr>
        <w:pStyle w:val="Normal"/>
        <w:numPr>
          <w:ilvl w:val="0"/>
          <w:numId w:val="3"/>
        </w:numPr>
        <w:bidi w:val="0"/>
        <w:jc w:val="left"/>
        <w:rPr/>
      </w:pPr>
      <w:r>
        <w:rPr/>
        <w:t xml:space="preserve">Ray v. William G Eurice &amp; Bros., Inc: </w:t>
      </w:r>
      <w:r>
        <w:rPr/>
        <w:t>Contract to build a house between owners and contractors. Competing conceptions as to what the agreement was.</w:t>
      </w:r>
    </w:p>
    <w:p>
      <w:pPr>
        <w:pStyle w:val="Normal"/>
        <w:numPr>
          <w:ilvl w:val="1"/>
          <w:numId w:val="3"/>
        </w:numPr>
        <w:bidi w:val="0"/>
        <w:jc w:val="left"/>
        <w:rPr/>
      </w:pPr>
      <w:r>
        <w:rPr/>
        <w:t>Rule: Unilateral Mistake Does Not Prevent Contract Formation</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R2 §§ 1, 2, 4, 17(1), 20</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1 Contract Defined: A contract is a promise or set of promises enforceable by law</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2 Promise, Promisor, Promisee, Beneficiary</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4 How a Promise May Be Made: Can be made verbally, in writing, or inferred from conduct</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17(1) Requirement of a Bargain: Manifestation of mutual assent, presence of consideration (something of value exchanged)</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20: Effect of Misunderstanding: No contracts are formed if parties attach materially different meanings to their manifestations with no mutual awareness</w:t>
      </w:r>
    </w:p>
    <w:p>
      <w:pPr>
        <w:pStyle w:val="Normal"/>
        <w:numPr>
          <w:ilvl w:val="0"/>
          <w:numId w:val="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153 When Mistake of One Party Makes a Contract Voidable: A contract is voidable by the mistaken party if the mistake significantly impacts the agreement</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Lucy v Zehmer</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Objective Theory of Mutual Assent: The law looks to the outward expression of a person as manifesting his intention rather than to his secret and unexpressed intention </w:t>
      </w:r>
    </w:p>
    <w:p>
      <w:pPr>
        <w:pStyle w:val="Normal"/>
        <w:numPr>
          <w:ilvl w:val="0"/>
          <w:numId w:val="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Jesting Defense Rule: A person cannot claim that he was merely jesting when his conduct and words would warrant a reasonable person in believing that he intended a real agreement</w:t>
      </w:r>
    </w:p>
    <w:p>
      <w:pPr>
        <w:pStyle w:val="Normal"/>
        <w:numPr>
          <w:ilvl w:val="0"/>
          <w:numId w:val="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Intoxication and Contract Validity: A contract is not invalidated on the grounds of intoxication unless a party was intoxicated to the extent of being unable to comprehend the nature and consequences of the instrument he executed</w:t>
      </w:r>
    </w:p>
    <w:p>
      <w:pPr>
        <w:pStyle w:val="Normal"/>
        <w:numPr>
          <w:ilvl w:val="0"/>
          <w:numId w:val="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of Contracts § 71 – Undisclosed Intention: The provision stating that mental assent is not required for contract formation, and that an undisclosed intention is immaterial unless the other party knew of an unreasonable meaning attached to one’s manifestations</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6"/>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Lucy v. Zehmer: </w:t>
      </w:r>
      <w:r>
        <w:rPr>
          <w:rFonts w:ascii="Times New Roman" w:hAnsi="Times New Roman"/>
          <w:b w:val="false"/>
          <w:bCs w:val="false"/>
          <w:i w:val="false"/>
          <w:caps w:val="false"/>
          <w:smallCaps w:val="false"/>
          <w:color w:val="000000"/>
          <w:spacing w:val="0"/>
          <w:sz w:val="24"/>
          <w:szCs w:val="24"/>
        </w:rPr>
        <w:t>Sale of farm, offer made in jest</w:t>
      </w:r>
    </w:p>
    <w:p>
      <w:pPr>
        <w:pStyle w:val="Normal"/>
        <w:numPr>
          <w:ilvl w:val="1"/>
          <w:numId w:val="6"/>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Objective Theory of Mutual Assent</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Terms</w:t>
      </w:r>
    </w:p>
    <w:p>
      <w:pPr>
        <w:pStyle w:val="Normal"/>
        <w:numPr>
          <w:ilvl w:val="0"/>
          <w:numId w:val="7"/>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Mutual Assent: The meeting of the minds, expressed through offer and acceptance, that is required to form a contract</w:t>
      </w:r>
    </w:p>
    <w:p>
      <w:pPr>
        <w:pStyle w:val="Normal"/>
        <w:numPr>
          <w:ilvl w:val="0"/>
          <w:numId w:val="7"/>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Objective Theory of Contracts: The principle that contractual intent is determined by a party’s outward words and conduct, judged by a reasonable standard, rather than by that party’s actual, private state of mind</w:t>
      </w:r>
    </w:p>
    <w:p>
      <w:pPr>
        <w:pStyle w:val="Normal"/>
        <w:numPr>
          <w:ilvl w:val="0"/>
          <w:numId w:val="7"/>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Specific Performance: An equitable remedy compelling a party to perform the actual terms of a contract rather than merely pay money damages for breach</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CB pp. 35-51</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24 – Definition of an Offer: An offer is the manifestation of willingness to enter into a bargain, so made as to justify another person in understanding that his assent that bargain is invited and will conclude it</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Restatement (Second) § 26 – No Offer Without Further Manifestation of Assent: If the person to whom a promise or manifestation of intention is addressed knows or has reason to know that the person making it does not intend it as an expression of his fixed purpose until he has given a further expression of assent, he has not made an offer </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Mailbox Rule (R2 § 63, 65, 66, 30): An acceptance is effective as soon as it is dispatched (mailed, telegraphed, etc.) by the offeree, even before the offeror receives it, whereas an offer an a revocation by the offeror must actually be received to be effective</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Restatement 2 § 29 – To Whom an Offer is Addressed: The offeror controls the terms, duration, and manner of acceptance of his own offer, and may dictate conditions that displace otherwise applicable default rules </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2 § 35 – The Offeree’s Power of Acceptance: An offer gives to the offeree a continuing power to complete the manifestation of mutual assent by acceptance of the offer, a contract cannot be created by acceptance of an offer after the power of acceptance has been terminated</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41 – Lapse of Time: An offeree’s power of acceptance is terminated at the time specified in the offer or if no time is specified, at the end of a reasonable time</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39 – Counter Offer: A counter offer is an offer made by an offeree to his offeror relating to the same matter as the original offer and proposing a substituted bargain differing from that proposed by the original offer</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Restatement (Second) § 36 – Termination of the Power of Acceptance: The offeree’s power of acceptance is terminated by his rejection or counter offer </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57, 58 – Acceptance Must be Unequivocal: An acceptance must be unequivocal and unqualified in order for a contract to be formed</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Restatement (Second) § 59 – Qualified Acceptance Treated as Counter-Offer: A reply to an offer that purports to accept but is conditional on the offeror’s assent to terms additional to or different from those offered is not an acceptance but a counter offer </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69 – Silence as Acceptance: Silence by the offeree rarely amounts to acceptance, but in some limited circumstances and offeree’s silence may result in the formation of a contracts</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25 – Option Contracts: An option contract is a promise by the owner/offeror to hold an offer open and give another the exclusive right to buy property at a fixed price within a specified time, and such a promise is binding on the offeror only if it is supported by consideration given by the offeree or has some other recognized basis for enforcement</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42, 43 – Revocation of Offers: An offer is generally freely revocable and can be countermanded by the offeror at any time before it has been accepted by the offeree, and notice of revocation may be effective even if communicated indirectly</w:t>
      </w:r>
    </w:p>
    <w:p>
      <w:pPr>
        <w:pStyle w:val="Normal"/>
        <w:numPr>
          <w:ilvl w:val="0"/>
          <w:numId w:val="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Offer for a Unilateral Contract: Where an offeror is unwilling to accept a mere promise of future performance and instead proposed to be bound only if and when the offeree actually renders the requested performance, the offeree’s completed performance serves as both the consideration for the offeror’s promise and the acceptance of the offer</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Lonergan v. Scolnick: </w:t>
      </w:r>
      <w:r>
        <w:rPr>
          <w:rFonts w:ascii="Times New Roman" w:hAnsi="Times New Roman"/>
          <w:b w:val="false"/>
          <w:bCs w:val="false"/>
          <w:i w:val="false"/>
          <w:caps w:val="false"/>
          <w:smallCaps w:val="false"/>
          <w:color w:val="000000"/>
          <w:spacing w:val="0"/>
          <w:sz w:val="24"/>
          <w:szCs w:val="24"/>
        </w:rPr>
        <w:t>Sale of 40 acres in California. Letters describing the property and warning the plaintiff to decide fast did not rise to the level of a definite offer but were merely preliminary negotiations</w:t>
      </w:r>
    </w:p>
    <w:p>
      <w:pPr>
        <w:pStyle w:val="Normal"/>
        <w:numPr>
          <w:ilvl w:val="1"/>
          <w:numId w:val="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R2 § 26 – No Offer Without Further Manifestation of Mutual Assent</w:t>
      </w:r>
    </w:p>
    <w:p>
      <w:pPr>
        <w:pStyle w:val="Normal"/>
        <w:numPr>
          <w:ilvl w:val="0"/>
          <w:numId w:val="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Normile v. Miller: </w:t>
      </w:r>
      <w:r>
        <w:rPr>
          <w:rFonts w:ascii="Times New Roman" w:hAnsi="Times New Roman"/>
          <w:b w:val="false"/>
          <w:bCs w:val="false"/>
          <w:i w:val="false"/>
          <w:caps w:val="false"/>
          <w:smallCaps w:val="false"/>
          <w:color w:val="000000"/>
          <w:spacing w:val="0"/>
          <w:sz w:val="24"/>
          <w:szCs w:val="24"/>
        </w:rPr>
        <w:t>Sale of Property. Modified acceptance was a counter offer that terminated the buyer’s original offer</w:t>
      </w:r>
    </w:p>
    <w:p>
      <w:pPr>
        <w:pStyle w:val="Normal"/>
        <w:numPr>
          <w:ilvl w:val="1"/>
          <w:numId w:val="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R2 § 39 – A counter offer is an offer made by an offeree to his offeror proposing a substitited bargain differing from the original offer</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Terms</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Offer: Manifestation of willingness to enter into a bargain</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Preliminary Negotiations: A communication, such as an advertisement or a letter seeking interest, that merely invites the recipient to make an offer or continue negotiating</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Acceptance: An unequivocal and unqualified manifestation of assent by the offeree </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Counter Offer: An offer made by an offeree back to the original offeror </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Option Contract: A contract by which the owner of property agrees to give another the exclusive right to buy the property at a fixed prices within a specified time </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Revocation: Withdraw of an offer</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Unilateral Contract: A contract formed when an offeror proposes to be bound only upon the offeree’s actual performance, with that performance serving as both consideration and acceptance</w:t>
      </w:r>
    </w:p>
    <w:p>
      <w:pPr>
        <w:pStyle w:val="Normal"/>
        <w:numPr>
          <w:ilvl w:val="0"/>
          <w:numId w:val="1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Specific Performance: A court order compelling the breaching party to render the promised performance rather than monetary damages</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R2 §§ 24, 26, and 36</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1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24 – Offer Defined: Offer is a manifestation of willingness to enter into a bargain that justifies another person in understanding that their assent to the bargain is invited and will conclude</w:t>
      </w:r>
    </w:p>
    <w:p>
      <w:pPr>
        <w:pStyle w:val="Normal"/>
        <w:numPr>
          <w:ilvl w:val="0"/>
          <w:numId w:val="1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26 – Preliminary Negotiations: A manifestation of willingness to enter into a bargain is not an offer if the receiver knows of has reason to know that the sender does not intend to conclude a bargain without further assent</w:t>
      </w:r>
    </w:p>
    <w:p>
      <w:pPr>
        <w:pStyle w:val="Normal"/>
        <w:numPr>
          <w:ilvl w:val="0"/>
          <w:numId w:val="1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R2 § 36 – Methods of Termination of the Power of Acceptance: An offeree’s power of acceptance may be terminated by rejection, counter-offer, lapse of time, revocation by the offeror, or death or incapacity of either party</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CB pp. 52-66</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1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Substantial Performance Bars Revocation: When one party makes a promissory offer in a way that can be accepted by the rendition of the performance requested in exchange, the offeror is bound by a contract as soon as the offeree has rendered a substantial part of that requested performance</w:t>
      </w:r>
    </w:p>
    <w:p>
      <w:pPr>
        <w:pStyle w:val="Normal"/>
        <w:numPr>
          <w:ilvl w:val="0"/>
          <w:numId w:val="1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Restatement (Second) § 45 – Option Contract Created by Part Performance: When an offer invites acceptance by performance only and does not invite a promissory acceptance, the beginning of the invited performance creates an option contract in favor of the offeree, which the offeror cannot revoke </w:t>
      </w:r>
    </w:p>
    <w:p>
      <w:pPr>
        <w:pStyle w:val="Normal"/>
        <w:numPr>
          <w:ilvl w:val="0"/>
          <w:numId w:val="1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32 – Ambiguous Offers Permit Acceptance by Either Promise or Performance</w:t>
      </w:r>
    </w:p>
    <w:p>
      <w:pPr>
        <w:pStyle w:val="Normal"/>
        <w:numPr>
          <w:ilvl w:val="0"/>
          <w:numId w:val="1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Advertisements are Generally Not Offers</w:t>
      </w:r>
    </w:p>
    <w:p>
      <w:pPr>
        <w:pStyle w:val="Normal"/>
        <w:numPr>
          <w:ilvl w:val="0"/>
          <w:numId w:val="1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Reward/Coupon-Redemption Exception to the Advertisement Rule: Where a general publication calls for the performance or commencement of performance of specific acts in exchange for a reward (capture of a criminal, return of a lost article, winning a contest, redeeming coupons), </w:t>
      </w:r>
      <w:r>
        <w:rPr>
          <w:rFonts w:ascii="Times New Roman" w:hAnsi="Times New Roman"/>
          <w:b w:val="false"/>
          <w:bCs w:val="false"/>
          <w:i w:val="false"/>
          <w:caps w:val="false"/>
          <w:smallCaps w:val="false"/>
          <w:color w:val="000000"/>
          <w:spacing w:val="0"/>
          <w:sz w:val="24"/>
          <w:szCs w:val="24"/>
        </w:rPr>
        <w:t>such contracts are almost always unilateral</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13"/>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Cook v Coldwell Banker: Promised bonus was not paid because plaintiff was quitting the firm </w:t>
      </w:r>
    </w:p>
    <w:p>
      <w:pPr>
        <w:pStyle w:val="Normal"/>
        <w:numPr>
          <w:ilvl w:val="1"/>
          <w:numId w:val="13"/>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Substantial Performance Bars Revocation</w:t>
      </w:r>
    </w:p>
    <w:p>
      <w:pPr>
        <w:pStyle w:val="Normal"/>
        <w:numPr>
          <w:ilvl w:val="0"/>
          <w:numId w:val="13"/>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Sateriale v R.J. Reynolds Tobacco: Camel Cash was discontinued, C-Notes could not be cashed in </w:t>
      </w:r>
    </w:p>
    <w:p>
      <w:pPr>
        <w:pStyle w:val="Normal"/>
        <w:numPr>
          <w:ilvl w:val="1"/>
          <w:numId w:val="13"/>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Reward/Coupon Redemption Exception</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Unilateral Contract</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Bilateral Contract</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Option Contract</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Substantial Performance</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Mutuality of Obligation</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Advertisement as Non-Offer</w:t>
      </w:r>
    </w:p>
    <w:p>
      <w:pPr>
        <w:pStyle w:val="Normal"/>
        <w:numPr>
          <w:ilvl w:val="0"/>
          <w:numId w:val="1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Revocation</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R2 § 45, 25</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Rules </w:t>
      </w:r>
    </w:p>
    <w:p>
      <w:pPr>
        <w:pStyle w:val="Normal"/>
        <w:numPr>
          <w:ilvl w:val="0"/>
          <w:numId w:val="1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45 – Option Contracts Created by Part Performance: Where an offer invites acceptance only by rendering a performance, an option contract is created as soon as the offeree tenders or begins the invited performance or tenders a beginning of it</w:t>
      </w:r>
    </w:p>
    <w:p>
      <w:pPr>
        <w:pStyle w:val="Normal"/>
        <w:numPr>
          <w:ilvl w:val="0"/>
          <w:numId w:val="15"/>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Restatement (Second) § 25- Option Contracts: An option contract is a promise that itself meets the requirements for formation of a contract and that limits the promisor’s power to revoke an offer</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 xml:space="preserve">Izadi v. Machado Gus Ford </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16"/>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Objective Theory of Offer and Acceptance: The test of the true interpretation of an offer or acceptance is not what the party making it through it meant or intended it to mean, but what a reasonable person in the position of the parties would have thought it meant</w:t>
      </w:r>
    </w:p>
    <w:p>
      <w:pPr>
        <w:pStyle w:val="Normal"/>
        <w:numPr>
          <w:ilvl w:val="0"/>
          <w:numId w:val="16"/>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Implied Offer from Deliberately Misleading Advertisement: A binding offer may be implied from the fact that deliberately misleading advertising intentionally leads the reader to the conclusion that an offer exists </w:t>
      </w:r>
    </w:p>
    <w:p>
      <w:pPr>
        <w:pStyle w:val="Normal"/>
        <w:numPr>
          <w:ilvl w:val="0"/>
          <w:numId w:val="16"/>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Reliance Requirement for Recovery on a Misleading Advertisement Offer: A misrepresentation is not cause of a party’s making a contract unless he relied on the misrepresentation in manifesting his assent</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17"/>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Izadi v. Machado Gus Ford: Dealership refused to honor deal as interpreted by Izadi from a newspaper ad. An ad which is usually an invitation can be treated as binding offer when an objective reading of the ad conveys an unqualified promise and the advertiser’s arrangement of prominent vs fine print text supports a bait and switch</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Terms</w:t>
      </w:r>
    </w:p>
    <w:p>
      <w:pPr>
        <w:pStyle w:val="Normal"/>
        <w:numPr>
          <w:ilvl w:val="0"/>
          <w:numId w:val="1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Bait and Switch</w:t>
      </w:r>
    </w:p>
    <w:p>
      <w:pPr>
        <w:pStyle w:val="Normal"/>
        <w:numPr>
          <w:ilvl w:val="0"/>
          <w:numId w:val="1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Objective Theory of Contracts</w:t>
      </w:r>
    </w:p>
    <w:p>
      <w:pPr>
        <w:pStyle w:val="Normal"/>
        <w:numPr>
          <w:ilvl w:val="0"/>
          <w:numId w:val="1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Offer</w:t>
      </w:r>
    </w:p>
    <w:p>
      <w:pPr>
        <w:pStyle w:val="Normal"/>
        <w:numPr>
          <w:ilvl w:val="0"/>
          <w:numId w:val="18"/>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Misleading Advertising</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Harlow and Jones inc. v Advance Steel Co</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1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U.C.C. § 2-204(1), (2), (3) – Formation in General: A contract for the sale of goods may be made in any manner sufficient to show agreement, including conduct by both parties recognizing the existence of a contract</w:t>
      </w:r>
    </w:p>
    <w:p>
      <w:pPr>
        <w:pStyle w:val="Normal"/>
        <w:numPr>
          <w:ilvl w:val="0"/>
          <w:numId w:val="1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U.C.C. § 2-207(1) – Additional Terms in Acceptance or Confirmation: A definite and seasonable expression of acceptance sent within a reasonable time operates as an acceptance event </w:t>
      </w:r>
      <w:r>
        <w:rPr>
          <w:rFonts w:ascii="Times New Roman" w:hAnsi="Times New Roman"/>
          <w:b w:val="false"/>
          <w:bCs w:val="false"/>
          <w:i w:val="false"/>
          <w:caps w:val="false"/>
          <w:smallCaps w:val="false"/>
          <w:color w:val="000000"/>
          <w:spacing w:val="0"/>
          <w:sz w:val="24"/>
          <w:szCs w:val="24"/>
        </w:rPr>
        <w:t>t</w:t>
      </w:r>
      <w:r>
        <w:rPr>
          <w:rFonts w:ascii="Times New Roman" w:hAnsi="Times New Roman"/>
          <w:b w:val="false"/>
          <w:bCs w:val="false"/>
          <w:i w:val="false"/>
          <w:caps w:val="false"/>
          <w:smallCaps w:val="false"/>
          <w:color w:val="000000"/>
          <w:spacing w:val="0"/>
          <w:sz w:val="24"/>
          <w:szCs w:val="24"/>
        </w:rPr>
        <w:t xml:space="preserve">hough it </w:t>
      </w:r>
      <w:r>
        <w:rPr>
          <w:rFonts w:ascii="Times New Roman" w:hAnsi="Times New Roman"/>
          <w:b w:val="false"/>
          <w:bCs w:val="false"/>
          <w:i w:val="false"/>
          <w:caps w:val="false"/>
          <w:smallCaps w:val="false"/>
          <w:color w:val="000000"/>
          <w:spacing w:val="0"/>
          <w:sz w:val="24"/>
          <w:szCs w:val="24"/>
        </w:rPr>
        <w:t>states terms additional to or different from those offered or agreed upon</w:t>
      </w:r>
    </w:p>
    <w:p>
      <w:pPr>
        <w:pStyle w:val="Normal"/>
        <w:numPr>
          <w:ilvl w:val="0"/>
          <w:numId w:val="1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U.C.C. § 2-207(3) – Conduct Establishing Contract: Conduct by both parties which recognizes the existence of a contract is sufficient to establish a contract for sale although the writing of the parties do not otherwise establish a contract.</w:t>
      </w:r>
    </w:p>
    <w:p>
      <w:pPr>
        <w:pStyle w:val="Normal"/>
        <w:numPr>
          <w:ilvl w:val="0"/>
          <w:numId w:val="1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U.C.C. § 2-320 – CIF Term Defines a Shipment Contract: A CIF term renders the contract a shipment contract, requiring the seller at his own expense and risk to put the goods in the possession of a carrier at the port for shipment and obtain a negotiable bill of lading covering transportation to the destination</w:t>
      </w:r>
    </w:p>
    <w:p>
      <w:pPr>
        <w:pStyle w:val="Normal"/>
        <w:numPr>
          <w:ilvl w:val="0"/>
          <w:numId w:val="19"/>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U.C.C. § 2-504 – Shipment by Seller: Where the sellers is required or authorized to send goods to the buyer and the contract does not require delivery at a particular destination, the seller must put the goods with a reasonable carrier, obtain and promptly tender necessary documents, and notify the buyer of shipment</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2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Harlow and Jones inc. v. Advance Steel Co.: Concerns whether an oral contract for the sale of imported steel was formed and binding. </w:t>
      </w:r>
    </w:p>
    <w:p>
      <w:pPr>
        <w:pStyle w:val="Normal"/>
        <w:numPr>
          <w:ilvl w:val="1"/>
          <w:numId w:val="20"/>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 U.C.C. § 2-204, 2-207(3), 2-320, and 2-504</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Terms</w:t>
      </w:r>
    </w:p>
    <w:p>
      <w:pPr>
        <w:pStyle w:val="Normal"/>
        <w:numPr>
          <w:ilvl w:val="0"/>
          <w:numId w:val="2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CIF (Cost, Insurance, Freight): A term under which the seller, at its own expense and risk, must place goods in a carrier’s possession at the port of shipment, obtain a negotiable bill of lading covering transportation to the destination, and obtain a receipt showing freight paid </w:t>
      </w:r>
    </w:p>
    <w:p>
      <w:pPr>
        <w:pStyle w:val="Normal"/>
        <w:numPr>
          <w:ilvl w:val="0"/>
          <w:numId w:val="2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Shipment Contract: A contract under which the seller’s obligation is to make a proper agreement with a carrier for transportation</w:t>
      </w:r>
    </w:p>
    <w:p>
      <w:pPr>
        <w:pStyle w:val="Normal"/>
        <w:numPr>
          <w:ilvl w:val="0"/>
          <w:numId w:val="2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Confirmatory Memorandum: A written document exchanged by a party after an oral contract had already been formed</w:t>
      </w:r>
    </w:p>
    <w:p>
      <w:pPr>
        <w:pStyle w:val="Normal"/>
        <w:numPr>
          <w:ilvl w:val="0"/>
          <w:numId w:val="21"/>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Material Delay: A delay in shipment significant enough to justify a buyer’s rejection of goods under a shipment contract</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r>
    </w:p>
    <w:p>
      <w:pPr>
        <w:pStyle w:val="Normal"/>
        <w:bidi w:val="0"/>
        <w:jc w:val="left"/>
        <w:rPr>
          <w:rFonts w:ascii="Times New Roman" w:hAnsi="Times New Roman"/>
          <w:b/>
          <w:b/>
          <w:bCs/>
          <w:i w:val="false"/>
          <w:caps w:val="false"/>
          <w:smallCaps w:val="false"/>
          <w:color w:val="000000"/>
          <w:spacing w:val="0"/>
          <w:sz w:val="24"/>
          <w:szCs w:val="24"/>
        </w:rPr>
      </w:pPr>
      <w:r>
        <w:rPr>
          <w:rFonts w:ascii="Times New Roman" w:hAnsi="Times New Roman"/>
          <w:b/>
          <w:bCs/>
          <w:i w:val="false"/>
          <w:caps w:val="false"/>
          <w:smallCaps w:val="false"/>
          <w:color w:val="000000"/>
          <w:spacing w:val="0"/>
          <w:sz w:val="24"/>
          <w:szCs w:val="24"/>
        </w:rPr>
        <w:t>CB pp. 68-85 Walker</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Rules</w:t>
      </w:r>
    </w:p>
    <w:p>
      <w:pPr>
        <w:pStyle w:val="Normal"/>
        <w:numPr>
          <w:ilvl w:val="0"/>
          <w:numId w:val="2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 xml:space="preserve">Certainty Requirement: An agreement, to be binding, must be sufficiently definite to enable a court to give it an exact meaning </w:t>
      </w:r>
    </w:p>
    <w:p>
      <w:pPr>
        <w:pStyle w:val="Normal"/>
        <w:numPr>
          <w:ilvl w:val="0"/>
          <w:numId w:val="2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Agreement to Agree is Unenforceable: If an essential element of the deal is reserved for the future agreement of both parties, no legal obligation arises until that future agreement is reached</w:t>
      </w:r>
    </w:p>
    <w:p>
      <w:pPr>
        <w:pStyle w:val="Normal"/>
        <w:numPr>
          <w:ilvl w:val="0"/>
          <w:numId w:val="22"/>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Future Determination by Prescribed Method Is Enforceable: The terms of a lease renewal may be left for future determination by a prescribed method, such as future arbitration or appraisal, but merely leaving the terms for future ascertainment without providing a method for their determination renders the agreement unenforceable for uncertainty</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Cases</w:t>
      </w:r>
    </w:p>
    <w:p>
      <w:pPr>
        <w:pStyle w:val="Normal"/>
        <w:numPr>
          <w:ilvl w:val="0"/>
          <w:numId w:val="23"/>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Walker v Keith: A lease renewal option which left the rent to be actually agreed upon by the lessors and lessee based on vague comparative business conditions was unenforceable</w:t>
      </w:r>
    </w:p>
    <w:p>
      <w:pPr>
        <w:pStyle w:val="Normal"/>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Terms</w:t>
      </w:r>
    </w:p>
    <w:p>
      <w:pPr>
        <w:pStyle w:val="Normal"/>
        <w:numPr>
          <w:ilvl w:val="0"/>
          <w:numId w:val="2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Agreement to Agreement</w:t>
      </w:r>
    </w:p>
    <w:p>
      <w:pPr>
        <w:pStyle w:val="Normal"/>
        <w:numPr>
          <w:ilvl w:val="0"/>
          <w:numId w:val="2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One Price Term</w:t>
      </w:r>
    </w:p>
    <w:p>
      <w:pPr>
        <w:pStyle w:val="Normal"/>
        <w:numPr>
          <w:ilvl w:val="0"/>
          <w:numId w:val="2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Declaratory Judgment</w:t>
      </w:r>
    </w:p>
    <w:p>
      <w:pPr>
        <w:pStyle w:val="Normal"/>
        <w:numPr>
          <w:ilvl w:val="0"/>
          <w:numId w:val="24"/>
        </w:numPr>
        <w:bidi w:val="0"/>
        <w:jc w:val="left"/>
        <w:rPr>
          <w:rFonts w:ascii="Times New Roman" w:hAnsi="Times New Roman"/>
          <w:b w:val="false"/>
          <w:b w:val="false"/>
          <w:bCs w:val="false"/>
          <w:i w:val="false"/>
          <w:caps w:val="false"/>
          <w:smallCaps w:val="false"/>
          <w:color w:val="000000"/>
          <w:spacing w:val="0"/>
          <w:sz w:val="24"/>
          <w:szCs w:val="24"/>
        </w:rPr>
      </w:pPr>
      <w:r>
        <w:rPr>
          <w:rFonts w:ascii="Times New Roman" w:hAnsi="Times New Roman"/>
          <w:b w:val="false"/>
          <w:bCs w:val="false"/>
          <w:i w:val="false"/>
          <w:caps w:val="false"/>
          <w:smallCaps w:val="false"/>
          <w:color w:val="000000"/>
          <w:spacing w:val="0"/>
          <w:sz w:val="24"/>
          <w:szCs w:val="24"/>
        </w:rPr>
        <w:t>Statute of Frauds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720"/>
        </w:tabs>
        <w:ind w:left="720" w:hanging="360"/>
      </w:pPr>
      <w:rPr>
        <w:rFonts w:ascii="OpenSymbol" w:hAnsi="OpenSymbol" w:cs="OpenSymbol" w:hint="default"/>
      </w:rPr>
    </w:lvl>
    <w:lvl w:ilvl="2">
      <w:start w:val="1"/>
      <w:numFmt w:val="bullet"/>
      <w:lvlText w:val="▪"/>
      <w:lvlJc w:val="left"/>
      <w:pPr>
        <w:tabs>
          <w:tab w:val="num" w:pos="1080"/>
        </w:tabs>
        <w:ind w:left="1080" w:hanging="360"/>
      </w:pPr>
      <w:rPr>
        <w:rFonts w:ascii="OpenSymbol" w:hAnsi="OpenSymbol" w:cs="OpenSymbol"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OpenSymbol" w:hAnsi="OpenSymbol" w:cs="OpenSymbol" w:hint="default"/>
      </w:rPr>
    </w:lvl>
    <w:lvl w:ilvl="5">
      <w:start w:val="1"/>
      <w:numFmt w:val="bullet"/>
      <w:lvlText w:val="▪"/>
      <w:lvlJc w:val="left"/>
      <w:pPr>
        <w:tabs>
          <w:tab w:val="num" w:pos="2160"/>
        </w:tabs>
        <w:ind w:left="2160" w:hanging="360"/>
      </w:pPr>
      <w:rPr>
        <w:rFonts w:ascii="OpenSymbol" w:hAnsi="OpenSymbol" w:cs="OpenSymbol" w:hint="default"/>
      </w:rPr>
    </w:lvl>
    <w:lvl w:ilvl="6">
      <w:start w:val="1"/>
      <w:numFmt w:val="bullet"/>
      <w:lvlText w:val=""/>
      <w:lvlJc w:val="left"/>
      <w:pPr>
        <w:tabs>
          <w:tab w:val="num" w:pos="2520"/>
        </w:tabs>
        <w:ind w:left="2520" w:hanging="360"/>
      </w:pPr>
      <w:rPr>
        <w:rFonts w:ascii="Symbol" w:hAnsi="Symbol" w:cs="Symbol" w:hint="default"/>
      </w:rPr>
    </w:lvl>
    <w:lvl w:ilvl="7">
      <w:start w:val="1"/>
      <w:numFmt w:val="bullet"/>
      <w:lvlText w:val="◦"/>
      <w:lvlJc w:val="left"/>
      <w:pPr>
        <w:tabs>
          <w:tab w:val="num" w:pos="2880"/>
        </w:tabs>
        <w:ind w:left="2880" w:hanging="360"/>
      </w:pPr>
      <w:rPr>
        <w:rFonts w:ascii="OpenSymbol" w:hAnsi="OpenSymbol" w:cs="OpenSymbol" w:hint="default"/>
      </w:rPr>
    </w:lvl>
    <w:lvl w:ilvl="8">
      <w:start w:val="1"/>
      <w:numFmt w:val="bullet"/>
      <w:lvlText w:val="▪"/>
      <w:lvlJc w:val="left"/>
      <w:pPr>
        <w:tabs>
          <w:tab w:val="num" w:pos="3240"/>
        </w:tabs>
        <w:ind w:left="324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27">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28">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29">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30">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31">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32">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 w:numId="33">
    <w:abstractNumId w:val="1"/>
    <w:lvlOverride w:ilvl="0">
      <w:lvl w:ilvl="0">
        <w:start w:val="1"/>
        <w:numFmt w:val="bullet"/>
        <w:lvlText w:val=""/>
        <w:lvlJc w:val="left"/>
        <w:pPr>
          <w:tabs>
            <w:tab w:val="num" w:pos="360"/>
          </w:tabs>
          <w:ind w:left="360" w:hanging="360"/>
        </w:pPr>
        <w:rPr>
          <w:rFonts w:ascii="Symbol" w:hAnsi="Symbol" w:cs="Symbol" w:hint="default"/>
        </w:rPr>
      </w:lvl>
    </w:lvlOverride>
    <w:lvlOverride w:ilvl="0"/>
    <w:lvlOverride w:ilvl="1">
      <w:lvl w:ilvl="1">
        <w:start w:val="1"/>
        <w:numFmt w:val="bullet"/>
        <w:lvlText w:val="◦"/>
        <w:lvlJc w:val="left"/>
        <w:pPr>
          <w:tabs>
            <w:tab w:val="num" w:pos="720"/>
          </w:tabs>
          <w:ind w:left="720" w:hanging="360"/>
        </w:pPr>
        <w:rPr>
          <w:rFonts w:ascii="OpenSymbol" w:hAnsi="OpenSymbol" w:cs="OpenSymbol" w:hint="default"/>
        </w:rPr>
      </w:lvl>
    </w:lvlOverride>
    <w:lvlOverride w:ilvl="1"/>
    <w:lvlOverride w:ilvl="2">
      <w:lvl w:ilvl="2">
        <w:start w:val="1"/>
        <w:numFmt w:val="bullet"/>
        <w:lvlText w:val="▪"/>
        <w:lvlJc w:val="left"/>
        <w:pPr>
          <w:tabs>
            <w:tab w:val="num" w:pos="1080"/>
          </w:tabs>
          <w:ind w:left="1080" w:hanging="360"/>
        </w:pPr>
        <w:rPr>
          <w:rFonts w:ascii="OpenSymbol" w:hAnsi="OpenSymbol" w:cs="OpenSymbol" w:hint="default"/>
        </w:rPr>
      </w:lvl>
    </w:lvlOverride>
    <w:lvlOverride w:ilvl="2"/>
    <w:lvlOverride w:ilvl="3">
      <w:lvl w:ilvl="3">
        <w:start w:val="1"/>
        <w:numFmt w:val="bullet"/>
        <w:lvlText w:val=""/>
        <w:lvlJc w:val="left"/>
        <w:pPr>
          <w:tabs>
            <w:tab w:val="num" w:pos="1440"/>
          </w:tabs>
          <w:ind w:left="1440" w:hanging="360"/>
        </w:pPr>
        <w:rPr>
          <w:rFonts w:ascii="Symbol" w:hAnsi="Symbol" w:cs="Symbol" w:hint="default"/>
        </w:rPr>
      </w:lvl>
    </w:lvlOverride>
    <w:lvlOverride w:ilvl="3"/>
    <w:lvlOverride w:ilvl="4">
      <w:lvl w:ilvl="4">
        <w:start w:val="1"/>
        <w:numFmt w:val="bullet"/>
        <w:lvlText w:val="◦"/>
        <w:lvlJc w:val="left"/>
        <w:pPr>
          <w:tabs>
            <w:tab w:val="num" w:pos="1800"/>
          </w:tabs>
          <w:ind w:left="1800" w:hanging="360"/>
        </w:pPr>
        <w:rPr>
          <w:rFonts w:ascii="OpenSymbol" w:hAnsi="OpenSymbol" w:cs="OpenSymbol" w:hint="default"/>
        </w:rPr>
      </w:lvl>
    </w:lvlOverride>
    <w:lvlOverride w:ilvl="4"/>
    <w:lvlOverride w:ilvl="5">
      <w:lvl w:ilvl="5">
        <w:start w:val="1"/>
        <w:numFmt w:val="bullet"/>
        <w:lvlText w:val="▪"/>
        <w:lvlJc w:val="left"/>
        <w:pPr>
          <w:tabs>
            <w:tab w:val="num" w:pos="2160"/>
          </w:tabs>
          <w:ind w:left="2160" w:hanging="360"/>
        </w:pPr>
        <w:rPr>
          <w:rFonts w:ascii="OpenSymbol" w:hAnsi="OpenSymbol" w:cs="OpenSymbol" w:hint="default"/>
        </w:rPr>
      </w:lvl>
    </w:lvlOverride>
    <w:lvlOverride w:ilvl="5"/>
    <w:lvlOverride w:ilvl="6">
      <w:lvl w:ilvl="6">
        <w:start w:val="1"/>
        <w:numFmt w:val="bullet"/>
        <w:lvlText w:val=""/>
        <w:lvlJc w:val="left"/>
        <w:pPr>
          <w:tabs>
            <w:tab w:val="num" w:pos="2520"/>
          </w:tabs>
          <w:ind w:left="2520" w:hanging="360"/>
        </w:pPr>
        <w:rPr>
          <w:rFonts w:ascii="Symbol" w:hAnsi="Symbol" w:cs="Symbol" w:hint="default"/>
        </w:rPr>
      </w:lvl>
    </w:lvlOverride>
    <w:lvlOverride w:ilvl="6"/>
    <w:lvlOverride w:ilvl="7">
      <w:lvl w:ilvl="7">
        <w:start w:val="1"/>
        <w:numFmt w:val="bullet"/>
        <w:lvlText w:val="◦"/>
        <w:lvlJc w:val="left"/>
        <w:pPr>
          <w:tabs>
            <w:tab w:val="num" w:pos="2880"/>
          </w:tabs>
          <w:ind w:left="2880" w:hanging="360"/>
        </w:pPr>
        <w:rPr>
          <w:rFonts w:ascii="OpenSymbol" w:hAnsi="OpenSymbol" w:cs="OpenSymbol" w:hint="default"/>
        </w:rPr>
      </w:lvl>
    </w:lvlOverride>
    <w:lvlOverride w:ilvl="7"/>
    <w:lvlOverride w:ilvl="8">
      <w:lvl w:ilvl="8">
        <w:start w:val="1"/>
        <w:numFmt w:val="bullet"/>
        <w:lvlText w:val="▪"/>
        <w:lvlJc w:val="left"/>
        <w:pPr>
          <w:tabs>
            <w:tab w:val="num" w:pos="3240"/>
          </w:tabs>
          <w:ind w:left="3240" w:hanging="360"/>
        </w:pPr>
        <w:rPr>
          <w:rFonts w:ascii="OpenSymbol" w:hAnsi="OpenSymbol" w:cs="OpenSymbol" w:hint="default"/>
        </w:rPr>
      </w:lvl>
    </w:lvlOverride>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67</TotalTime>
  <Application>LibreOffice/7.3.7.2$Linux_X86_64 LibreOffice_project/30$Build-2</Application>
  <AppVersion>15.0000</AppVersion>
  <Pages>6</Pages>
  <Words>2658</Words>
  <Characters>13399</Characters>
  <CharactersWithSpaces>15874</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2026-10-01T15:17:12Z</dcterms:created>
  <dc:creator/>
  <dc:description/>
  <dc:language>en-US</dc:language>
  <cp:lastModifiedBy/>
  <dcterms:modified xsi:type="dcterms:W3CDTF">2026-10-01T20:13:20Z</dcterms:modified>
  <cp:revision>7</cp:revision>
  <dc:subject/>
  <dc:title/>
</cp:coreProperties>
</file>