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5" w:type="dxa"/>
        <w:tblLayout w:type="fixed"/>
        <w:tblCellMar>
          <w:top w:w="55" w:type="dxa"/>
          <w:left w:w="55" w:type="dxa"/>
          <w:bottom w:w="55" w:type="dxa"/>
          <w:right w:w="55" w:type="dxa"/>
        </w:tblCellMar>
      </w:tblPr>
      <w:tblGrid>
        <w:gridCol w:w="3056"/>
        <w:gridCol w:w="1182"/>
        <w:gridCol w:w="971"/>
        <w:gridCol w:w="2382"/>
        <w:gridCol w:w="2381"/>
      </w:tblGrid>
      <w:tr>
        <w:trPr/>
        <w:tc>
          <w:tcPr>
            <w:tcW w:w="3056"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Quote</w:t>
            </w:r>
          </w:p>
        </w:tc>
        <w:tc>
          <w:tcPr>
            <w:tcW w:w="1182"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 xml:space="preserve">Paragraph </w:t>
            </w:r>
          </w:p>
        </w:tc>
        <w:tc>
          <w:tcPr>
            <w:tcW w:w="971"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 xml:space="preserve">Action </w:t>
            </w:r>
          </w:p>
        </w:tc>
        <w:tc>
          <w:tcPr>
            <w:tcW w:w="2382"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Reasoning</w:t>
            </w:r>
          </w:p>
        </w:tc>
        <w:tc>
          <w:tcPr>
            <w:tcW w:w="2381"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"Seller guarantees delivery of the Goods”</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2(a)</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Counter</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We want a firm delivery date and we're committing to one. But the chip manufacturers set GPU production and allocation, not any reseller. As drafted, the clause says both "guarantees" and "estimate only," so neither side can tell what it means. Instead we propose a clear commitment: commercially reasonable efforts to deliver by February 1, 2027, a firm Outside Date of March 3, 2027</w:t>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t>“</w:t>
            </w:r>
            <w:r>
              <w:rPr>
                <w:rFonts w:ascii="Times New Roman" w:hAnsi="Times New Roman"/>
              </w:rPr>
              <w:t>Seller shall use commercially reasonable efforts to deliver the Goods on or before February 1, 2027, and shall in any event deliver the Goods no later than March 3, 2027 (the "Outside Date"). Seller shall notify Buyer in writing within five (5) business days after becoming aware of any anticipated delay. Seller shall be responsible for the transportation of the Goods to the Delivery Location.”</w:t>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"Seller shall be responsible for the transportation of the goods to the delivery point." /</w:t>
            </w:r>
          </w:p>
          <w:p>
            <w:pPr>
              <w:pStyle w:val="TableContents"/>
              <w:bidi w:val="0"/>
              <w:jc w:val="left"/>
              <w:rPr>
                <w:rFonts w:ascii="Times New Roman" w:hAnsi="Times New Roman"/>
              </w:rPr>
            </w:pPr>
            <w:r>
              <w:rPr>
                <w:rFonts w:ascii="Times New Roman" w:hAnsi="Times New Roman"/>
              </w:rPr>
              <w:t>DELETED: "Seller shall not be liable for or in respect of any delay in delivery or loss or damage of</w:t>
            </w:r>
          </w:p>
          <w:p>
            <w:pPr>
              <w:pStyle w:val="TableContents"/>
              <w:bidi w:val="0"/>
              <w:jc w:val="left"/>
              <w:rPr>
                <w:rFonts w:ascii="Times New Roman" w:hAnsi="Times New Roman"/>
              </w:rPr>
            </w:pPr>
            <w:r>
              <w:rPr>
                <w:rFonts w:ascii="Times New Roman" w:hAnsi="Times New Roman"/>
              </w:rPr>
              <w:t>the Goods in transit."</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2(a)</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Accept</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Change delivery point to Delivery Location to reflect the terminology in 2b</w:t>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w:t>
            </w:r>
            <w:r>
              <w:rPr>
                <w:rFonts w:ascii="Times New Roman" w:hAnsi="Times New Roman"/>
              </w:rPr>
              <w:t>commercially reasonable and appropriate methods for packaging and shipping such goods, as applicable, properly insured and via a reputable, nationally recognized common carrier.”</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2(b)</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Accept</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Commercially reasonable is a standard that is easily met</w:t>
            </w:r>
          </w:p>
          <w:p>
            <w:pPr>
              <w:pStyle w:val="TableContents"/>
              <w:bidi w:val="0"/>
              <w:jc w:val="left"/>
              <w:rPr>
                <w:rFonts w:ascii="Times New Roman" w:hAnsi="Times New Roman"/>
              </w:rPr>
            </w:pPr>
            <w:r>
              <w:rPr>
                <w:rFonts w:ascii="Times New Roman" w:hAnsi="Times New Roman"/>
              </w:rPr>
            </w:r>
          </w:p>
          <w:p>
            <w:pPr>
              <w:pStyle w:val="TableContents"/>
              <w:bidi w:val="0"/>
              <w:jc w:val="left"/>
              <w:rPr>
                <w:rFonts w:ascii="Times New Roman" w:hAnsi="Times New Roman"/>
              </w:rPr>
            </w:pPr>
            <w:r>
              <w:rPr>
                <w:rFonts w:ascii="Times New Roman" w:hAnsi="Times New Roman"/>
              </w:rPr>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b w:val="false"/>
                <w:i w:val="false"/>
                <w:caps w:val="false"/>
                <w:smallCaps w:val="false"/>
                <w:color w:val="000000"/>
                <w:spacing w:val="0"/>
                <w:sz w:val="24"/>
                <w:szCs w:val="24"/>
              </w:rPr>
              <w:t>The methods selected shall be consistent with the methods used by a reasonable and prudent operator.”</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2(b)</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Remove</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Redundant because 2(b) already requires “commercially responsible and appropriate methods”</w:t>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w:t>
            </w:r>
            <w:r>
              <w:rPr>
                <w:rFonts w:ascii="Times New Roman" w:hAnsi="Times New Roman"/>
              </w:rPr>
              <w:t>As used herein, reasonable and prudent operator means a person or entity seeking in good faith to perform its contractual obligation and in doing so and in the general conduct of its undertaking.”</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2(b)</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Remove</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It defines what is being removed</w:t>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rFonts w:ascii="Times New Roman" w:hAnsi="Times New Roman"/>
                <w:color w:val="000000"/>
                <w:sz w:val="24"/>
                <w:szCs w:val="24"/>
              </w:rPr>
              <w:t>“</w:t>
            </w:r>
            <w:r>
              <w:rPr>
                <w:rStyle w:val="Ins"/>
                <w:rFonts w:ascii="Times New Roman" w:hAnsi="Times New Roman"/>
                <w:b w:val="false"/>
                <w:i w:val="false"/>
                <w:caps w:val="false"/>
                <w:smallCaps w:val="false"/>
                <w:strike w:val="false"/>
                <w:dstrike w:val="false"/>
                <w:color w:val="000000"/>
                <w:spacing w:val="0"/>
                <w:sz w:val="24"/>
                <w:szCs w:val="24"/>
                <w:u w:val="none"/>
                <w:effect w:val="none"/>
              </w:rPr>
              <w:t>Exercising that degree of skill, diligence, prudence and foresight which could be reasonably and ordinary be expected from a skilled and experienced operator, complying with all applicable laws and approvals of governmental authorities engaged in the same type of undertaking under the same or similar circumstances and conditions.”</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2(b)</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Remove</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 xml:space="preserve">We've already agreed in 2(b) to ship by commercially reasonable methods, insured, with a reputable nationally recognized carrier. That's the standard for sales of goods, and it covers what this sentence is aiming at. </w:t>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w:t>
            </w:r>
            <w:r>
              <w:rPr>
                <w:rFonts w:ascii="Times New Roman" w:hAnsi="Times New Roman"/>
              </w:rPr>
              <w:t>with Buyer’s prior written consent”</w:t>
            </w:r>
          </w:p>
        </w:tc>
        <w:tc>
          <w:tcPr>
            <w:tcW w:w="11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2(c)</w:t>
            </w:r>
          </w:p>
        </w:tc>
        <w:tc>
          <w:tcPr>
            <w:tcW w:w="971"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Counter</w:t>
            </w:r>
          </w:p>
        </w:tc>
        <w:tc>
          <w:tcPr>
            <w:tcW w:w="2382" w:type="dxa"/>
            <w:tcBorders>
              <w:left w:val="single" w:sz="4" w:space="0" w:color="000000"/>
              <w:bottom w:val="single" w:sz="4" w:space="0" w:color="000000"/>
            </w:tcBorders>
          </w:tcPr>
          <w:p>
            <w:pPr>
              <w:pStyle w:val="TableContents"/>
              <w:bidi w:val="0"/>
              <w:jc w:val="left"/>
              <w:rPr>
                <w:rFonts w:ascii="Times New Roman" w:hAnsi="Times New Roman"/>
              </w:rPr>
            </w:pPr>
            <w:r>
              <w:rPr>
                <w:rFonts w:ascii="Times New Roman" w:hAnsi="Times New Roman"/>
              </w:rPr>
              <w:t>P</w:t>
            </w:r>
            <w:r>
              <w:rPr>
                <w:rFonts w:ascii="Times New Roman" w:hAnsi="Times New Roman"/>
              </w:rPr>
              <w:t xml:space="preserve">artial deliveries help you. With 80,000 GPUs, shipping in batches as supply comes in means you can start installing and earning from the first units weeks earlier, instead of waiting for the whole order. Requiring your consent for each shipment slows that down and could hold finished goods in a warehouse. </w:t>
            </w:r>
          </w:p>
        </w:tc>
        <w:tc>
          <w:tcPr>
            <w:tcW w:w="2381"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rPr>
            </w:pPr>
            <w:r>
              <w:rPr>
                <w:rFonts w:ascii="Times New Roman" w:hAnsi="Times New Roman"/>
              </w:rPr>
              <w:t>“</w:t>
            </w:r>
            <w:r>
              <w:rPr>
                <w:rFonts w:ascii="Times New Roman" w:hAnsi="Times New Roman"/>
              </w:rPr>
              <w:t>Seller may tender delivery of Goods to Buyer in partial fulfillment of the quantity purchased under this Agreement upon at least three (3) business days' prior written notice to Buyer, and no partial delivery shall extend the final delivery date.”</w:t>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b w:val="false"/>
                <w:i w:val="false"/>
                <w:caps w:val="false"/>
                <w:smallCaps w:val="false"/>
                <w:color w:val="000000"/>
                <w:spacing w:val="0"/>
                <w:sz w:val="24"/>
                <w:szCs w:val="24"/>
              </w:rPr>
              <w:t>and no partial delivery shall extend the final delivery date.”</w:t>
            </w:r>
          </w:p>
        </w:tc>
        <w:tc>
          <w:tcPr>
            <w:tcW w:w="1182" w:type="dxa"/>
            <w:tcBorders>
              <w:left w:val="single" w:sz="4" w:space="0" w:color="000000"/>
              <w:bottom w:val="single" w:sz="4" w:space="0" w:color="000000"/>
            </w:tcBorders>
          </w:tcPr>
          <w:p>
            <w:pPr>
              <w:pStyle w:val="TableContents"/>
              <w:bidi w:val="0"/>
              <w:jc w:val="left"/>
              <w:rPr/>
            </w:pPr>
            <w:r>
              <w:rPr/>
              <w:t>2(c)</w:t>
            </w:r>
          </w:p>
        </w:tc>
        <w:tc>
          <w:tcPr>
            <w:tcW w:w="971" w:type="dxa"/>
            <w:tcBorders>
              <w:left w:val="single" w:sz="4" w:space="0" w:color="000000"/>
              <w:bottom w:val="single" w:sz="4" w:space="0" w:color="000000"/>
            </w:tcBorders>
          </w:tcPr>
          <w:p>
            <w:pPr>
              <w:pStyle w:val="TableContents"/>
              <w:bidi w:val="0"/>
              <w:jc w:val="left"/>
              <w:rPr/>
            </w:pPr>
            <w:r>
              <w:rPr/>
              <w:t>Accept</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Batch shipments are there so you get product sooner, not to give us extra time.</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only for conforming goods actually delivered to and accepted by, Buyer”</w:t>
            </w:r>
          </w:p>
        </w:tc>
        <w:tc>
          <w:tcPr>
            <w:tcW w:w="1182" w:type="dxa"/>
            <w:tcBorders>
              <w:left w:val="single" w:sz="4" w:space="0" w:color="000000"/>
              <w:bottom w:val="single" w:sz="4" w:space="0" w:color="000000"/>
            </w:tcBorders>
          </w:tcPr>
          <w:p>
            <w:pPr>
              <w:pStyle w:val="TableContents"/>
              <w:bidi w:val="0"/>
              <w:jc w:val="left"/>
              <w:rPr/>
            </w:pPr>
            <w:r>
              <w:rPr/>
              <w:t>2(c)</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bidi w:val="0"/>
              <w:jc w:val="left"/>
              <w:rPr/>
            </w:pPr>
            <w:r>
              <w:rPr/>
              <w:t xml:space="preserve">We agree that you should not pay for goods that don’t conform. However section 6 already covers this, allowing you to inspect and reject anything nonconforming and we will replace it or credit it. The problem is tying payment to 'accepted by Buyer,' because acceptance has no clear point in time and payment could stay open indefinitely. We'd rather tie payment to delivery and subtract a credit for anything rejected under Section 6. </w:t>
            </w:r>
          </w:p>
        </w:tc>
        <w:tc>
          <w:tcPr>
            <w:tcW w:w="2381" w:type="dxa"/>
            <w:tcBorders>
              <w:left w:val="single" w:sz="4" w:space="0" w:color="000000"/>
              <w:bottom w:val="single" w:sz="4" w:space="0" w:color="000000"/>
              <w:right w:val="single" w:sz="4" w:space="0" w:color="000000"/>
            </w:tcBorders>
          </w:tcPr>
          <w:p>
            <w:pPr>
              <w:pStyle w:val="TableContents"/>
              <w:bidi w:val="0"/>
              <w:jc w:val="left"/>
              <w:rPr/>
            </w:pPr>
            <w:r>
              <w:rPr/>
              <w:t>“</w:t>
            </w:r>
            <w:r>
              <w:rPr/>
              <w:t>Buyer shall pay, in accordance with Section 8 hereof, for all Goods delivered, whether in whole or partial fulfillment of the quantity purchased hereunder, less any credit issued for Nonconforming Goods rejected in accordance with Section 6.”</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rFonts w:ascii="Times New Roman" w:hAnsi="Times New Roman"/>
                <w:color w:val="000000"/>
                <w:sz w:val="24"/>
                <w:szCs w:val="24"/>
              </w:rPr>
              <w:t>“</w:t>
            </w:r>
            <w:r>
              <w:rPr>
                <w:rStyle w:val="Ins"/>
                <w:rFonts w:ascii="Times New Roman" w:hAnsi="Times New Roman"/>
                <w:b w:val="false"/>
                <w:i w:val="false"/>
                <w:caps w:val="false"/>
                <w:smallCaps w:val="false"/>
                <w:strike w:val="false"/>
                <w:dstrike w:val="false"/>
                <w:color w:val="000000"/>
                <w:spacing w:val="0"/>
                <w:sz w:val="24"/>
                <w:szCs w:val="24"/>
                <w:u w:val="none"/>
                <w:effect w:val="none"/>
              </w:rPr>
              <w:t>If Buyer’s material, uncured breach prevents delivery by the Delivery Date”</w:t>
            </w:r>
          </w:p>
        </w:tc>
        <w:tc>
          <w:tcPr>
            <w:tcW w:w="1182" w:type="dxa"/>
            <w:tcBorders>
              <w:left w:val="single" w:sz="4" w:space="0" w:color="000000"/>
              <w:bottom w:val="single" w:sz="4" w:space="0" w:color="000000"/>
            </w:tcBorders>
          </w:tcPr>
          <w:p>
            <w:pPr>
              <w:pStyle w:val="TableContents"/>
              <w:bidi w:val="0"/>
              <w:jc w:val="left"/>
              <w:rPr/>
            </w:pPr>
            <w:r>
              <w:rPr/>
              <w:t>2(d)</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 xml:space="preserve">This clause is for a simple situation: the goods reach your dock and can't be handed over. That might be because receiving isn't ready or paperwork is missing. It isn't about who breached the contract. </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If Buyer fails to take delivery of any of the Goods by the Delivery Date for any reason other than Seller's breach of this Agreement or a Force Majeure Event affecting Seller, or if Seller is unable to deliver the Goods at the Delivery Location owing to any act or omission of Buyer or its representatives”</w:t>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b w:val="false"/>
                <w:i w:val="false"/>
                <w:caps w:val="false"/>
                <w:smallCaps w:val="false"/>
                <w:color w:val="000000"/>
                <w:spacing w:val="0"/>
                <w:sz w:val="24"/>
                <w:szCs w:val="24"/>
              </w:rPr>
              <w:t>Seller shall act as a reasonable and prudent operator to preserve the goods.”</w:t>
            </w:r>
          </w:p>
        </w:tc>
        <w:tc>
          <w:tcPr>
            <w:tcW w:w="1182" w:type="dxa"/>
            <w:tcBorders>
              <w:left w:val="single" w:sz="4" w:space="0" w:color="000000"/>
              <w:bottom w:val="single" w:sz="4" w:space="0" w:color="000000"/>
            </w:tcBorders>
          </w:tcPr>
          <w:p>
            <w:pPr>
              <w:pStyle w:val="TableContents"/>
              <w:bidi w:val="0"/>
              <w:jc w:val="left"/>
              <w:rPr/>
            </w:pPr>
            <w:r>
              <w:rPr/>
              <w:t>2(d)</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We’re only</w:t>
            </w:r>
            <w:r>
              <w:rPr/>
              <w:t xml:space="preserve"> </w:t>
            </w:r>
            <w:r>
              <w:rPr/>
              <w:t>changing</w:t>
            </w:r>
            <w:r>
              <w:rPr/>
              <w:t xml:space="preserve"> the standard to match the one we agreed on in 2(b). 'Reasonable and prudent operator' is no longer defined anywhere in the contract, so it would be unclear what it means here.</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Seller shall use commercially reasonable care to preserve the Goods while in storage.”</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In the event the seller fails to deliver any goods at such time and as required by this agreement,</w:t>
            </w:r>
          </w:p>
          <w:p>
            <w:pPr>
              <w:pStyle w:val="TableContents"/>
              <w:widowControl w:val="false"/>
              <w:suppressLineNumbers/>
              <w:bidi w:val="0"/>
              <w:jc w:val="left"/>
              <w:rPr/>
            </w:pPr>
            <w:r>
              <w:rPr/>
              <w:t xml:space="preserve">  </w:t>
            </w:r>
            <w:r>
              <w:rPr/>
              <w:t>seller shall be liable to buyer’s actual damages as a result thereof including loss of profits and</w:t>
            </w:r>
          </w:p>
          <w:p>
            <w:pPr>
              <w:pStyle w:val="TableContents"/>
              <w:widowControl w:val="false"/>
              <w:suppressLineNumbers/>
              <w:bidi w:val="0"/>
              <w:jc w:val="left"/>
              <w:rPr/>
            </w:pPr>
            <w:r>
              <w:rPr/>
              <w:t xml:space="preserve">  </w:t>
            </w:r>
            <w:r>
              <w:rPr/>
              <w:t>consequential damages.”</w:t>
            </w:r>
          </w:p>
        </w:tc>
        <w:tc>
          <w:tcPr>
            <w:tcW w:w="1182" w:type="dxa"/>
            <w:tcBorders>
              <w:left w:val="single" w:sz="4" w:space="0" w:color="000000"/>
              <w:bottom w:val="single" w:sz="4" w:space="0" w:color="000000"/>
            </w:tcBorders>
          </w:tcPr>
          <w:p>
            <w:pPr>
              <w:pStyle w:val="TableContents"/>
              <w:bidi w:val="0"/>
              <w:jc w:val="left"/>
              <w:rPr/>
            </w:pPr>
            <w:r>
              <w:rPr/>
              <w:t>3</w:t>
            </w:r>
          </w:p>
        </w:tc>
        <w:tc>
          <w:tcPr>
            <w:tcW w:w="971" w:type="dxa"/>
            <w:tcBorders>
              <w:left w:val="single" w:sz="4" w:space="0" w:color="000000"/>
              <w:bottom w:val="single" w:sz="4" w:space="0" w:color="000000"/>
            </w:tcBorders>
          </w:tcPr>
          <w:p>
            <w:pPr>
              <w:pStyle w:val="TableContents"/>
              <w:bidi w:val="0"/>
              <w:jc w:val="left"/>
              <w:rPr/>
            </w:pPr>
            <w:r>
              <w:rPr/>
              <w:t>Reject</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We</w:t>
            </w:r>
            <w:r>
              <w:rPr/>
              <w:t xml:space="preserve"> want you to have a real remedy </w:t>
            </w:r>
            <w:r>
              <w:rPr/>
              <w:t>for lost products</w:t>
            </w:r>
            <w:r>
              <w:rPr/>
              <w:t xml:space="preserve">. But we can't accept unlimited liability for lost profits and consequential damages on a supply contract. Those depend on your downstream customer contracts, pricing and utilization, which we can't </w:t>
            </w:r>
            <w:r>
              <w:rPr/>
              <w:t xml:space="preserve">control. </w:t>
            </w:r>
            <w:r>
              <w:rPr/>
              <w:t xml:space="preserve">No hardware supplier </w:t>
            </w:r>
            <w:r>
              <w:rPr/>
              <w:t>would accept</w:t>
            </w:r>
            <w:r>
              <w:rPr/>
              <w:t xml:space="preserve"> that exposure, and if we did, we'd have to build it into the unit price. This also conflicts with your own draft of 11(a), which excludes lost profits and consequential damages for both parties.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b w:val="false"/>
                <w:i w:val="false"/>
                <w:caps w:val="false"/>
                <w:smallCaps w:val="false"/>
                <w:color w:val="000000"/>
                <w:spacing w:val="0"/>
                <w:sz w:val="24"/>
                <w:szCs w:val="24"/>
              </w:rPr>
              <w:t>Seller shall deliver the quantities of Goods set forth on Exhibit A.”</w:t>
            </w:r>
          </w:p>
        </w:tc>
        <w:tc>
          <w:tcPr>
            <w:tcW w:w="1182" w:type="dxa"/>
            <w:tcBorders>
              <w:left w:val="single" w:sz="4" w:space="0" w:color="000000"/>
              <w:bottom w:val="single" w:sz="4" w:space="0" w:color="000000"/>
            </w:tcBorders>
          </w:tcPr>
          <w:p>
            <w:pPr>
              <w:pStyle w:val="TableContents"/>
              <w:bidi w:val="0"/>
              <w:jc w:val="left"/>
              <w:rPr/>
            </w:pPr>
            <w:r>
              <w:rPr/>
              <w:t>4</w:t>
            </w:r>
          </w:p>
        </w:tc>
        <w:tc>
          <w:tcPr>
            <w:tcW w:w="971" w:type="dxa"/>
            <w:tcBorders>
              <w:left w:val="single" w:sz="4" w:space="0" w:color="000000"/>
              <w:bottom w:val="single" w:sz="4" w:space="0" w:color="000000"/>
            </w:tcBorders>
          </w:tcPr>
          <w:p>
            <w:pPr>
              <w:pStyle w:val="TableContents"/>
              <w:bidi w:val="0"/>
              <w:jc w:val="left"/>
              <w:rPr/>
            </w:pPr>
            <w:r>
              <w:rPr/>
              <w:t>Accept with change</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"Agreed. We're committing to deliver the Exhibit A quantities. The only thing we ask is a small tolerance, which is standard in hardware supply. Manufacturers release GPUs in allocation lots, and they rarely come to exactly 10,000 or 35,000 units. A small band lets us close out an order with whole lots instead of holding back a partial one, which would delay your final units.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Seller shall deliver the quantities of Goods set forth on Exhibit A, subject to a tolerance of plus or minus five percent (5%) per GPU Type, and Buyer shall pay the Prices for the quantity actually delivered.”</w:t>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b w:val="false"/>
                <w:i w:val="false"/>
                <w:caps w:val="false"/>
                <w:smallCaps w:val="false"/>
                <w:color w:val="000000"/>
                <w:spacing w:val="0"/>
                <w:sz w:val="24"/>
                <w:szCs w:val="24"/>
              </w:rPr>
              <w:t>Buyer shall have no obligation to accept or pay for any Goods delivered in excess of quantities specified in Exhibit A.”</w:t>
            </w:r>
          </w:p>
        </w:tc>
        <w:tc>
          <w:tcPr>
            <w:tcW w:w="1182" w:type="dxa"/>
            <w:tcBorders>
              <w:left w:val="single" w:sz="4" w:space="0" w:color="000000"/>
              <w:bottom w:val="single" w:sz="4" w:space="0" w:color="000000"/>
            </w:tcBorders>
          </w:tcPr>
          <w:p>
            <w:pPr>
              <w:pStyle w:val="TableContents"/>
              <w:bidi w:val="0"/>
              <w:jc w:val="left"/>
              <w:rPr/>
            </w:pPr>
            <w:r>
              <w:rPr/>
              <w:t>4</w:t>
            </w:r>
          </w:p>
        </w:tc>
        <w:tc>
          <w:tcPr>
            <w:tcW w:w="971" w:type="dxa"/>
            <w:tcBorders>
              <w:left w:val="single" w:sz="4" w:space="0" w:color="000000"/>
              <w:bottom w:val="single" w:sz="4" w:space="0" w:color="000000"/>
            </w:tcBorders>
          </w:tcPr>
          <w:p>
            <w:pPr>
              <w:pStyle w:val="TableContents"/>
              <w:bidi w:val="0"/>
              <w:jc w:val="left"/>
              <w:rPr/>
            </w:pPr>
            <w:r>
              <w:rPr/>
              <w:t xml:space="preserve">Accept </w:t>
            </w:r>
            <w:r>
              <w:rPr/>
              <w:t>with change</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Agreed. You shouldn't have to take or pay for goods you didn't order. We'd only add a reference to the tolerance we just discussed, so the two sentences don't conflict.</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Buyer shall have no obligation to accept or pay for any Goods delivered in excess of the quantities specified in Exhibit A as adjusted by the tolerance set forth above. Any such excess Goods may be returned to Seller at Seller's expense.”</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In the event of a shortfall, Seller shall promptly deliver the remaining Goods at no additional cost to Buyer.”</w:t>
            </w:r>
          </w:p>
        </w:tc>
        <w:tc>
          <w:tcPr>
            <w:tcW w:w="1182" w:type="dxa"/>
            <w:tcBorders>
              <w:left w:val="single" w:sz="4" w:space="0" w:color="000000"/>
              <w:bottom w:val="single" w:sz="4" w:space="0" w:color="000000"/>
            </w:tcBorders>
          </w:tcPr>
          <w:p>
            <w:pPr>
              <w:pStyle w:val="TableContents"/>
              <w:bidi w:val="0"/>
              <w:jc w:val="left"/>
              <w:rPr/>
            </w:pPr>
            <w:r>
              <w:rPr/>
              <w:t>4</w:t>
            </w:r>
          </w:p>
        </w:tc>
        <w:tc>
          <w:tcPr>
            <w:tcW w:w="971" w:type="dxa"/>
            <w:tcBorders>
              <w:left w:val="single" w:sz="4" w:space="0" w:color="000000"/>
              <w:bottom w:val="single" w:sz="4" w:space="0" w:color="000000"/>
            </w:tcBorders>
          </w:tcPr>
          <w:p>
            <w:pPr>
              <w:pStyle w:val="TableContents"/>
              <w:bidi w:val="0"/>
              <w:jc w:val="left"/>
              <w:rPr/>
            </w:pPr>
            <w:r>
              <w:rPr/>
              <w:t>Accept with change</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Agreed. If we come up short, we'll deliver the rest promptly and cover the extra shipping ourselves. Two clarifications. First, 'no additional cost' should mean no cost beyond the agreed Price. You'd still pay the unit price for the remaining goods when they arrive, the same as for any other delivery. Second, a small variance inside the quantity tolerance isn't a shortfall. In that case you simply pay less for fewer units.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In the event of a shortfall beyond the tolerance set forth above, Seller shall promptly deliver the remaining Goods at the applicable Prices, without additional shipping or other charges to Buyer.</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rFonts w:ascii="Times New Roman" w:hAnsi="Times New Roman"/>
                <w:color w:val="000000"/>
                <w:sz w:val="24"/>
                <w:szCs w:val="24"/>
              </w:rPr>
              <w:t>“</w:t>
            </w:r>
            <w:r>
              <w:rPr>
                <w:rStyle w:val="Ins"/>
                <w:rFonts w:ascii="Times New Roman" w:hAnsi="Times New Roman"/>
                <w:b w:val="false"/>
                <w:i w:val="false"/>
                <w:caps w:val="false"/>
                <w:smallCaps w:val="false"/>
                <w:strike w:val="false"/>
                <w:dstrike w:val="false"/>
                <w:color w:val="000000"/>
                <w:spacing w:val="0"/>
                <w:sz w:val="24"/>
                <w:szCs w:val="24"/>
                <w:u w:val="none"/>
                <w:effect w:val="none"/>
              </w:rPr>
              <w:t>If Seller fails to cure such shortfall within ten (10) days, Buyer may obtain substitute goods from any third party and Seller shall be liable for the reasonable excess cost of cover and other damages recoverable under this Agreement or applicable law.”</w:t>
            </w:r>
          </w:p>
        </w:tc>
        <w:tc>
          <w:tcPr>
            <w:tcW w:w="1182" w:type="dxa"/>
            <w:tcBorders>
              <w:left w:val="single" w:sz="4" w:space="0" w:color="000000"/>
              <w:bottom w:val="single" w:sz="4" w:space="0" w:color="000000"/>
            </w:tcBorders>
          </w:tcPr>
          <w:p>
            <w:pPr>
              <w:pStyle w:val="TableContents"/>
              <w:bidi w:val="0"/>
              <w:jc w:val="left"/>
              <w:rPr/>
            </w:pPr>
            <w:r>
              <w:rPr/>
              <w:t>4</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 xml:space="preserve">We agree you should be able to buy replacement goods elsewhere if we can't make up a shortfall, and that we should pay the difference in cost. </w:t>
            </w:r>
            <w:r>
              <w:rPr/>
              <w:t>T</w:t>
            </w:r>
            <w:r>
              <w:rPr/>
              <w:t xml:space="preserve">en days is the problem. GPUs aren't </w:t>
            </w:r>
            <w:r>
              <w:rPr/>
              <w:t xml:space="preserve">a type of product </w:t>
            </w:r>
            <w:r>
              <w:rPr/>
              <w:t xml:space="preserve">we can pull off a shelf, and restocking at this scale takes weeks. A 10-day window would push you into the spot market, often at higher prices, when we could have filled the order at the contract price a few weeks later. We propose 30 days. </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If Seller fails to cure such shortfall within thirty (30) days after Buyer's written notice thereof, or by the Outside Date, whichever is later, Buyer may obtain substitute goods from any third party and Seller shall be liable for the reasonable excess cost of such substitute goods over the Prices, subject to Section 11.”</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Title and Risk of Loss. Title to and risk of loss of the Goods shall pass to Buyer only upon Buyer's acceptance of such Goods pursuant to Section 6.”</w:t>
            </w:r>
          </w:p>
        </w:tc>
        <w:tc>
          <w:tcPr>
            <w:tcW w:w="1182" w:type="dxa"/>
            <w:tcBorders>
              <w:left w:val="single" w:sz="4" w:space="0" w:color="000000"/>
              <w:bottom w:val="single" w:sz="4" w:space="0" w:color="000000"/>
            </w:tcBorders>
          </w:tcPr>
          <w:p>
            <w:pPr>
              <w:pStyle w:val="TableContents"/>
              <w:bidi w:val="0"/>
              <w:jc w:val="left"/>
              <w:rPr/>
            </w:pPr>
            <w:r>
              <w:rPr/>
              <w:t>5</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 xml:space="preserve">We've already agreed to arrange, pay for and insure shipping to your </w:t>
            </w:r>
            <w:r>
              <w:rPr/>
              <w:t>facility. So the goods are our risk the whole way to Houston. Once they're unloaded at your facility, though, they're under your control. If risk stayed with us through the inspection period, we'd be insuring goods in a building we don't control.</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Risk of loss of the Goods shall pass to Buyer upon delivery at the Delivery Location. Title to the Goods shall pass to Buyer upon Seller's receipt of payment in full for such Goods. Risk of loss of any Goods rejected as Nonconforming Goods under Section 6 shall revert to Seller upon Seller's pickup of such Goods.”</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Buyer shall inspect the Goods on or before fourteen (14) days of taking delivery”</w:t>
            </w:r>
          </w:p>
        </w:tc>
        <w:tc>
          <w:tcPr>
            <w:tcW w:w="1182" w:type="dxa"/>
            <w:tcBorders>
              <w:left w:val="single" w:sz="4" w:space="0" w:color="000000"/>
              <w:bottom w:val="single" w:sz="4" w:space="0" w:color="000000"/>
            </w:tcBorders>
          </w:tcPr>
          <w:p>
            <w:pPr>
              <w:pStyle w:val="TableContents"/>
              <w:bidi w:val="0"/>
              <w:jc w:val="left"/>
              <w:rPr/>
            </w:pPr>
            <w:r>
              <w:rPr/>
              <w:t>6(a)</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Seven days is enough to confirm the goods match the order, the labels and packaging are right, and the units power on and meet spec, especially since shipments arrive in batches and you'll be inspecting as they come in. Anything that only shows up later in use is still covered by the Section 10 warranty, so a shorter inspection window doesn't leave you exposed. A long window mainly holds up payment and makes it harder to trace problems back to shipping versus handling at your site.</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"Buyer shall inspect the Goods within seven (7) days after taking delivery, including without limitation deemed delivery under Section 2(d)(ii) hereof (the "Inspection Period")."</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Acceptance following inspection shall not waive any claim relating to latent defects, warranty breaches, counterfeit Goods, or defects that could not reasonably have been discovered during the Inspection Period”</w:t>
            </w:r>
          </w:p>
        </w:tc>
        <w:tc>
          <w:tcPr>
            <w:tcW w:w="1182" w:type="dxa"/>
            <w:tcBorders>
              <w:left w:val="single" w:sz="4" w:space="0" w:color="000000"/>
              <w:bottom w:val="single" w:sz="4" w:space="0" w:color="000000"/>
            </w:tcBorders>
          </w:tcPr>
          <w:p>
            <w:pPr>
              <w:pStyle w:val="TableContents"/>
              <w:bidi w:val="0"/>
              <w:jc w:val="left"/>
              <w:rPr/>
            </w:pPr>
            <w:r>
              <w:rPr/>
              <w:t>6(a)</w:t>
            </w:r>
          </w:p>
        </w:tc>
        <w:tc>
          <w:tcPr>
            <w:tcW w:w="971" w:type="dxa"/>
            <w:tcBorders>
              <w:left w:val="single" w:sz="4" w:space="0" w:color="000000"/>
              <w:bottom w:val="single" w:sz="4" w:space="0" w:color="000000"/>
            </w:tcBorders>
          </w:tcPr>
          <w:p>
            <w:pPr>
              <w:pStyle w:val="TableContents"/>
              <w:bidi w:val="0"/>
              <w:jc w:val="left"/>
              <w:rPr/>
            </w:pPr>
            <w:r>
              <w:rPr/>
              <w:t>Accept/Counter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 xml:space="preserve">"Agreed. Accepting goods after inspection shouldn't waive your rights </w:t>
            </w:r>
            <w:r>
              <w:rPr/>
              <w:t>for defects that were not discovered during inspection</w:t>
            </w:r>
            <w:r>
              <w:rPr/>
              <w:t xml:space="preserve">. That's the purpose of the Section 10 warranty. We'd only make clear which section handles those claims. Latent defects and warranty issues would go through the warranty process in Section 10 during the Warranty Period. Counterfeit goods are different </w:t>
            </w:r>
            <w:r>
              <w:rPr/>
              <w:t>we will offer you the ability to claim defect on counterfit products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Acceptance following inspection shall not waive (i) any claim relating to latent defects or breach of warranty, which claims shall be governed exclusively by Section 10 and must be made within the Warranty Period, or (ii) any claim that the Goods are counterfeit.”</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 xml:space="preserve">(iii) the products do not satisfy the quality of performance set forth in exhibit A; </w:t>
            </w:r>
          </w:p>
        </w:tc>
        <w:tc>
          <w:tcPr>
            <w:tcW w:w="1182" w:type="dxa"/>
            <w:tcBorders>
              <w:left w:val="single" w:sz="4" w:space="0" w:color="000000"/>
              <w:bottom w:val="single" w:sz="4" w:space="0" w:color="000000"/>
            </w:tcBorders>
          </w:tcPr>
          <w:p>
            <w:pPr>
              <w:pStyle w:val="TableContents"/>
              <w:bidi w:val="0"/>
              <w:jc w:val="left"/>
              <w:rPr/>
            </w:pPr>
            <w:r>
              <w:rPr/>
              <w:t>6(a)</w:t>
            </w:r>
          </w:p>
        </w:tc>
        <w:tc>
          <w:tcPr>
            <w:tcW w:w="971" w:type="dxa"/>
            <w:tcBorders>
              <w:left w:val="single" w:sz="4" w:space="0" w:color="000000"/>
              <w:bottom w:val="single" w:sz="4" w:space="0" w:color="000000"/>
            </w:tcBorders>
          </w:tcPr>
          <w:p>
            <w:pPr>
              <w:pStyle w:val="TableContents"/>
              <w:bidi w:val="0"/>
              <w:jc w:val="left"/>
              <w:rPr/>
            </w:pPr>
            <w:r>
              <w:rPr/>
              <w:t>Clarification</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 xml:space="preserve">Agreed that goods failing to meet the agreed performance standard should count as nonconforming. </w:t>
            </w:r>
            <w:r>
              <w:rPr/>
              <w:t>However Exhibit A does not have performance specs. We propose tying it to the manufacturer’s specifications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(iii) the Goods do not materially conform to the manufacturer's published specifications for the applicable GPU Type identified in Exhibit A”</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"the product is otherwise defective and does not satisfy the requirements of this agreement"</w:t>
            </w:r>
          </w:p>
        </w:tc>
        <w:tc>
          <w:tcPr>
            <w:tcW w:w="1182" w:type="dxa"/>
            <w:tcBorders>
              <w:left w:val="single" w:sz="4" w:space="0" w:color="000000"/>
              <w:bottom w:val="single" w:sz="4" w:space="0" w:color="000000"/>
            </w:tcBorders>
          </w:tcPr>
          <w:p>
            <w:pPr>
              <w:pStyle w:val="TableContents"/>
              <w:bidi w:val="0"/>
              <w:jc w:val="left"/>
              <w:rPr/>
            </w:pPr>
            <w:r>
              <w:rPr/>
              <w:t>6(a)</w:t>
            </w:r>
          </w:p>
        </w:tc>
        <w:tc>
          <w:tcPr>
            <w:tcW w:w="971" w:type="dxa"/>
            <w:tcBorders>
              <w:left w:val="single" w:sz="4" w:space="0" w:color="000000"/>
              <w:bottom w:val="single" w:sz="4" w:space="0" w:color="000000"/>
            </w:tcBorders>
          </w:tcPr>
          <w:p>
            <w:pPr>
              <w:pStyle w:val="TableContents"/>
              <w:bidi w:val="0"/>
              <w:jc w:val="left"/>
              <w:rPr/>
            </w:pPr>
            <w:r>
              <w:rPr/>
              <w:t>Reject</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Item (iii) already covers performance, and the Section 10 warranty covers defect</w:t>
            </w:r>
            <w:r>
              <w:rPr/>
              <w:t>s with a clear process (notice, examination, an independent lab, then repair, replace or refund). 'Otherwise defective' has no standard behind it. It would put every possible defect claim under both Section 6 and Section 10, with different timelines and remedies for the same problem.</w:t>
            </w:r>
          </w:p>
        </w:tc>
        <w:tc>
          <w:tcPr>
            <w:tcW w:w="2381" w:type="dxa"/>
            <w:tcBorders>
              <w:left w:val="single" w:sz="4" w:space="0" w:color="000000"/>
              <w:bottom w:val="single" w:sz="4" w:space="0" w:color="000000"/>
              <w:right w:val="single" w:sz="4" w:space="0" w:color="000000"/>
            </w:tcBorders>
          </w:tcPr>
          <w:p>
            <w:pPr>
              <w:pStyle w:val="TableContents"/>
              <w:bidi w:val="0"/>
              <w:jc w:val="left"/>
              <w:rPr/>
            </w:pPr>
            <w:r>
              <w:rPr/>
              <w:t>Delete</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or (v) the Goods, or any component thereof, are designed, manufactured, assembled, or produced in whole or in part in a country or territory subject to applicable U.S. sanctions or embargoes, or are produced, in whole or in part, using forced labor.”</w:t>
            </w:r>
          </w:p>
        </w:tc>
        <w:tc>
          <w:tcPr>
            <w:tcW w:w="1182" w:type="dxa"/>
            <w:tcBorders>
              <w:left w:val="single" w:sz="4" w:space="0" w:color="000000"/>
              <w:bottom w:val="single" w:sz="4" w:space="0" w:color="000000"/>
            </w:tcBorders>
          </w:tcPr>
          <w:p>
            <w:pPr>
              <w:pStyle w:val="TableContents"/>
              <w:bidi w:val="0"/>
              <w:jc w:val="left"/>
              <w:rPr/>
            </w:pPr>
            <w:r>
              <w:rPr/>
              <w:t>6(a)</w:t>
            </w:r>
          </w:p>
        </w:tc>
        <w:tc>
          <w:tcPr>
            <w:tcW w:w="971" w:type="dxa"/>
            <w:tcBorders>
              <w:left w:val="single" w:sz="4" w:space="0" w:color="000000"/>
              <w:bottom w:val="single" w:sz="4" w:space="0" w:color="000000"/>
            </w:tcBorders>
          </w:tcPr>
          <w:p>
            <w:pPr>
              <w:pStyle w:val="TableContents"/>
              <w:bidi w:val="0"/>
              <w:jc w:val="left"/>
              <w:rPr/>
            </w:pPr>
            <w:r>
              <w:rPr/>
              <w:t>Accept/Counter</w:t>
            </w:r>
          </w:p>
        </w:tc>
        <w:tc>
          <w:tcPr>
            <w:tcW w:w="2382" w:type="dxa"/>
            <w:tcBorders>
              <w:left w:val="single" w:sz="4" w:space="0" w:color="000000"/>
              <w:bottom w:val="single" w:sz="4" w:space="0" w:color="000000"/>
            </w:tcBorders>
          </w:tcPr>
          <w:p>
            <w:pPr>
              <w:pStyle w:val="TableContents"/>
              <w:bidi w:val="0"/>
              <w:jc w:val="left"/>
              <w:rPr/>
            </w:pPr>
            <w:r>
              <w:rPr/>
              <w:t xml:space="preserve">We support the compliance goal here. We want to tie it to the legal standards themselves, so both sides know exactly what the obligation is. As written, 'a country subject to sanctions' could arguably cover any country with any targeted U.S. sanctions program. That includes most of the global electronics supply chain because China and Hong Kong have sanctions programs and certain firms within Singapore, Malaysia, Thailand, Taiwan and South Korea have been named for sanctions for moving electronics to Russia. </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"(v) the Goods, or any component thereof, (a) originate from a country or region subject to comprehensive U.S. sanctions or embargoes administered by the Office of Foreign Assets Control, (b) were manufactured by, or sold by or through, a person or entity on the OFAC Specially Designated Nationals and Blocked Persons List or the UFLPA Entity List, or (c) are prohibited from importation into the United States under 19 U.S.C. § 1307 or the Uyghur Forced Labor Prevention Act."</w:t>
            </w:r>
          </w:p>
        </w:tc>
      </w:tr>
      <w:tr>
        <w:trPr/>
        <w:tc>
          <w:tcPr>
            <w:tcW w:w="3056" w:type="dxa"/>
            <w:tcBorders>
              <w:left w:val="single" w:sz="4" w:space="0" w:color="000000"/>
              <w:bottom w:val="single" w:sz="4" w:space="0" w:color="000000"/>
            </w:tcBorders>
          </w:tcPr>
          <w:p>
            <w:pPr>
              <w:pStyle w:val="TableContents"/>
              <w:bidi w:val="0"/>
              <w:jc w:val="left"/>
              <w:rPr>
                <w:rFonts w:ascii="Times New Roman" w:hAnsi="Times New Roman"/>
                <w:color w:val="000000"/>
                <w:sz w:val="24"/>
              </w:rPr>
            </w:pPr>
            <w:r>
              <w:rPr>
                <w:rFonts w:ascii="Times New Roman" w:hAnsi="Times New Roman"/>
                <w:color w:val="000000"/>
                <w:sz w:val="24"/>
                <w:szCs w:val="24"/>
              </w:rPr>
              <w:t>“</w:t>
            </w:r>
            <w:r>
              <w:rPr>
                <w:rFonts w:ascii="Times New Roman" w:hAnsi="Times New Roman"/>
                <w:b w:val="false"/>
                <w:i w:val="false"/>
                <w:caps w:val="false"/>
                <w:smallCaps w:val="false"/>
                <w:color w:val="1A1A1A"/>
                <w:spacing w:val="0"/>
                <w:sz w:val="24"/>
                <w:szCs w:val="24"/>
              </w:rPr>
              <w:t>If Buyer timely notifies Seller of any Nonconforming Goods, Seller shall,</w:t>
            </w:r>
            <w:r>
              <w:rPr>
                <w:rFonts w:ascii="apple-system;BlinkMacSystemFont;Segoe UI;Roboto;sans-serif" w:hAnsi="apple-system;BlinkMacSystemFont;Segoe UI;Roboto;sans-serif"/>
                <w:b w:val="false"/>
                <w:i w:val="false"/>
                <w:caps w:val="false"/>
                <w:smallCaps w:val="false"/>
                <w:color w:val="1A1A1A"/>
                <w:spacing w:val="0"/>
                <w:sz w:val="28"/>
              </w:rPr>
              <w:t xml:space="preserve"> </w:t>
            </w:r>
            <w:r>
              <w:rPr>
                <w:rFonts w:ascii="Times New Roman" w:hAnsi="Times New Roman"/>
                <w:b w:val="false"/>
                <w:i w:val="false"/>
                <w:caps w:val="false"/>
                <w:smallCaps w:val="false"/>
                <w:color w:val="000000"/>
                <w:spacing w:val="0"/>
                <w:sz w:val="24"/>
                <w:szCs w:val="24"/>
              </w:rPr>
              <w:t>at Buyer’s option and within ten (10) days after Buyer’s notice”</w:t>
            </w:r>
          </w:p>
        </w:tc>
        <w:tc>
          <w:tcPr>
            <w:tcW w:w="1182" w:type="dxa"/>
            <w:tcBorders>
              <w:left w:val="single" w:sz="4" w:space="0" w:color="000000"/>
              <w:bottom w:val="single" w:sz="4" w:space="0" w:color="000000"/>
            </w:tcBorders>
          </w:tcPr>
          <w:p>
            <w:pPr>
              <w:pStyle w:val="TableContents"/>
              <w:bidi w:val="0"/>
              <w:jc w:val="left"/>
              <w:rPr/>
            </w:pPr>
            <w:r>
              <w:rPr/>
              <w:t>6(b)</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We agree nonconforming goods need to be fixed fast, and we'll commit to a firm deadline. The question is who picks the remedy. We're the ones with visibility into supply, so we're in the best position to say whether a replacement can arrive quickly. In most cases that's what you want anywa</w:t>
            </w:r>
            <w:r>
              <w:rPr/>
              <w:t>y. If we can't replace the goods within the deadline, you get a refund and can buy elsewhere under the cover provision. On timing, 10 days doesn't allow for the return shipment, inspection and a replacement shipment at this volume, so we propose 20.</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If Buyer timely notifies Seller of any Nonconforming Goods, Seller shall, at Seller's option and within twenty (20) days after Buyer's notice”</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Seller shall, at its expense and risk of loss, arrange for the pickup of the Nonconforming Goods from the Delivery Location within ten (10) after the Seller’s receipt of Buyer’s written notice.”</w:t>
            </w:r>
          </w:p>
        </w:tc>
        <w:tc>
          <w:tcPr>
            <w:tcW w:w="1182" w:type="dxa"/>
            <w:tcBorders>
              <w:left w:val="single" w:sz="4" w:space="0" w:color="000000"/>
              <w:bottom w:val="single" w:sz="4" w:space="0" w:color="000000"/>
            </w:tcBorders>
          </w:tcPr>
          <w:p>
            <w:pPr>
              <w:pStyle w:val="TableContents"/>
              <w:bidi w:val="0"/>
              <w:jc w:val="left"/>
              <w:rPr/>
            </w:pPr>
            <w:r>
              <w:rPr/>
              <w:t>6(b)</w:t>
            </w:r>
          </w:p>
        </w:tc>
        <w:tc>
          <w:tcPr>
            <w:tcW w:w="971" w:type="dxa"/>
            <w:tcBorders>
              <w:left w:val="single" w:sz="4" w:space="0" w:color="000000"/>
              <w:bottom w:val="single" w:sz="4" w:space="0" w:color="000000"/>
            </w:tcBorders>
          </w:tcPr>
          <w:p>
            <w:pPr>
              <w:pStyle w:val="TableContents"/>
              <w:bidi w:val="0"/>
              <w:jc w:val="left"/>
              <w:rPr/>
            </w:pPr>
            <w:r>
              <w:rPr/>
              <w:t>Accept/Edit</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If we ship nonconforming goods, we should handle and pay for the pickup, and we'll carry the risk from the moment we collect them. We have two small edits. First, add the missing word 'days' after 'ten (10).' Second, if our examination or the independent lab under Section 10 finds the goods actually conform, you would cover the return shipping and redelivery costs.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Seller shall, at its expense and risk of loss, arrange for the pickup of the Nonconforming Goods from the Delivery Location within ten (10) days after Seller's receipt of Buyer's written notice; provided that if such Goods are determined under Section 10(c) to have been conforming, Buyer shall reimburse Seller for the reasonable costs of such pickup and redelivery.”</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If Seller exercises its option to replace Nonconforming Goods, Seller shall, within ten (10) days after receipt of Buyer’s notice, after receiving Buyer’s shipment of Nonconforming Goods, tender delivery of the replacement Goods to Buyer, at Seller’s expense and risk of loss, at the Delivery Location.”</w:t>
            </w:r>
          </w:p>
        </w:tc>
        <w:tc>
          <w:tcPr>
            <w:tcW w:w="1182" w:type="dxa"/>
            <w:tcBorders>
              <w:left w:val="single" w:sz="4" w:space="0" w:color="000000"/>
              <w:bottom w:val="single" w:sz="4" w:space="0" w:color="000000"/>
            </w:tcBorders>
          </w:tcPr>
          <w:p>
            <w:pPr>
              <w:pStyle w:val="TableContents"/>
              <w:bidi w:val="0"/>
              <w:jc w:val="left"/>
              <w:rPr/>
            </w:pPr>
            <w:r>
              <w:rPr/>
              <w:t>6(b)</w:t>
            </w:r>
          </w:p>
        </w:tc>
        <w:tc>
          <w:tcPr>
            <w:tcW w:w="971" w:type="dxa"/>
            <w:tcBorders>
              <w:left w:val="single" w:sz="4" w:space="0" w:color="000000"/>
              <w:bottom w:val="single" w:sz="4" w:space="0" w:color="000000"/>
            </w:tcBorders>
          </w:tcPr>
          <w:p>
            <w:pPr>
              <w:pStyle w:val="TableContents"/>
              <w:bidi w:val="0"/>
              <w:jc w:val="left"/>
              <w:rPr/>
            </w:pPr>
            <w:r>
              <w:rPr/>
              <w:t>Accept/Edit</w:t>
            </w:r>
          </w:p>
        </w:tc>
        <w:tc>
          <w:tcPr>
            <w:tcW w:w="2382" w:type="dxa"/>
            <w:tcBorders>
              <w:left w:val="single" w:sz="4" w:space="0" w:color="000000"/>
              <w:bottom w:val="single" w:sz="4" w:space="0" w:color="000000"/>
            </w:tcBorders>
          </w:tcPr>
          <w:p>
            <w:pPr>
              <w:pStyle w:val="TableContents"/>
              <w:bidi w:val="0"/>
              <w:jc w:val="left"/>
              <w:rPr/>
            </w:pPr>
            <w:r>
              <w:rPr/>
              <w:t>The replacement goods ship at our cost and risk, the same as the original delivery. We have two edits. First, the timing should match the replace-or-refund deadline above, so twenty days instead of ten. Second, the sentence still says 'after receiving Buyer's shipment of Nonconforming Goods,' but under your revised draft we pick up the goods</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If Seller elects to replace Nonconforming Goods, Seller shall, within twenty (20) days after receipt of Buyer's notice, tender delivery of the replacement Goods to Buyer, at Seller's expense and risk of loss, at the Delivery Location.”</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t>“</w:t>
            </w:r>
            <w:r>
              <w:rPr/>
              <w:t>Any credit or refund under this section shall be paid within ten (10) days after Buyer’s notice. If seller fails to timely replace or refund any Nonconforming Goods, Buyer may procure substitute goods and recover from Seller any excess cost over the Prices.”</w:t>
            </w:r>
          </w:p>
        </w:tc>
        <w:tc>
          <w:tcPr>
            <w:tcW w:w="1182" w:type="dxa"/>
            <w:tcBorders>
              <w:left w:val="single" w:sz="4" w:space="0" w:color="000000"/>
              <w:bottom w:val="single" w:sz="4" w:space="0" w:color="000000"/>
            </w:tcBorders>
          </w:tcPr>
          <w:p>
            <w:pPr>
              <w:pStyle w:val="TableContents"/>
              <w:bidi w:val="0"/>
              <w:jc w:val="left"/>
              <w:rPr/>
            </w:pPr>
            <w:r>
              <w:rPr/>
              <w:t>6(b)</w:t>
            </w:r>
          </w:p>
        </w:tc>
        <w:tc>
          <w:tcPr>
            <w:tcW w:w="971" w:type="dxa"/>
            <w:tcBorders>
              <w:left w:val="single" w:sz="4" w:space="0" w:color="000000"/>
              <w:bottom w:val="single" w:sz="4" w:space="0" w:color="000000"/>
            </w:tcBorders>
          </w:tcPr>
          <w:p>
            <w:pPr>
              <w:pStyle w:val="TableContents"/>
              <w:bidi w:val="0"/>
              <w:jc w:val="left"/>
              <w:rPr/>
            </w:pPr>
            <w:r>
              <w:rPr/>
              <w:t>Counter</w:t>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t>Agreed that credits and refunds should be paid on a firm deadline. We'd set it at twenty days so it matches the replacement deadline.</w:t>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w:t>
            </w:r>
            <w:r>
              <w:rPr/>
              <w:t>Any credit or refund under this Section shall be issued within twenty (20) days after Buyer's notice; to the extent the Prices for such Nonconforming Goods remain unpaid, the credit shall be applied against the applicable invoice.”</w:t>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r>
          </w:p>
        </w:tc>
        <w:tc>
          <w:tcPr>
            <w:tcW w:w="1182" w:type="dxa"/>
            <w:tcBorders>
              <w:left w:val="single" w:sz="4" w:space="0" w:color="000000"/>
              <w:bottom w:val="single" w:sz="4" w:space="0" w:color="000000"/>
            </w:tcBorders>
          </w:tcPr>
          <w:p>
            <w:pPr>
              <w:pStyle w:val="TableContents"/>
              <w:widowControl w:val="false"/>
              <w:suppressLineNumbers/>
              <w:bidi w:val="0"/>
              <w:jc w:val="left"/>
              <w:rPr/>
            </w:pPr>
            <w:r>
              <w:rPr/>
            </w:r>
          </w:p>
        </w:tc>
        <w:tc>
          <w:tcPr>
            <w:tcW w:w="971" w:type="dxa"/>
            <w:tcBorders>
              <w:left w:val="single" w:sz="4" w:space="0" w:color="000000"/>
              <w:bottom w:val="single" w:sz="4" w:space="0" w:color="000000"/>
            </w:tcBorders>
          </w:tcPr>
          <w:p>
            <w:pPr>
              <w:pStyle w:val="TableContents"/>
              <w:widowControl w:val="false"/>
              <w:suppressLineNumbers/>
              <w:bidi w:val="0"/>
              <w:jc w:val="left"/>
              <w:rPr/>
            </w:pPr>
            <w:r>
              <w:rPr/>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3056" w:type="dxa"/>
            <w:tcBorders>
              <w:left w:val="single" w:sz="4" w:space="0" w:color="000000"/>
              <w:bottom w:val="single" w:sz="4" w:space="0" w:color="000000"/>
            </w:tcBorders>
          </w:tcPr>
          <w:p>
            <w:pPr>
              <w:pStyle w:val="TableContents"/>
              <w:widowControl w:val="false"/>
              <w:suppressLineNumbers/>
              <w:bidi w:val="0"/>
              <w:jc w:val="left"/>
              <w:rPr/>
            </w:pPr>
            <w:r>
              <w:rPr/>
            </w:r>
          </w:p>
        </w:tc>
        <w:tc>
          <w:tcPr>
            <w:tcW w:w="1182" w:type="dxa"/>
            <w:tcBorders>
              <w:left w:val="single" w:sz="4" w:space="0" w:color="000000"/>
              <w:bottom w:val="single" w:sz="4" w:space="0" w:color="000000"/>
            </w:tcBorders>
          </w:tcPr>
          <w:p>
            <w:pPr>
              <w:pStyle w:val="TableContents"/>
              <w:widowControl w:val="false"/>
              <w:suppressLineNumbers/>
              <w:bidi w:val="0"/>
              <w:jc w:val="left"/>
              <w:rPr/>
            </w:pPr>
            <w:r>
              <w:rPr/>
            </w:r>
          </w:p>
        </w:tc>
        <w:tc>
          <w:tcPr>
            <w:tcW w:w="971" w:type="dxa"/>
            <w:tcBorders>
              <w:left w:val="single" w:sz="4" w:space="0" w:color="000000"/>
              <w:bottom w:val="single" w:sz="4" w:space="0" w:color="000000"/>
            </w:tcBorders>
          </w:tcPr>
          <w:p>
            <w:pPr>
              <w:pStyle w:val="TableContents"/>
              <w:widowControl w:val="false"/>
              <w:suppressLineNumbers/>
              <w:bidi w:val="0"/>
              <w:jc w:val="left"/>
              <w:rPr/>
            </w:pPr>
            <w:r>
              <w:rPr/>
            </w:r>
          </w:p>
        </w:tc>
        <w:tc>
          <w:tcPr>
            <w:tcW w:w="2382" w:type="dxa"/>
            <w:tcBorders>
              <w:left w:val="single" w:sz="4" w:space="0" w:color="000000"/>
              <w:bottom w:val="single" w:sz="4" w:space="0" w:color="000000"/>
            </w:tcBorders>
          </w:tcPr>
          <w:p>
            <w:pPr>
              <w:pStyle w:val="TableContents"/>
              <w:widowControl w:val="false"/>
              <w:suppressLineNumbers/>
              <w:bidi w:val="0"/>
              <w:jc w:val="left"/>
              <w:rPr/>
            </w:pPr>
            <w:r>
              <w:rPr/>
            </w:r>
          </w:p>
        </w:tc>
        <w:tc>
          <w:tcPr>
            <w:tcW w:w="238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bl>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default"/>
  </w:font>
  <w:font w:name="apple-system">
    <w:altName w:val="BlinkMacSystemFont"/>
    <w:charset w:val="01"/>
    <w:family w:val="auto"/>
    <w:pitch w:val="default"/>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Ins">
    <w:name w:val="in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9</Pages>
  <Words>2738</Words>
  <Characters>13969</Characters>
  <CharactersWithSpaces>16589</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2026-09-28T22:46:04Z</dcterms:created>
  <dc:creator/>
  <dc:description/>
  <dc:language>en-US</dc:language>
  <cp:lastModifiedBy/>
  <dcterms:modified xsi:type="dcterms:W3CDTF">2026-09-29T00:33:02Z</dcterms:modified>
  <cp:revision>1</cp:revision>
  <dc:subject/>
  <dc:title/>
</cp:coreProperties>
</file>