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
          <w:bCs/>
        </w:rPr>
      </w:pPr>
      <w:r>
        <w:rPr>
          <w:b/>
          <w:bCs/>
        </w:rPr>
      </w:r>
    </w:p>
    <w:p>
      <w:pPr>
        <w:pStyle w:val="Normal"/>
        <w:bidi w:val="0"/>
        <w:spacing w:lineRule="auto" w:line="480"/>
        <w:jc w:val="center"/>
        <w:rPr>
          <w:rFonts w:ascii="Times New Roman" w:hAnsi="Times New Roman"/>
          <w:sz w:val="22"/>
          <w:szCs w:val="22"/>
        </w:rPr>
      </w:pPr>
      <w:r>
        <w:rPr>
          <w:rFonts w:ascii="Times New Roman" w:hAnsi="Times New Roman"/>
          <w:b/>
          <w:bCs/>
          <w:i w:val="false"/>
          <w:iCs w:val="false"/>
          <w:sz w:val="22"/>
          <w:szCs w:val="22"/>
        </w:rPr>
        <w:t>Discussion</w:t>
      </w:r>
    </w:p>
    <w:p>
      <w:pPr>
        <w:pStyle w:val="Normal"/>
        <w:bidi w:val="0"/>
        <w:spacing w:lineRule="auto" w:line="480"/>
        <w:jc w:val="left"/>
        <w:rPr>
          <w:rFonts w:ascii="Times New Roman" w:hAnsi="Times New Roman"/>
          <w:sz w:val="22"/>
          <w:szCs w:val="22"/>
        </w:rPr>
      </w:pPr>
      <w:r>
        <w:rPr>
          <w:rFonts w:ascii="Times New Roman" w:hAnsi="Times New Roman"/>
          <w:b w:val="false"/>
          <w:bCs w:val="false"/>
          <w:i w:val="false"/>
          <w:iCs w:val="false"/>
          <w:sz w:val="22"/>
          <w:szCs w:val="22"/>
        </w:rPr>
        <w:tab/>
        <w:t xml:space="preserve">Because the defendant is incorporated and headquartered in Tennessee, complete diversity exists only if Fox was a citizen of Kentucky when the suit was initiated in July 2026. A court will likely conclude that he was not. The motion to remand is likely to succeed. A federal district court may exercise diversity jurisdiction under 28 U.S.C. § 1332(a)(1) only where the amount of controversy exceeds $75,000 and the action between citizens of different states. Diversity must be complete, meaning no plaintiff may be a citizen of different state as any defendant. Robinette v. Emmons, No. 7:19-CV-2-REW, 2019 WL 13212618, at *1 (E.D. Ky. Jan 25, 2019). Federal courts are courts of limited jurisdiction and the burden of establishing a jurisdictional basis rests upon the party asserting jurisdiction. </w:t>
      </w:r>
      <w:r>
        <w:rPr>
          <w:rFonts w:ascii="Times New Roman" w:hAnsi="Times New Roman"/>
          <w:b w:val="false"/>
          <w:bCs w:val="false"/>
          <w:i/>
          <w:iCs/>
          <w:sz w:val="22"/>
          <w:szCs w:val="22"/>
        </w:rPr>
        <w:t>Robinette</w:t>
      </w:r>
      <w:r>
        <w:rPr>
          <w:rFonts w:ascii="Times New Roman" w:hAnsi="Times New Roman"/>
          <w:b w:val="false"/>
          <w:bCs w:val="false"/>
          <w:i w:val="false"/>
          <w:iCs w:val="false"/>
          <w:sz w:val="22"/>
          <w:szCs w:val="22"/>
        </w:rPr>
        <w:t xml:space="preserve">, 2019 WL 13212618 at *1 (citing </w:t>
      </w:r>
      <w:r>
        <w:rPr>
          <w:rFonts w:ascii="Times New Roman" w:hAnsi="Times New Roman"/>
          <w:b w:val="false"/>
          <w:bCs w:val="false"/>
          <w:i/>
          <w:iCs/>
          <w:sz w:val="22"/>
          <w:szCs w:val="22"/>
        </w:rPr>
        <w:t>Kokkonen</w:t>
      </w:r>
      <w:r>
        <w:rPr>
          <w:rFonts w:ascii="Times New Roman" w:hAnsi="Times New Roman"/>
          <w:b w:val="false"/>
          <w:bCs w:val="false"/>
          <w:i w:val="false"/>
          <w:iCs w:val="false"/>
          <w:sz w:val="22"/>
          <w:szCs w:val="22"/>
        </w:rPr>
        <w:t xml:space="preserve"> v. Guardian Life Ins. Co. of Am., 114 S. Ct. 1673, 1675 (1994)). State citizenship for diversity purposes is equated with domicile. </w:t>
      </w:r>
      <w:r>
        <w:rPr>
          <w:rFonts w:ascii="Times New Roman" w:hAnsi="Times New Roman"/>
          <w:b w:val="false"/>
          <w:bCs w:val="false"/>
          <w:i/>
          <w:iCs/>
          <w:sz w:val="22"/>
          <w:szCs w:val="22"/>
        </w:rPr>
        <w:t>Pitt Excavating, LLC v. Pitt</w:t>
      </w:r>
      <w:r>
        <w:rPr>
          <w:rFonts w:ascii="Times New Roman" w:hAnsi="Times New Roman"/>
          <w:b w:val="false"/>
          <w:bCs w:val="false"/>
          <w:i w:val="false"/>
          <w:iCs w:val="false"/>
          <w:sz w:val="22"/>
          <w:szCs w:val="22"/>
        </w:rPr>
        <w:t>, 603 F. Appx 393, 396 (6</w:t>
      </w:r>
      <w:r>
        <w:rPr>
          <w:rFonts w:ascii="Times New Roman" w:hAnsi="Times New Roman"/>
          <w:b w:val="false"/>
          <w:bCs w:val="false"/>
          <w:i w:val="false"/>
          <w:iCs w:val="false"/>
          <w:sz w:val="22"/>
          <w:szCs w:val="22"/>
          <w:vertAlign w:val="superscript"/>
        </w:rPr>
        <w:t>th</w:t>
      </w:r>
      <w:r>
        <w:rPr>
          <w:rFonts w:ascii="Times New Roman" w:hAnsi="Times New Roman"/>
          <w:b w:val="false"/>
          <w:bCs w:val="false"/>
          <w:i w:val="false"/>
          <w:iCs w:val="false"/>
          <w:sz w:val="22"/>
          <w:szCs w:val="22"/>
        </w:rPr>
        <w:t xml:space="preserve"> Cir. 2015) (citing </w:t>
      </w:r>
      <w:r>
        <w:rPr>
          <w:rFonts w:ascii="Times New Roman" w:hAnsi="Times New Roman"/>
          <w:b w:val="false"/>
          <w:bCs w:val="false"/>
          <w:i/>
          <w:iCs/>
          <w:sz w:val="22"/>
          <w:szCs w:val="22"/>
        </w:rPr>
        <w:t>Von Dunser v. Aronoff</w:t>
      </w:r>
      <w:r>
        <w:rPr>
          <w:rFonts w:ascii="Times New Roman" w:hAnsi="Times New Roman"/>
          <w:b w:val="false"/>
          <w:bCs w:val="false"/>
          <w:i w:val="false"/>
          <w:iCs w:val="false"/>
          <w:sz w:val="22"/>
          <w:szCs w:val="22"/>
        </w:rPr>
        <w:t>, 915 F.2d 1071, 1072 (6</w:t>
      </w:r>
      <w:r>
        <w:rPr>
          <w:rFonts w:ascii="Times New Roman" w:hAnsi="Times New Roman"/>
          <w:b w:val="false"/>
          <w:bCs w:val="false"/>
          <w:i w:val="false"/>
          <w:iCs w:val="false"/>
          <w:sz w:val="22"/>
          <w:szCs w:val="22"/>
          <w:vertAlign w:val="superscript"/>
        </w:rPr>
        <w:t>th</w:t>
      </w:r>
      <w:r>
        <w:rPr>
          <w:rFonts w:ascii="Times New Roman" w:hAnsi="Times New Roman"/>
          <w:b w:val="false"/>
          <w:bCs w:val="false"/>
          <w:i w:val="false"/>
          <w:iCs w:val="false"/>
          <w:sz w:val="22"/>
          <w:szCs w:val="22"/>
        </w:rPr>
        <w:t xml:space="preserve"> Cir. 1990)). Residence is not synonymous with citizenship. </w:t>
      </w:r>
      <w:r>
        <w:rPr>
          <w:rFonts w:ascii="Times New Roman" w:hAnsi="Times New Roman"/>
          <w:b w:val="false"/>
          <w:bCs w:val="false"/>
          <w:i/>
          <w:iCs/>
          <w:sz w:val="22"/>
          <w:szCs w:val="22"/>
        </w:rPr>
        <w:t>Robinette</w:t>
      </w:r>
      <w:r>
        <w:rPr>
          <w:rFonts w:ascii="Times New Roman" w:hAnsi="Times New Roman"/>
          <w:b w:val="false"/>
          <w:bCs w:val="false"/>
          <w:i w:val="false"/>
          <w:iCs w:val="false"/>
          <w:sz w:val="22"/>
          <w:szCs w:val="22"/>
        </w:rPr>
        <w:t xml:space="preserve">, 2019 WL 13212618, at *1 (citing </w:t>
      </w:r>
      <w:r>
        <w:rPr>
          <w:rFonts w:ascii="Times New Roman" w:hAnsi="Times New Roman"/>
          <w:b w:val="false"/>
          <w:bCs w:val="false"/>
          <w:i/>
          <w:iCs/>
          <w:sz w:val="22"/>
          <w:szCs w:val="22"/>
        </w:rPr>
        <w:t>Kaiser v. Loomis</w:t>
      </w:r>
      <w:r>
        <w:rPr>
          <w:rFonts w:ascii="Times New Roman" w:hAnsi="Times New Roman"/>
          <w:b w:val="false"/>
          <w:bCs w:val="false"/>
          <w:i w:val="false"/>
          <w:iCs w:val="false"/>
          <w:sz w:val="22"/>
          <w:szCs w:val="22"/>
        </w:rPr>
        <w:t>, 391 F.2d 1007, 1009 (6</w:t>
      </w:r>
      <w:r>
        <w:rPr>
          <w:rFonts w:ascii="Times New Roman" w:hAnsi="Times New Roman"/>
          <w:b w:val="false"/>
          <w:bCs w:val="false"/>
          <w:i w:val="false"/>
          <w:iCs w:val="false"/>
          <w:sz w:val="22"/>
          <w:szCs w:val="22"/>
          <w:vertAlign w:val="superscript"/>
        </w:rPr>
        <w:t>th</w:t>
      </w:r>
      <w:r>
        <w:rPr>
          <w:rFonts w:ascii="Times New Roman" w:hAnsi="Times New Roman"/>
          <w:b w:val="false"/>
          <w:bCs w:val="false"/>
          <w:i w:val="false"/>
          <w:iCs w:val="false"/>
          <w:sz w:val="22"/>
          <w:szCs w:val="22"/>
        </w:rPr>
        <w:t xml:space="preserve"> Cir. 1968)). Meaning a person can reside in one state while being domiciled in another. To establish domicile within a particular state, a person must be physically present in the state and must have either the intention to make his home there indefinitely or the absence of intention to make his home elsewhere. </w:t>
      </w:r>
      <w:r>
        <w:rPr>
          <w:rFonts w:ascii="Times New Roman" w:hAnsi="Times New Roman"/>
          <w:b w:val="false"/>
          <w:bCs w:val="false"/>
          <w:i/>
          <w:iCs/>
          <w:sz w:val="22"/>
          <w:szCs w:val="22"/>
        </w:rPr>
        <w:t>Pitt Excavating</w:t>
      </w:r>
      <w:r>
        <w:rPr>
          <w:rFonts w:ascii="Times New Roman" w:hAnsi="Times New Roman"/>
          <w:b w:val="false"/>
          <w:bCs w:val="false"/>
          <w:i w:val="false"/>
          <w:iCs w:val="false"/>
          <w:sz w:val="22"/>
          <w:szCs w:val="22"/>
        </w:rPr>
        <w:t>, 603 F. Appx 393 (citing Stifel v Hopkins, 477 F.2d 1116, 1120 (6</w:t>
      </w:r>
      <w:r>
        <w:rPr>
          <w:rFonts w:ascii="Times New Roman" w:hAnsi="Times New Roman"/>
          <w:b w:val="false"/>
          <w:bCs w:val="false"/>
          <w:i w:val="false"/>
          <w:iCs w:val="false"/>
          <w:sz w:val="22"/>
          <w:szCs w:val="22"/>
          <w:vertAlign w:val="superscript"/>
        </w:rPr>
        <w:t>th</w:t>
      </w:r>
      <w:r>
        <w:rPr>
          <w:rFonts w:ascii="Times New Roman" w:hAnsi="Times New Roman"/>
          <w:b w:val="false"/>
          <w:bCs w:val="false"/>
          <w:i w:val="false"/>
          <w:iCs w:val="false"/>
          <w:sz w:val="22"/>
          <w:szCs w:val="22"/>
        </w:rPr>
        <w:t xml:space="preserve"> Cir. 1973)). Citizenship reflects a person’s long term plan for state of habitation rather than just current residence. Robinette, 2019 WL 13212618, at *2 (citing Myrick v. Wellpoint, Inc., 764 F.3d 662, 664 (7</w:t>
      </w:r>
      <w:r>
        <w:rPr>
          <w:rFonts w:ascii="Times New Roman" w:hAnsi="Times New Roman"/>
          <w:b w:val="false"/>
          <w:bCs w:val="false"/>
          <w:i w:val="false"/>
          <w:iCs w:val="false"/>
          <w:sz w:val="22"/>
          <w:szCs w:val="22"/>
          <w:vertAlign w:val="superscript"/>
        </w:rPr>
        <w:t>th</w:t>
      </w:r>
      <w:r>
        <w:rPr>
          <w:rFonts w:ascii="Times New Roman" w:hAnsi="Times New Roman"/>
          <w:b w:val="false"/>
          <w:bCs w:val="false"/>
          <w:i w:val="false"/>
          <w:iCs w:val="false"/>
          <w:sz w:val="22"/>
          <w:szCs w:val="22"/>
        </w:rPr>
        <w:t xml:space="preserve"> Cir. 2014)).</w:t>
      </w:r>
    </w:p>
    <w:p>
      <w:pPr>
        <w:pStyle w:val="Normal"/>
        <w:bidi w:val="0"/>
        <w:spacing w:lineRule="auto" w:line="480"/>
        <w:jc w:val="left"/>
        <w:rPr>
          <w:rFonts w:ascii="Times New Roman" w:hAnsi="Times New Roman"/>
          <w:sz w:val="22"/>
          <w:szCs w:val="22"/>
        </w:rPr>
      </w:pPr>
      <w:r>
        <w:rPr>
          <w:rFonts w:ascii="Times New Roman" w:hAnsi="Times New Roman"/>
          <w:b w:val="false"/>
          <w:bCs w:val="false"/>
          <w:i w:val="false"/>
          <w:iCs w:val="false"/>
          <w:sz w:val="22"/>
          <w:szCs w:val="22"/>
        </w:rPr>
        <w:tab/>
        <w:t xml:space="preserve">In </w:t>
      </w:r>
      <w:r>
        <w:rPr>
          <w:rFonts w:ascii="Times New Roman" w:hAnsi="Times New Roman"/>
          <w:b w:val="false"/>
          <w:bCs w:val="false"/>
          <w:i/>
          <w:iCs/>
          <w:sz w:val="22"/>
          <w:szCs w:val="22"/>
        </w:rPr>
        <w:t>Robinette</w:t>
      </w:r>
      <w:r>
        <w:rPr>
          <w:rFonts w:ascii="Times New Roman" w:hAnsi="Times New Roman"/>
          <w:b w:val="false"/>
          <w:bCs w:val="false"/>
          <w:i w:val="false"/>
          <w:iCs w:val="false"/>
          <w:sz w:val="22"/>
          <w:szCs w:val="22"/>
        </w:rPr>
        <w:t xml:space="preserve">, the court required the removing defendant to present affirmative proof of the disputed party’s citizenship in order to retain the case. Courts “consistently reject short-term, transient abnormalities as citizenship markers.” </w:t>
      </w:r>
      <w:r>
        <w:rPr>
          <w:rFonts w:ascii="Times New Roman" w:hAnsi="Times New Roman"/>
          <w:b w:val="false"/>
          <w:bCs w:val="false"/>
          <w:i/>
          <w:iCs/>
          <w:sz w:val="22"/>
          <w:szCs w:val="22"/>
        </w:rPr>
        <w:t>Robinette</w:t>
      </w:r>
      <w:r>
        <w:rPr>
          <w:rFonts w:ascii="Times New Roman" w:hAnsi="Times New Roman"/>
          <w:b w:val="false"/>
          <w:bCs w:val="false"/>
          <w:i w:val="false"/>
          <w:iCs w:val="false"/>
          <w:sz w:val="22"/>
          <w:szCs w:val="22"/>
        </w:rPr>
        <w:t xml:space="preserve">, 2019 WL 13212618, at *2. In </w:t>
      </w:r>
      <w:r>
        <w:rPr>
          <w:rFonts w:ascii="Times New Roman" w:hAnsi="Times New Roman"/>
          <w:b w:val="false"/>
          <w:bCs w:val="false"/>
          <w:i/>
          <w:iCs/>
          <w:sz w:val="22"/>
          <w:szCs w:val="22"/>
        </w:rPr>
        <w:t>Robinette</w:t>
      </w:r>
      <w:r>
        <w:rPr>
          <w:rFonts w:ascii="Times New Roman" w:hAnsi="Times New Roman"/>
          <w:b w:val="false"/>
          <w:bCs w:val="false"/>
          <w:i w:val="false"/>
          <w:iCs w:val="false"/>
          <w:sz w:val="22"/>
          <w:szCs w:val="22"/>
        </w:rPr>
        <w:t xml:space="preserve">, the plaintiff’s six month address in Kentucky did not override a thirteen year pattern of residence in Michigan. In </w:t>
      </w:r>
      <w:r>
        <w:rPr>
          <w:rFonts w:ascii="Times New Roman" w:hAnsi="Times New Roman"/>
          <w:b w:val="false"/>
          <w:bCs w:val="false"/>
          <w:i/>
          <w:iCs/>
          <w:sz w:val="22"/>
          <w:szCs w:val="22"/>
        </w:rPr>
        <w:t>Robinette</w:t>
      </w:r>
      <w:r>
        <w:rPr>
          <w:rFonts w:ascii="Times New Roman" w:hAnsi="Times New Roman"/>
          <w:b w:val="false"/>
          <w:bCs w:val="false"/>
          <w:i w:val="false"/>
          <w:iCs w:val="false"/>
          <w:sz w:val="22"/>
          <w:szCs w:val="22"/>
        </w:rPr>
        <w:t xml:space="preserve">, the court considered a print-out of Emmons’ Facebook profile saying that she currently lives in Kentucky and is from Michigan, this however, was not strong enough evidence to indicate that Emmons was a Kentucky citizen. </w:t>
      </w:r>
    </w:p>
    <w:p>
      <w:pPr>
        <w:pStyle w:val="Normal"/>
        <w:bidi w:val="0"/>
        <w:spacing w:lineRule="auto" w:line="480"/>
        <w:jc w:val="left"/>
        <w:rPr>
          <w:rFonts w:ascii="Times New Roman" w:hAnsi="Times New Roman"/>
          <w:sz w:val="22"/>
          <w:szCs w:val="22"/>
        </w:rPr>
      </w:pPr>
      <w:r>
        <w:rPr>
          <w:rFonts w:ascii="Times New Roman" w:hAnsi="Times New Roman"/>
          <w:b w:val="false"/>
          <w:bCs w:val="false"/>
          <w:i w:val="false"/>
          <w:iCs w:val="false"/>
          <w:sz w:val="22"/>
          <w:szCs w:val="22"/>
        </w:rPr>
        <w:tab/>
        <w:t xml:space="preserve">Pitt Excavating presents a case where Mr. Pitt sought to prove he was domiciled in Tennessee. Mr. Pitt began to stay at an apartment in Madison, Tennessee in November 2012 but did not begin to stay there exclusively until after eviction proceedings began in July 2013. However the court found Pitt’s behavior was “highly probative of a continuing desire to remain domiciled at the Kentucky farm” because he would still spend two to three nights per week at the farm up until September 2013. The court concluded that spending four to five nights per week in Tennessee in the weeks leading up to the case not sufficient to demonstrate that he abandoned his Kentucky domicile. </w:t>
      </w:r>
    </w:p>
    <w:p>
      <w:pPr>
        <w:pStyle w:val="Normal"/>
        <w:bidi w:val="0"/>
        <w:spacing w:lineRule="auto" w:line="480"/>
        <w:jc w:val="left"/>
        <w:rPr>
          <w:rFonts w:ascii="Times New Roman" w:hAnsi="Times New Roman"/>
          <w:sz w:val="22"/>
          <w:szCs w:val="22"/>
        </w:rPr>
      </w:pPr>
      <w:r>
        <w:rPr>
          <w:rFonts w:ascii="Times New Roman" w:hAnsi="Times New Roman"/>
          <w:b w:val="false"/>
          <w:bCs w:val="false"/>
          <w:i w:val="false"/>
          <w:iCs w:val="false"/>
          <w:sz w:val="22"/>
          <w:szCs w:val="22"/>
        </w:rPr>
        <w:tab/>
        <w:t xml:space="preserve">Fox’s Tennessee domicile is not contestable. He moved to Tennessee in 2019 to attend the University of Tennessee, he then relocated to Nashville after graduating in 2023. He leased an apartment in Nashville, obtained a Tennessee driver’s license, registered his vehicle in Tennessee, and registered to vote in Davidson county. A person’s previous domicile is not lost until a new one is acquired. </w:t>
      </w:r>
      <w:r>
        <w:rPr>
          <w:rFonts w:ascii="Times New Roman" w:hAnsi="Times New Roman"/>
          <w:b w:val="false"/>
          <w:bCs w:val="false"/>
          <w:i/>
          <w:iCs/>
          <w:sz w:val="22"/>
          <w:szCs w:val="22"/>
        </w:rPr>
        <w:t>Pitt Excavating</w:t>
      </w:r>
      <w:r>
        <w:rPr>
          <w:rFonts w:ascii="Times New Roman" w:hAnsi="Times New Roman"/>
          <w:b w:val="false"/>
          <w:bCs w:val="false"/>
          <w:i w:val="false"/>
          <w:iCs w:val="false"/>
          <w:sz w:val="22"/>
          <w:szCs w:val="22"/>
        </w:rPr>
        <w:t xml:space="preserve">, 603 F. Appx 393 (citing </w:t>
      </w:r>
      <w:r>
        <w:rPr>
          <w:rFonts w:ascii="Times New Roman" w:hAnsi="Times New Roman"/>
          <w:b w:val="false"/>
          <w:bCs w:val="false"/>
          <w:i/>
          <w:iCs/>
          <w:sz w:val="22"/>
          <w:szCs w:val="22"/>
        </w:rPr>
        <w:t xml:space="preserve">Von Dunser v. Aronoff </w:t>
      </w:r>
      <w:r>
        <w:rPr>
          <w:rFonts w:ascii="Times New Roman" w:hAnsi="Times New Roman"/>
          <w:b w:val="false"/>
          <w:bCs w:val="false"/>
          <w:i w:val="false"/>
          <w:iCs w:val="false"/>
          <w:sz w:val="22"/>
          <w:szCs w:val="22"/>
        </w:rPr>
        <w:t>915 F.2d 1071, 1072 (6</w:t>
      </w:r>
      <w:r>
        <w:rPr>
          <w:rFonts w:ascii="Times New Roman" w:hAnsi="Times New Roman"/>
          <w:b w:val="false"/>
          <w:bCs w:val="false"/>
          <w:i w:val="false"/>
          <w:iCs w:val="false"/>
          <w:sz w:val="22"/>
          <w:szCs w:val="22"/>
          <w:vertAlign w:val="superscript"/>
        </w:rPr>
        <w:t>th</w:t>
      </w:r>
      <w:r>
        <w:rPr>
          <w:rFonts w:ascii="Times New Roman" w:hAnsi="Times New Roman"/>
          <w:b w:val="false"/>
          <w:bCs w:val="false"/>
          <w:i w:val="false"/>
          <w:iCs w:val="false"/>
          <w:sz w:val="22"/>
          <w:szCs w:val="22"/>
        </w:rPr>
        <w:t xml:space="preserve"> Cir. 1990)). Fox’s Tennessee domicile continues unless the defendant proves a Kentucky domicile replaced it. Fox has purchased a house in Bowling Green, Kentucky, however, it cannot be considered a new domicile as he only spends one to two nights per week at that residence. If residing two to three nights per week in the original domicile in the </w:t>
      </w:r>
      <w:r>
        <w:rPr>
          <w:rFonts w:ascii="Times New Roman" w:hAnsi="Times New Roman"/>
          <w:b w:val="false"/>
          <w:bCs w:val="false"/>
          <w:i/>
          <w:iCs/>
          <w:sz w:val="22"/>
          <w:szCs w:val="22"/>
        </w:rPr>
        <w:t xml:space="preserve">Pitt </w:t>
      </w:r>
      <w:r>
        <w:rPr>
          <w:rFonts w:ascii="Times New Roman" w:hAnsi="Times New Roman"/>
          <w:b w:val="false"/>
          <w:bCs w:val="false"/>
          <w:i w:val="false"/>
          <w:iCs w:val="false"/>
          <w:sz w:val="22"/>
          <w:szCs w:val="22"/>
        </w:rPr>
        <w:t xml:space="preserve">case was evidence of a continued domicile in Kentucky then Fox spending most nights in Tennessee would be strong evidence of Tennessee domicile. The defendant’s argument that Fox is a Kentucky resident relies on Fox’s ownership of his Bowling Green property, however, ownership of property is not domicile.  In </w:t>
      </w:r>
      <w:r>
        <w:rPr>
          <w:rFonts w:ascii="Times New Roman" w:hAnsi="Times New Roman"/>
          <w:b w:val="false"/>
          <w:bCs w:val="false"/>
          <w:i/>
          <w:iCs/>
          <w:sz w:val="22"/>
          <w:szCs w:val="22"/>
        </w:rPr>
        <w:t>Pitt Excavating</w:t>
      </w:r>
      <w:r>
        <w:rPr>
          <w:rFonts w:ascii="Times New Roman" w:hAnsi="Times New Roman"/>
          <w:b w:val="false"/>
          <w:bCs w:val="false"/>
          <w:i w:val="false"/>
          <w:iCs w:val="false"/>
          <w:sz w:val="22"/>
          <w:szCs w:val="22"/>
        </w:rPr>
        <w:t xml:space="preserve">, Mr. Pitt was determined to be a Kentucky resident even though he did not even own the property on which he resided. </w:t>
      </w:r>
      <w:r>
        <w:rPr>
          <w:rFonts w:ascii="Times New Roman" w:hAnsi="Times New Roman"/>
          <w:b w:val="false"/>
          <w:bCs w:val="false"/>
          <w:i/>
          <w:iCs/>
          <w:sz w:val="22"/>
          <w:szCs w:val="22"/>
        </w:rPr>
        <w:t>Pitt Excavating</w:t>
      </w:r>
      <w:r>
        <w:rPr>
          <w:rFonts w:ascii="Times New Roman" w:hAnsi="Times New Roman"/>
          <w:b w:val="false"/>
          <w:bCs w:val="false"/>
          <w:i w:val="false"/>
          <w:iCs w:val="false"/>
          <w:sz w:val="22"/>
          <w:szCs w:val="22"/>
        </w:rPr>
        <w:t xml:space="preserve">, 603 F. Appx 394-97. This case applies the principle established in </w:t>
      </w:r>
      <w:r>
        <w:rPr>
          <w:rFonts w:ascii="Times New Roman" w:hAnsi="Times New Roman"/>
          <w:b w:val="false"/>
          <w:bCs w:val="false"/>
          <w:i/>
          <w:iCs/>
          <w:sz w:val="22"/>
          <w:szCs w:val="22"/>
        </w:rPr>
        <w:t>Stifel</w:t>
      </w:r>
      <w:r>
        <w:rPr>
          <w:rFonts w:ascii="Times New Roman" w:hAnsi="Times New Roman"/>
          <w:b w:val="false"/>
          <w:bCs w:val="false"/>
          <w:i w:val="false"/>
          <w:iCs w:val="false"/>
          <w:sz w:val="22"/>
          <w:szCs w:val="22"/>
        </w:rPr>
        <w:t xml:space="preserve"> which is that proving citizenship requires showing domicile not just residence. Fox uses the Bowling Green residence only on the weekends and holidays, it only furnished minimally and has only been connected to utilities for a few months. This does not reflect a house that is being occupied as a primary residence. Since Fox’s residence in Kentucky has been brief, this strengthens his argument as a Tennessee citizen. Fox’s social media profile is not sufficient to establish him as a Kentucky resident especially when other factors such as voter registration, vehicle registration and living patterns point to his status as a Tennessee citizen. The promotional flyer for one of Fox’s shows is not sufficient evidence of Kentucky citizenship either. Fox holds that he did not create nor approve it the flyer which is credited to CSP Marketing. </w:t>
      </w:r>
      <w:r>
        <w:rPr>
          <w:rFonts w:ascii="Times New Roman" w:hAnsi="Times New Roman"/>
          <w:b w:val="false"/>
          <w:bCs w:val="false"/>
          <w:i/>
          <w:iCs/>
          <w:sz w:val="22"/>
          <w:szCs w:val="22"/>
        </w:rPr>
        <w:t>Stifel</w:t>
      </w:r>
      <w:r>
        <w:rPr>
          <w:rFonts w:ascii="Times New Roman" w:hAnsi="Times New Roman"/>
          <w:b w:val="false"/>
          <w:bCs w:val="false"/>
          <w:i w:val="false"/>
          <w:iCs w:val="false"/>
          <w:sz w:val="22"/>
          <w:szCs w:val="22"/>
        </w:rPr>
        <w:t xml:space="preserve"> establishes that intent to domicile in a different state can be expressed through actions the party undertakes himself such as affidavits, registrations, opening bank accounts, etc. Since the flyer was created by a third party, this is weak evidence. </w:t>
      </w:r>
    </w:p>
    <w:p>
      <w:pPr>
        <w:pStyle w:val="Normal"/>
        <w:bidi w:val="0"/>
        <w:spacing w:lineRule="auto" w:line="480"/>
        <w:jc w:val="left"/>
        <w:rPr>
          <w:rFonts w:ascii="Times New Roman" w:hAnsi="Times New Roman"/>
          <w:sz w:val="22"/>
          <w:szCs w:val="22"/>
        </w:rPr>
      </w:pPr>
      <w:r>
        <w:rPr>
          <w:rFonts w:ascii="Times New Roman" w:hAnsi="Times New Roman"/>
          <w:b w:val="false"/>
          <w:bCs w:val="false"/>
          <w:i w:val="false"/>
          <w:iCs w:val="false"/>
          <w:sz w:val="22"/>
          <w:szCs w:val="22"/>
        </w:rPr>
        <w:tab/>
        <w:t xml:space="preserve">Fox’s case also differs from both </w:t>
      </w:r>
      <w:r>
        <w:rPr>
          <w:rFonts w:ascii="Times New Roman" w:hAnsi="Times New Roman"/>
          <w:b w:val="false"/>
          <w:bCs w:val="false"/>
          <w:i/>
          <w:iCs/>
          <w:sz w:val="22"/>
          <w:szCs w:val="22"/>
        </w:rPr>
        <w:t>Robinette</w:t>
      </w:r>
      <w:r>
        <w:rPr>
          <w:rFonts w:ascii="Times New Roman" w:hAnsi="Times New Roman"/>
          <w:b w:val="false"/>
          <w:bCs w:val="false"/>
          <w:i w:val="false"/>
          <w:iCs w:val="false"/>
          <w:sz w:val="22"/>
          <w:szCs w:val="22"/>
        </w:rPr>
        <w:t xml:space="preserve"> and </w:t>
      </w:r>
      <w:r>
        <w:rPr>
          <w:rFonts w:ascii="Times New Roman" w:hAnsi="Times New Roman"/>
          <w:b w:val="false"/>
          <w:bCs w:val="false"/>
          <w:i/>
          <w:iCs/>
          <w:sz w:val="22"/>
          <w:szCs w:val="22"/>
        </w:rPr>
        <w:t>Pitt Excavating</w:t>
      </w:r>
      <w:r>
        <w:rPr>
          <w:rFonts w:ascii="Times New Roman" w:hAnsi="Times New Roman"/>
          <w:b w:val="false"/>
          <w:bCs w:val="false"/>
          <w:i w:val="false"/>
          <w:iCs w:val="false"/>
          <w:sz w:val="22"/>
          <w:szCs w:val="22"/>
        </w:rPr>
        <w:t xml:space="preserve"> in ways that favor Tennessee domicile for Fox. Since Fox chose a Tennessee court, he does not need to prove his own citizenship. Fox’s claim is stronger than Mr. Pitt, he spends only one to two nights a week in Bowling Green and the remaining five or six days in Nashville. The defendant’s strongest argument is that Fox hopes to settle in Bowling Green when he marries his girlfriend. The defendant will argue that this is evidence that Fox intends for his long term residence to be Kentucky. This argument fails because domicile is fixed by the facts as they existed when the suit was initiated. </w:t>
      </w:r>
      <w:r>
        <w:rPr>
          <w:rFonts w:ascii="Times New Roman" w:hAnsi="Times New Roman"/>
          <w:b w:val="false"/>
          <w:bCs w:val="false"/>
          <w:i/>
          <w:iCs/>
          <w:sz w:val="22"/>
          <w:szCs w:val="22"/>
        </w:rPr>
        <w:t>Pitt Excavating</w:t>
      </w:r>
      <w:r>
        <w:rPr>
          <w:rFonts w:ascii="Times New Roman" w:hAnsi="Times New Roman"/>
          <w:b w:val="false"/>
          <w:bCs w:val="false"/>
          <w:i w:val="false"/>
          <w:iCs w:val="false"/>
          <w:sz w:val="22"/>
          <w:szCs w:val="22"/>
        </w:rPr>
        <w:t>, 603 F. Appx 396 (citing Dunbar, 426 F.2d 174, 177 (6</w:t>
      </w:r>
      <w:r>
        <w:rPr>
          <w:rFonts w:ascii="Times New Roman" w:hAnsi="Times New Roman"/>
          <w:b w:val="false"/>
          <w:bCs w:val="false"/>
          <w:i w:val="false"/>
          <w:iCs w:val="false"/>
          <w:sz w:val="22"/>
          <w:szCs w:val="22"/>
          <w:vertAlign w:val="superscript"/>
        </w:rPr>
        <w:t>th</w:t>
      </w:r>
      <w:r>
        <w:rPr>
          <w:rFonts w:ascii="Times New Roman" w:hAnsi="Times New Roman"/>
          <w:b w:val="false"/>
          <w:bCs w:val="false"/>
          <w:i w:val="false"/>
          <w:iCs w:val="false"/>
          <w:sz w:val="22"/>
          <w:szCs w:val="22"/>
        </w:rPr>
        <w:t xml:space="preserve"> Cir. 1970)). As of July 2026, Fox had not proposed, was not engaged, and was not married. An intention to relocate to another state at an unspecified time in the future is not an intention to establish domicile nor does it indicate the absence of an intention to make a home elsewhere. Fox did not indicate that he intended to abandon Tennessee citizenship because he said he plans to live in Nashville for at least the next few years because Nashville is where his regular gigs are played and where his income comes from. He added that even after any potential move to Kentucky, he would still commute to Nashville for work. Because Fox expects to continue earning income in Tennessee indefinitely and states that he will continue living there for the coming years, he has not formed a present intention to make Kentucky his home indefinitely.</w:t>
      </w:r>
    </w:p>
    <w:p>
      <w:pPr>
        <w:pStyle w:val="Normal"/>
        <w:bidi w:val="0"/>
        <w:spacing w:lineRule="auto" w:line="480"/>
        <w:jc w:val="left"/>
        <w:rPr>
          <w:rFonts w:ascii="Times New Roman" w:hAnsi="Times New Roman"/>
          <w:sz w:val="22"/>
          <w:szCs w:val="22"/>
        </w:rPr>
      </w:pPr>
      <w:r>
        <w:rPr>
          <w:rFonts w:ascii="Times New Roman" w:hAnsi="Times New Roman"/>
          <w:b w:val="false"/>
          <w:bCs w:val="false"/>
          <w:i w:val="false"/>
          <w:iCs w:val="false"/>
          <w:sz w:val="22"/>
          <w:szCs w:val="22"/>
        </w:rPr>
        <w:tab/>
        <w:t xml:space="preserve">The defendant cannot carry the burden of proving that Fox is a Kentucky citizen. Fox’s physical presence is predominately in Tennessee and exceeds the presence that Pitt had at his original domicile in Kentucky in </w:t>
      </w:r>
      <w:r>
        <w:rPr>
          <w:rFonts w:ascii="Times New Roman" w:hAnsi="Times New Roman"/>
          <w:b w:val="false"/>
          <w:bCs w:val="false"/>
          <w:i/>
          <w:iCs/>
          <w:sz w:val="22"/>
          <w:szCs w:val="22"/>
        </w:rPr>
        <w:t>Pitt Excavating</w:t>
      </w:r>
      <w:r>
        <w:rPr>
          <w:rFonts w:ascii="Times New Roman" w:hAnsi="Times New Roman"/>
          <w:b w:val="false"/>
          <w:bCs w:val="false"/>
          <w:i w:val="false"/>
          <w:iCs w:val="false"/>
          <w:sz w:val="22"/>
          <w:szCs w:val="22"/>
        </w:rPr>
        <w:t xml:space="preserve">. The signs of intent that the Sixth Circuit relied on in </w:t>
      </w:r>
      <w:r>
        <w:rPr>
          <w:rFonts w:ascii="Times New Roman" w:hAnsi="Times New Roman"/>
          <w:b w:val="false"/>
          <w:bCs w:val="false"/>
          <w:i/>
          <w:iCs/>
          <w:sz w:val="22"/>
          <w:szCs w:val="22"/>
        </w:rPr>
        <w:t>Pitt Excavating</w:t>
      </w:r>
      <w:r>
        <w:rPr>
          <w:rFonts w:ascii="Times New Roman" w:hAnsi="Times New Roman"/>
          <w:b w:val="false"/>
          <w:bCs w:val="false"/>
          <w:i w:val="false"/>
          <w:iCs w:val="false"/>
          <w:sz w:val="22"/>
          <w:szCs w:val="22"/>
        </w:rPr>
        <w:t xml:space="preserve"> point to Tennessee in Fox’s case. Fox presents stronger evidence indicating evidence against a Kentucky domicile he has a Nashville lease, an active Tennessee voter registration, a Tennessee license, a Tennessee vehicle registration, and a music career based in Nashville. The defendant’s case for Fox being a Kentucky citizen rests upon his recently finished Bowling Green house, his social media profile, and a promoter’s flyer advertising his show. A court will likely find that Fox remains a citizen of Tennessee when the suit was initiated and that complete diversity is absent.</w:t>
      </w:r>
    </w:p>
    <w:p>
      <w:pPr>
        <w:pStyle w:val="Normal"/>
        <w:bidi w:val="0"/>
        <w:spacing w:lineRule="auto" w:line="480"/>
        <w:jc w:val="left"/>
        <w:rPr/>
      </w:pPr>
      <w:r>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Times New Roman">
    <w:charset w:val="01"/>
    <w:family w:val="roman"/>
    <w:pitch w:val="default"/>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118</TotalTime>
  <Application>LibreOffice/7.3.7.2$Linux_X86_64 LibreOffice_project/30$Build-2</Application>
  <AppVersion>15.0000</AppVersion>
  <Pages>3</Pages>
  <Words>1338</Words>
  <Characters>6801</Characters>
  <CharactersWithSpaces>8142</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2026-09-16T20:15:35Z</dcterms:created>
  <dc:creator/>
  <dc:description/>
  <dc:language>en-US</dc:language>
  <cp:lastModifiedBy/>
  <dcterms:modified xsi:type="dcterms:W3CDTF">2026-09-28T16:36:07Z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