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jc w:val="left"/>
        <w:rPr/>
      </w:pPr>
      <w:r>
        <w:rPr/>
        <w:t>Residence is not synonymous with citizenship (Robinette v Emmons *2)</w:t>
      </w:r>
    </w:p>
    <w:p>
      <w:pPr>
        <w:pStyle w:val="Normal"/>
        <w:numPr>
          <w:ilvl w:val="0"/>
          <w:numId w:val="1"/>
        </w:numPr>
        <w:bidi w:val="0"/>
        <w:jc w:val="left"/>
        <w:rPr/>
      </w:pPr>
      <w:r>
        <w:rPr/>
        <w:t>A person can reside in one state and be domiciled in another. Miss. Band of Choctaw Indians v. Holyfield, 490 U.S. 30 (1989)</w:t>
      </w:r>
    </w:p>
    <w:p>
      <w:pPr>
        <w:pStyle w:val="Normal"/>
        <w:numPr>
          <w:ilvl w:val="0"/>
          <w:numId w:val="1"/>
        </w:numPr>
        <w:bidi w:val="0"/>
        <w:jc w:val="left"/>
        <w:rPr/>
      </w:pPr>
      <w:r>
        <w:rPr/>
        <w:t>Two requirements are required to acquire a new domicile, physical presence in the new state and either intention to make a home there indefinitely or the absence of an intention to make a home elsewhere. See Gilbert v. David, 235 U.S. 561, 569-70, 35 S.Ct. 164, 59 L.Ed. 360 (1915)</w:t>
      </w:r>
    </w:p>
    <w:p>
      <w:pPr>
        <w:pStyle w:val="Normal"/>
        <w:numPr>
          <w:ilvl w:val="0"/>
          <w:numId w:val="1"/>
        </w:numPr>
        <w:bidi w:val="0"/>
        <w:jc w:val="left"/>
        <w:rPr/>
      </w:pPr>
      <w:r>
        <w:rPr/>
        <w:t>“</w:t>
      </w:r>
      <w:r>
        <w:rPr/>
        <w:t xml:space="preserve">A person's previous domicile is not lost until a new one is acquired”. Von Dunser v. Aronoff, 915 F.2d 1071, 1072 (6th Cir.1990)  </w:t>
      </w:r>
    </w:p>
    <w:p>
      <w:pPr>
        <w:pStyle w:val="Normal"/>
        <w:numPr>
          <w:ilvl w:val="0"/>
          <w:numId w:val="1"/>
        </w:numPr>
        <w:bidi w:val="0"/>
        <w:jc w:val="left"/>
        <w:rPr/>
      </w:pPr>
      <w:r>
        <w:rPr/>
        <w:t>“</w:t>
      </w:r>
      <w:r>
        <w:rPr/>
        <w:t xml:space="preserve">Federal jurisdiction is tested according to the facts as they exist at the time an action is initiated” Television Reception Corp. v. Dunbar, 426 F.2d 174, 177 (6th Cir.1970). </w:t>
      </w:r>
    </w:p>
    <w:p>
      <w:pPr>
        <w:pStyle w:val="Normal"/>
        <w:numPr>
          <w:ilvl w:val="0"/>
          <w:numId w:val="1"/>
        </w:numPr>
        <w:bidi w:val="0"/>
        <w:jc w:val="left"/>
        <w:rPr/>
      </w:pPr>
      <w:r>
        <w:rPr/>
        <w:t>“</w:t>
      </w:r>
      <w:r>
        <w:rPr/>
        <w:t>Federal courts are courts of limited jurisdiction,” and “the burden of establishing” a jurisdictional basis “rests upon the party asserting jurisdiction.” Kokkonen v. Guardian Life Ins. Co. of Am., 114 S. Ct. 1673, 1675 (1994).</w:t>
      </w:r>
    </w:p>
    <w:p>
      <w:pPr>
        <w:pStyle w:val="Normal"/>
        <w:bidi w:val="0"/>
        <w:jc w:val="left"/>
        <w:rPr/>
      </w:pPr>
      <w:r>
        <w:rPr/>
      </w:r>
    </w:p>
    <w:p>
      <w:pPr>
        <w:pStyle w:val="Normal"/>
        <w:bidi w:val="0"/>
        <w:jc w:val="left"/>
        <w:rPr>
          <w:b/>
          <w:b/>
          <w:bCs/>
        </w:rPr>
      </w:pPr>
      <w:r>
        <w:rPr>
          <w:b/>
          <w:bCs/>
        </w:rPr>
        <w:t>Deasy v. Louisville &amp; Jefferson County Metropolitan Sewer District</w:t>
      </w:r>
    </w:p>
    <w:p>
      <w:pPr>
        <w:pStyle w:val="Normal"/>
        <w:bidi w:val="0"/>
        <w:jc w:val="left"/>
        <w:rPr/>
      </w:pPr>
      <w:r>
        <w:rPr/>
        <w:t>Posture</w:t>
      </w:r>
    </w:p>
    <w:p>
      <w:pPr>
        <w:pStyle w:val="Normal"/>
        <w:numPr>
          <w:ilvl w:val="0"/>
          <w:numId w:val="2"/>
        </w:numPr>
        <w:bidi w:val="0"/>
        <w:jc w:val="left"/>
        <w:rPr/>
      </w:pPr>
      <w:r>
        <w:rPr/>
        <w:t>Plaintiff sued 35 Kentucky defendants under §§ 1331 and 1332</w:t>
      </w:r>
    </w:p>
    <w:p>
      <w:pPr>
        <w:pStyle w:val="Normal"/>
        <w:numPr>
          <w:ilvl w:val="0"/>
          <w:numId w:val="2"/>
        </w:numPr>
        <w:bidi w:val="0"/>
        <w:jc w:val="left"/>
        <w:rPr/>
      </w:pPr>
      <w:r>
        <w:rPr/>
        <w:t xml:space="preserve">Rule 12(b)(1) granted for lack of subject matter jurisdiction </w:t>
      </w:r>
    </w:p>
    <w:p>
      <w:pPr>
        <w:pStyle w:val="Normal"/>
        <w:numPr>
          <w:ilvl w:val="0"/>
          <w:numId w:val="2"/>
        </w:numPr>
        <w:bidi w:val="0"/>
        <w:jc w:val="left"/>
        <w:rPr/>
      </w:pPr>
      <w:r>
        <w:rPr/>
        <w:t>Sixth circuit affirmed</w:t>
      </w:r>
    </w:p>
    <w:p>
      <w:pPr>
        <w:pStyle w:val="Normal"/>
        <w:bidi w:val="0"/>
        <w:jc w:val="left"/>
        <w:rPr/>
      </w:pPr>
      <w:r>
        <w:rPr/>
        <w:t>Jurisdiction</w:t>
      </w:r>
    </w:p>
    <w:p>
      <w:pPr>
        <w:pStyle w:val="Normal"/>
        <w:numPr>
          <w:ilvl w:val="0"/>
          <w:numId w:val="2"/>
        </w:numPr>
        <w:bidi w:val="0"/>
        <w:jc w:val="left"/>
        <w:rPr/>
      </w:pPr>
      <w:r>
        <w:rPr/>
        <w:t>Deasy wanted to prove that he was a resident of Tennessee, he wanted the court to be in the Western District of Kentucky, they had 1332 jurisdiction over the sewer district claims</w:t>
      </w:r>
    </w:p>
    <w:p>
      <w:pPr>
        <w:pStyle w:val="Normal"/>
        <w:numPr>
          <w:ilvl w:val="0"/>
          <w:numId w:val="2"/>
        </w:numPr>
        <w:bidi w:val="0"/>
        <w:jc w:val="left"/>
        <w:rPr/>
      </w:pPr>
      <w:r>
        <w:rPr/>
        <w:t>The defendants wanted to prove that Deasy was a Kentucky resident, meaning that he and every defendant shared a state, complete diversity would fail and the court would not have subject matter jurisdiction</w:t>
      </w:r>
    </w:p>
    <w:p>
      <w:pPr>
        <w:pStyle w:val="Normal"/>
        <w:bidi w:val="0"/>
        <w:jc w:val="left"/>
        <w:rPr/>
      </w:pPr>
      <w:r>
        <w:rPr/>
        <w:t>Facts</w:t>
      </w:r>
    </w:p>
    <w:p>
      <w:pPr>
        <w:pStyle w:val="Normal"/>
        <w:numPr>
          <w:ilvl w:val="0"/>
          <w:numId w:val="3"/>
        </w:numPr>
        <w:bidi w:val="0"/>
        <w:jc w:val="left"/>
        <w:rPr/>
      </w:pPr>
      <w:r>
        <w:rPr/>
        <w:t>Deasy claimed residence in Portland, Tennessee but listed a Louisville, Kentucky address for mail and business</w:t>
      </w:r>
    </w:p>
    <w:p>
      <w:pPr>
        <w:pStyle w:val="Normal"/>
        <w:numPr>
          <w:ilvl w:val="0"/>
          <w:numId w:val="3"/>
        </w:numPr>
        <w:bidi w:val="0"/>
        <w:jc w:val="left"/>
        <w:rPr/>
      </w:pPr>
      <w:r>
        <w:rPr/>
        <w:t xml:space="preserve">His claimed Tennessee residence was half of his sister’s duplex </w:t>
      </w:r>
    </w:p>
    <w:p>
      <w:pPr>
        <w:pStyle w:val="Normal"/>
        <w:numPr>
          <w:ilvl w:val="0"/>
          <w:numId w:val="3"/>
        </w:numPr>
        <w:bidi w:val="0"/>
        <w:jc w:val="left"/>
        <w:rPr/>
      </w:pPr>
      <w:r>
        <w:rPr/>
        <w:t>He owned the home he lived in when in Kentucky</w:t>
      </w:r>
    </w:p>
    <w:p>
      <w:pPr>
        <w:pStyle w:val="Normal"/>
        <w:numPr>
          <w:ilvl w:val="0"/>
          <w:numId w:val="3"/>
        </w:numPr>
        <w:bidi w:val="0"/>
        <w:jc w:val="left"/>
        <w:rPr/>
      </w:pPr>
      <w:r>
        <w:rPr/>
        <w:t>He changed his voter registration to Tennessee but never voted there and voted regularly in Kentucky before the change</w:t>
      </w:r>
    </w:p>
    <w:p>
      <w:pPr>
        <w:pStyle w:val="Normal"/>
        <w:numPr>
          <w:ilvl w:val="0"/>
          <w:numId w:val="3"/>
        </w:numPr>
        <w:bidi w:val="0"/>
        <w:jc w:val="left"/>
        <w:rPr/>
      </w:pPr>
      <w:r>
        <w:rPr/>
        <w:t xml:space="preserve">He was physically present in Tennessee only on weekends </w:t>
      </w:r>
    </w:p>
    <w:p>
      <w:pPr>
        <w:pStyle w:val="Normal"/>
        <w:numPr>
          <w:ilvl w:val="0"/>
          <w:numId w:val="3"/>
        </w:numPr>
        <w:bidi w:val="0"/>
        <w:jc w:val="left"/>
        <w:rPr/>
      </w:pPr>
      <w:r>
        <w:rPr/>
        <w:t>His daughter had never attended school in Tennessee</w:t>
      </w:r>
    </w:p>
    <w:p>
      <w:pPr>
        <w:pStyle w:val="Normal"/>
        <w:bidi w:val="0"/>
        <w:jc w:val="left"/>
        <w:rPr/>
      </w:pPr>
      <w:r>
        <w:rPr/>
        <w:t>Issue</w:t>
      </w:r>
    </w:p>
    <w:p>
      <w:pPr>
        <w:pStyle w:val="Normal"/>
        <w:numPr>
          <w:ilvl w:val="0"/>
          <w:numId w:val="4"/>
        </w:numPr>
        <w:bidi w:val="0"/>
        <w:jc w:val="left"/>
        <w:rPr/>
      </w:pPr>
      <w:r>
        <w:rPr/>
        <w:t>Was Deasy a resident of Tennessee or Kentucky?</w:t>
      </w:r>
    </w:p>
    <w:p>
      <w:pPr>
        <w:pStyle w:val="Normal"/>
        <w:bidi w:val="0"/>
        <w:jc w:val="left"/>
        <w:rPr/>
      </w:pPr>
      <w:r>
        <w:rPr/>
        <w:t>Holding</w:t>
      </w:r>
    </w:p>
    <w:p>
      <w:pPr>
        <w:pStyle w:val="Normal"/>
        <w:numPr>
          <w:ilvl w:val="0"/>
          <w:numId w:val="5"/>
        </w:numPr>
        <w:bidi w:val="0"/>
        <w:jc w:val="left"/>
        <w:rPr/>
      </w:pPr>
      <w:r>
        <w:rPr/>
        <w:t xml:space="preserve">Kentucky was Deasy’s domicile, diversity jurisdiction was lacking </w:t>
      </w:r>
    </w:p>
    <w:p>
      <w:pPr>
        <w:pStyle w:val="Normal"/>
        <w:bidi w:val="0"/>
        <w:jc w:val="left"/>
        <w:rPr/>
      </w:pPr>
      <w:r>
        <w:rPr/>
        <w:t>Reasoning</w:t>
      </w:r>
    </w:p>
    <w:p>
      <w:pPr>
        <w:pStyle w:val="Normal"/>
        <w:numPr>
          <w:ilvl w:val="0"/>
          <w:numId w:val="6"/>
        </w:numPr>
        <w:bidi w:val="0"/>
        <w:jc w:val="left"/>
        <w:rPr/>
      </w:pPr>
      <w:r>
        <w:rPr/>
        <w:t>Deasy presented no evidence inconsistent with a Kentucky domicile</w:t>
      </w:r>
    </w:p>
    <w:p>
      <w:pPr>
        <w:pStyle w:val="Normal"/>
        <w:numPr>
          <w:ilvl w:val="0"/>
          <w:numId w:val="6"/>
        </w:numPr>
        <w:bidi w:val="0"/>
        <w:jc w:val="left"/>
        <w:rPr/>
      </w:pPr>
      <w:r>
        <w:rPr/>
        <w:t>A voter registration change without actual voting did not move the needle</w:t>
      </w:r>
    </w:p>
    <w:p>
      <w:pPr>
        <w:pStyle w:val="Normal"/>
        <w:numPr>
          <w:ilvl w:val="0"/>
          <w:numId w:val="6"/>
        </w:numPr>
        <w:bidi w:val="0"/>
        <w:jc w:val="left"/>
        <w:rPr/>
      </w:pPr>
      <w:r>
        <w:rPr/>
        <w:t>Deasy owned a home in Kentucky while only claiming half of a duplex in Tennessee</w:t>
      </w:r>
    </w:p>
    <w:p>
      <w:pPr>
        <w:pStyle w:val="Normal"/>
        <w:numPr>
          <w:ilvl w:val="0"/>
          <w:numId w:val="6"/>
        </w:numPr>
        <w:bidi w:val="0"/>
        <w:jc w:val="left"/>
        <w:rPr/>
      </w:pPr>
      <w:r>
        <w:rPr/>
        <w:t>Deasy rents his Tennessee home he inhered instead of living there</w:t>
      </w:r>
    </w:p>
    <w:p>
      <w:pPr>
        <w:pStyle w:val="Normal"/>
        <w:bidi w:val="0"/>
        <w:jc w:val="left"/>
        <w:rPr/>
      </w:pPr>
      <w:r>
        <w:rPr/>
        <w:t>Relation to Fox Case</w:t>
      </w:r>
    </w:p>
    <w:p>
      <w:pPr>
        <w:pStyle w:val="Normal"/>
        <w:numPr>
          <w:ilvl w:val="0"/>
          <w:numId w:val="7"/>
        </w:numPr>
        <w:bidi w:val="0"/>
        <w:jc w:val="left"/>
        <w:rPr/>
      </w:pPr>
      <w:r>
        <w:rPr/>
        <w:t>Deasy had Kentucky home ownership with presence in Tennessee</w:t>
      </w:r>
    </w:p>
    <w:p>
      <w:pPr>
        <w:pStyle w:val="Normal"/>
        <w:numPr>
          <w:ilvl w:val="0"/>
          <w:numId w:val="7"/>
        </w:numPr>
        <w:bidi w:val="0"/>
        <w:jc w:val="left"/>
        <w:rPr/>
      </w:pPr>
      <w:r>
        <w:rPr/>
        <w:t>Deasy’s primary location was in Kentucky, Fox’s primary location was in Tennessee</w:t>
      </w:r>
    </w:p>
    <w:p>
      <w:pPr>
        <w:pStyle w:val="Normal"/>
        <w:bidi w:val="0"/>
        <w:jc w:val="left"/>
        <w:rPr/>
      </w:pPr>
      <w:r>
        <w:rPr/>
      </w:r>
    </w:p>
    <w:p>
      <w:pPr>
        <w:pStyle w:val="Normal"/>
        <w:bidi w:val="0"/>
        <w:jc w:val="left"/>
        <w:rPr>
          <w:b/>
          <w:b/>
          <w:bCs/>
        </w:rPr>
      </w:pPr>
      <w:r>
        <w:rPr>
          <w:b/>
          <w:bCs/>
        </w:rPr>
        <w:t>Pitt Excavating, LLC v. Pitt</w:t>
      </w:r>
    </w:p>
    <w:p>
      <w:pPr>
        <w:pStyle w:val="Normal"/>
        <w:bidi w:val="0"/>
        <w:jc w:val="left"/>
        <w:rPr>
          <w:b w:val="false"/>
          <w:b w:val="false"/>
          <w:bCs w:val="false"/>
        </w:rPr>
      </w:pPr>
      <w:r>
        <w:rPr>
          <w:b w:val="false"/>
          <w:bCs w:val="false"/>
        </w:rPr>
        <w:t>Posture</w:t>
      </w:r>
    </w:p>
    <w:p>
      <w:pPr>
        <w:pStyle w:val="Normal"/>
        <w:numPr>
          <w:ilvl w:val="0"/>
          <w:numId w:val="8"/>
        </w:numPr>
        <w:bidi w:val="0"/>
        <w:jc w:val="left"/>
        <w:rPr>
          <w:b w:val="false"/>
          <w:b w:val="false"/>
          <w:bCs w:val="false"/>
        </w:rPr>
      </w:pPr>
      <w:r>
        <w:rPr>
          <w:b w:val="false"/>
          <w:bCs w:val="false"/>
        </w:rPr>
        <w:t>A Tennessee LLC sued its sole member’s ex-wife who was a Kentucky citizen for conversion and breach of fiduciary duty in the US District Court for the Middle District of Tennessee</w:t>
      </w:r>
    </w:p>
    <w:p>
      <w:pPr>
        <w:pStyle w:val="Normal"/>
        <w:numPr>
          <w:ilvl w:val="0"/>
          <w:numId w:val="8"/>
        </w:numPr>
        <w:bidi w:val="0"/>
        <w:jc w:val="left"/>
        <w:rPr>
          <w:b w:val="false"/>
          <w:b w:val="false"/>
          <w:bCs w:val="false"/>
        </w:rPr>
      </w:pPr>
      <w:r>
        <w:rPr>
          <w:b w:val="false"/>
          <w:bCs w:val="false"/>
        </w:rPr>
        <w:t>The district court first found diversity was established</w:t>
      </w:r>
    </w:p>
    <w:p>
      <w:pPr>
        <w:pStyle w:val="Normal"/>
        <w:numPr>
          <w:ilvl w:val="0"/>
          <w:numId w:val="8"/>
        </w:numPr>
        <w:bidi w:val="0"/>
        <w:jc w:val="left"/>
        <w:rPr>
          <w:b w:val="false"/>
          <w:b w:val="false"/>
          <w:bCs w:val="false"/>
        </w:rPr>
      </w:pPr>
      <w:r>
        <w:rPr>
          <w:b w:val="false"/>
          <w:bCs w:val="false"/>
        </w:rPr>
        <w:t>On reconsideration and an evidentiary hearing, this was dismissed for lack of jurisdictional</w:t>
      </w:r>
    </w:p>
    <w:p>
      <w:pPr>
        <w:pStyle w:val="Normal"/>
        <w:numPr>
          <w:ilvl w:val="0"/>
          <w:numId w:val="8"/>
        </w:numPr>
        <w:bidi w:val="0"/>
        <w:jc w:val="left"/>
        <w:rPr>
          <w:b w:val="false"/>
          <w:b w:val="false"/>
          <w:bCs w:val="false"/>
        </w:rPr>
      </w:pPr>
      <w:r>
        <w:rPr>
          <w:b w:val="false"/>
          <w:bCs w:val="false"/>
        </w:rPr>
        <w:t xml:space="preserve">$22,376.42 were imposed in fees </w:t>
      </w:r>
    </w:p>
    <w:p>
      <w:pPr>
        <w:pStyle w:val="Normal"/>
        <w:bidi w:val="0"/>
        <w:jc w:val="left"/>
        <w:rPr>
          <w:b w:val="false"/>
          <w:b w:val="false"/>
          <w:bCs w:val="false"/>
        </w:rPr>
      </w:pPr>
      <w:r>
        <w:rPr>
          <w:b w:val="false"/>
          <w:bCs w:val="false"/>
        </w:rPr>
        <w:t xml:space="preserve">Facts </w:t>
      </w:r>
    </w:p>
    <w:p>
      <w:pPr>
        <w:pStyle w:val="Normal"/>
        <w:numPr>
          <w:ilvl w:val="0"/>
          <w:numId w:val="9"/>
        </w:numPr>
        <w:bidi w:val="0"/>
        <w:jc w:val="left"/>
        <w:rPr>
          <w:b w:val="false"/>
          <w:b w:val="false"/>
          <w:bCs w:val="false"/>
        </w:rPr>
      </w:pPr>
      <w:r>
        <w:rPr>
          <w:b w:val="false"/>
          <w:bCs w:val="false"/>
        </w:rPr>
        <w:t>Mr. Pitt lived at the Kentucky farm awarded to his ex wife in their divorce</w:t>
      </w:r>
    </w:p>
    <w:p>
      <w:pPr>
        <w:pStyle w:val="Normal"/>
        <w:numPr>
          <w:ilvl w:val="0"/>
          <w:numId w:val="9"/>
        </w:numPr>
        <w:bidi w:val="0"/>
        <w:jc w:val="left"/>
        <w:rPr>
          <w:b w:val="false"/>
          <w:b w:val="false"/>
          <w:bCs w:val="false"/>
        </w:rPr>
      </w:pPr>
      <w:r>
        <w:rPr>
          <w:b w:val="false"/>
          <w:bCs w:val="false"/>
        </w:rPr>
        <w:t>He leased an apartment in Madison, Tennessee beginning in November 2012, held a Tennessee CDL and contractor’s license, and paid federal taxes on Tennessee earned income</w:t>
      </w:r>
    </w:p>
    <w:p>
      <w:pPr>
        <w:pStyle w:val="Normal"/>
        <w:numPr>
          <w:ilvl w:val="0"/>
          <w:numId w:val="9"/>
        </w:numPr>
        <w:bidi w:val="0"/>
        <w:jc w:val="left"/>
        <w:rPr>
          <w:b w:val="false"/>
          <w:b w:val="false"/>
          <w:bCs w:val="false"/>
        </w:rPr>
      </w:pPr>
      <w:r>
        <w:rPr>
          <w:b w:val="false"/>
          <w:bCs w:val="false"/>
        </w:rPr>
        <w:t>His ex wife filed an eviction petition in July 2013 leading Pitt to stay exclusively at the Tennessee apartment</w:t>
      </w:r>
    </w:p>
    <w:p>
      <w:pPr>
        <w:pStyle w:val="Normal"/>
        <w:numPr>
          <w:ilvl w:val="0"/>
          <w:numId w:val="9"/>
        </w:numPr>
        <w:bidi w:val="0"/>
        <w:jc w:val="left"/>
        <w:rPr>
          <w:b w:val="false"/>
          <w:b w:val="false"/>
          <w:bCs w:val="false"/>
        </w:rPr>
      </w:pPr>
      <w:r>
        <w:rPr>
          <w:b w:val="false"/>
          <w:bCs w:val="false"/>
        </w:rPr>
        <w:t>He never changed his voter registration from Kentucky and voted in Kentucky in 2012</w:t>
      </w:r>
    </w:p>
    <w:p>
      <w:pPr>
        <w:pStyle w:val="Normal"/>
        <w:numPr>
          <w:ilvl w:val="0"/>
          <w:numId w:val="9"/>
        </w:numPr>
        <w:bidi w:val="0"/>
        <w:jc w:val="left"/>
        <w:rPr>
          <w:b w:val="false"/>
          <w:b w:val="false"/>
          <w:bCs w:val="false"/>
        </w:rPr>
      </w:pPr>
      <w:r>
        <w:rPr>
          <w:b w:val="false"/>
          <w:bCs w:val="false"/>
        </w:rPr>
        <w:t>In a July 2013 filing objecting to the eviction, he stated he had continued to live on the Kentucky estate since 2008</w:t>
      </w:r>
    </w:p>
    <w:p>
      <w:pPr>
        <w:pStyle w:val="Normal"/>
        <w:numPr>
          <w:ilvl w:val="0"/>
          <w:numId w:val="9"/>
        </w:numPr>
        <w:bidi w:val="0"/>
        <w:jc w:val="left"/>
        <w:rPr>
          <w:b w:val="false"/>
          <w:b w:val="false"/>
          <w:bCs w:val="false"/>
        </w:rPr>
      </w:pPr>
      <w:r>
        <w:rPr>
          <w:b w:val="false"/>
          <w:bCs w:val="false"/>
        </w:rPr>
        <w:t>After filing his lawsuit, he signed a materialman’s lien affidavit listing the Kentucky farm as his address</w:t>
      </w:r>
    </w:p>
    <w:p>
      <w:pPr>
        <w:pStyle w:val="Normal"/>
        <w:numPr>
          <w:ilvl w:val="0"/>
          <w:numId w:val="9"/>
        </w:numPr>
        <w:bidi w:val="0"/>
        <w:jc w:val="left"/>
        <w:rPr>
          <w:b w:val="false"/>
          <w:b w:val="false"/>
          <w:bCs w:val="false"/>
        </w:rPr>
      </w:pPr>
      <w:r>
        <w:rPr>
          <w:b w:val="false"/>
          <w:bCs w:val="false"/>
        </w:rPr>
        <w:t>He petitioned a Kentucky court to set aside the divorce decree so as to reclaim the farm</w:t>
      </w:r>
    </w:p>
    <w:p>
      <w:pPr>
        <w:pStyle w:val="Normal"/>
        <w:bidi w:val="0"/>
        <w:jc w:val="left"/>
        <w:rPr>
          <w:b w:val="false"/>
          <w:b w:val="false"/>
          <w:bCs w:val="false"/>
        </w:rPr>
      </w:pPr>
      <w:r>
        <w:rPr>
          <w:b w:val="false"/>
          <w:bCs w:val="false"/>
        </w:rPr>
        <w:t>Issue</w:t>
      </w:r>
    </w:p>
    <w:p>
      <w:pPr>
        <w:pStyle w:val="Normal"/>
        <w:numPr>
          <w:ilvl w:val="0"/>
          <w:numId w:val="11"/>
        </w:numPr>
        <w:bidi w:val="0"/>
        <w:jc w:val="left"/>
        <w:rPr>
          <w:b w:val="false"/>
          <w:b w:val="false"/>
          <w:bCs w:val="false"/>
        </w:rPr>
      </w:pPr>
      <w:r>
        <w:rPr>
          <w:b w:val="false"/>
          <w:bCs w:val="false"/>
        </w:rPr>
        <w:t>Whether Mr. Pitt had abandoned his Kentucky domicile and acquired a Tennessee domicile as of the September 10, 2013 filing date</w:t>
      </w:r>
    </w:p>
    <w:p>
      <w:pPr>
        <w:pStyle w:val="Normal"/>
        <w:bidi w:val="0"/>
        <w:jc w:val="left"/>
        <w:rPr>
          <w:b w:val="false"/>
          <w:b w:val="false"/>
          <w:bCs w:val="false"/>
        </w:rPr>
      </w:pPr>
      <w:r>
        <w:rPr>
          <w:b w:val="false"/>
          <w:bCs w:val="false"/>
        </w:rPr>
        <w:t>Holding</w:t>
      </w:r>
    </w:p>
    <w:p>
      <w:pPr>
        <w:pStyle w:val="Normal"/>
        <w:numPr>
          <w:ilvl w:val="0"/>
          <w:numId w:val="10"/>
        </w:numPr>
        <w:bidi w:val="0"/>
        <w:jc w:val="left"/>
        <w:rPr>
          <w:b w:val="false"/>
          <w:b w:val="false"/>
          <w:bCs w:val="false"/>
        </w:rPr>
      </w:pPr>
      <w:r>
        <w:rPr>
          <w:b w:val="false"/>
          <w:bCs w:val="false"/>
        </w:rPr>
        <w:t>No, Mr. Pitt remained a Kentucky citizen, diversity was absent and the case was dismissed</w:t>
      </w:r>
    </w:p>
    <w:p>
      <w:pPr>
        <w:pStyle w:val="Normal"/>
        <w:bidi w:val="0"/>
        <w:jc w:val="left"/>
        <w:rPr>
          <w:b w:val="false"/>
          <w:b w:val="false"/>
          <w:bCs w:val="false"/>
        </w:rPr>
      </w:pPr>
      <w:r>
        <w:rPr>
          <w:b w:val="false"/>
          <w:bCs w:val="false"/>
        </w:rPr>
        <w:t>Reasoning</w:t>
      </w:r>
    </w:p>
    <w:p>
      <w:pPr>
        <w:pStyle w:val="Normal"/>
        <w:numPr>
          <w:ilvl w:val="0"/>
          <w:numId w:val="12"/>
        </w:numPr>
        <w:bidi w:val="0"/>
        <w:jc w:val="left"/>
        <w:rPr/>
      </w:pPr>
      <w:r>
        <w:rPr>
          <w:b w:val="false"/>
          <w:bCs w:val="false"/>
        </w:rPr>
        <w:t>Physical presence in Tennessee was satisfied but intent as a Tennessee citizen was not</w:t>
      </w:r>
    </w:p>
    <w:p>
      <w:pPr>
        <w:pStyle w:val="Normal"/>
        <w:numPr>
          <w:ilvl w:val="0"/>
          <w:numId w:val="12"/>
        </w:numPr>
        <w:bidi w:val="0"/>
        <w:jc w:val="left"/>
        <w:rPr/>
      </w:pPr>
      <w:r>
        <w:rPr>
          <w:b w:val="false"/>
          <w:bCs w:val="false"/>
        </w:rPr>
        <w:t>Presence that is compelled does not move domicile, “one who is in a place solely by virtue of superior force exerted by another should not be held to have abandoned his former domicile.” Stifel, 477 F.2d at 1121; see also Denlinger v. Brennan, 87 F.3d 214, 216 (7th Cir.1996)</w:t>
      </w:r>
    </w:p>
    <w:p>
      <w:pPr>
        <w:pStyle w:val="Normal"/>
        <w:numPr>
          <w:ilvl w:val="0"/>
          <w:numId w:val="12"/>
        </w:numPr>
        <w:bidi w:val="0"/>
        <w:jc w:val="left"/>
        <w:rPr/>
      </w:pPr>
      <w:r>
        <w:rPr>
          <w:b w:val="false"/>
          <w:bCs w:val="false"/>
        </w:rPr>
        <w:t>Pitt spent two to three nights per week at the Kentucky farm which indicates that he had a continued desire to remain domiciled there</w:t>
      </w:r>
    </w:p>
    <w:p>
      <w:pPr>
        <w:pStyle w:val="Normal"/>
        <w:numPr>
          <w:ilvl w:val="0"/>
          <w:numId w:val="12"/>
        </w:numPr>
        <w:bidi w:val="0"/>
        <w:jc w:val="left"/>
        <w:rPr/>
      </w:pPr>
      <w:r>
        <w:rPr>
          <w:b w:val="false"/>
          <w:bCs w:val="false"/>
        </w:rPr>
        <w:t>Pitt pursued actions to reclaim his old house which indicated continued attachment to Kentucky domicile</w:t>
      </w:r>
    </w:p>
    <w:p>
      <w:pPr>
        <w:pStyle w:val="Normal"/>
        <w:numPr>
          <w:ilvl w:val="0"/>
          <w:numId w:val="12"/>
        </w:numPr>
        <w:bidi w:val="0"/>
        <w:jc w:val="left"/>
        <w:rPr>
          <w:b w:val="false"/>
          <w:b w:val="false"/>
          <w:bCs w:val="false"/>
        </w:rPr>
      </w:pPr>
      <w:r>
        <w:rPr>
          <w:b w:val="false"/>
          <w:bCs w:val="false"/>
        </w:rPr>
        <w:t>The district court found that the LLC was used to manufacture diversity</w:t>
      </w:r>
    </w:p>
    <w:p>
      <w:pPr>
        <w:pStyle w:val="Normal"/>
        <w:bidi w:val="0"/>
        <w:jc w:val="left"/>
        <w:rPr>
          <w:b w:val="false"/>
          <w:b w:val="false"/>
          <w:bCs w:val="false"/>
        </w:rPr>
      </w:pPr>
      <w:r>
        <w:rPr>
          <w:b w:val="false"/>
          <w:bCs w:val="false"/>
        </w:rPr>
        <w:t>Relation to Fox Case</w:t>
      </w:r>
    </w:p>
    <w:p>
      <w:pPr>
        <w:pStyle w:val="Normal"/>
        <w:numPr>
          <w:ilvl w:val="0"/>
          <w:numId w:val="13"/>
        </w:numPr>
        <w:bidi w:val="0"/>
        <w:jc w:val="left"/>
        <w:rPr/>
      </w:pPr>
      <w:r>
        <w:rPr>
          <w:b w:val="false"/>
          <w:bCs w:val="false"/>
        </w:rPr>
        <w:t>Fox spends one to two nights per week in Kentucky and the rest in Tennessee, under the reasoning of Pitt, the majority of nights in the old domicile is evidence of continuity</w:t>
      </w:r>
    </w:p>
    <w:p>
      <w:pPr>
        <w:pStyle w:val="Normal"/>
        <w:numPr>
          <w:ilvl w:val="0"/>
          <w:numId w:val="13"/>
        </w:numPr>
        <w:bidi w:val="0"/>
        <w:jc w:val="left"/>
        <w:rPr/>
      </w:pPr>
      <w:r>
        <w:rPr>
          <w:b w:val="false"/>
          <w:bCs w:val="false"/>
        </w:rPr>
        <w:t>Nothing about Fox’s Kentucky presence is compelled but it is not exclusive either</w:t>
      </w:r>
    </w:p>
    <w:p>
      <w:pPr>
        <w:pStyle w:val="Normal"/>
        <w:bidi w:val="0"/>
        <w:jc w:val="left"/>
        <w:rPr/>
      </w:pPr>
      <w:r>
        <w:rPr/>
      </w:r>
    </w:p>
    <w:p>
      <w:pPr>
        <w:pStyle w:val="Normal"/>
        <w:bidi w:val="0"/>
        <w:jc w:val="left"/>
        <w:rPr>
          <w:b/>
          <w:b/>
          <w:bCs/>
        </w:rPr>
      </w:pPr>
      <w:r>
        <w:rPr>
          <w:b/>
          <w:bCs/>
        </w:rPr>
        <w:t>Robinette v. Emmons</w:t>
      </w:r>
    </w:p>
    <w:p>
      <w:pPr>
        <w:pStyle w:val="Normal"/>
        <w:bidi w:val="0"/>
        <w:jc w:val="left"/>
        <w:rPr>
          <w:b w:val="false"/>
          <w:b w:val="false"/>
          <w:bCs w:val="false"/>
        </w:rPr>
      </w:pPr>
      <w:r>
        <w:rPr>
          <w:b w:val="false"/>
          <w:bCs w:val="false"/>
        </w:rPr>
        <w:t>Posture</w:t>
      </w:r>
    </w:p>
    <w:p>
      <w:pPr>
        <w:pStyle w:val="Normal"/>
        <w:numPr>
          <w:ilvl w:val="0"/>
          <w:numId w:val="15"/>
        </w:numPr>
        <w:bidi w:val="0"/>
        <w:jc w:val="left"/>
        <w:rPr>
          <w:b w:val="false"/>
          <w:b w:val="false"/>
          <w:bCs w:val="false"/>
        </w:rPr>
      </w:pPr>
      <w:r>
        <w:rPr>
          <w:b w:val="false"/>
          <w:bCs w:val="false"/>
        </w:rPr>
        <w:t>Defendant removed the case from state court to federal court</w:t>
      </w:r>
    </w:p>
    <w:p>
      <w:pPr>
        <w:pStyle w:val="Normal"/>
        <w:numPr>
          <w:ilvl w:val="0"/>
          <w:numId w:val="15"/>
        </w:numPr>
        <w:bidi w:val="0"/>
        <w:jc w:val="left"/>
        <w:rPr>
          <w:b w:val="false"/>
          <w:b w:val="false"/>
          <w:bCs w:val="false"/>
        </w:rPr>
      </w:pPr>
      <w:r>
        <w:rPr>
          <w:b w:val="false"/>
          <w:bCs w:val="false"/>
        </w:rPr>
        <w:t>The court sua sponte (on its own accord) ordered a show-cause briefing to determine if the case should continue in the jurisdiction it was in</w:t>
      </w:r>
    </w:p>
    <w:p>
      <w:pPr>
        <w:pStyle w:val="Normal"/>
        <w:numPr>
          <w:ilvl w:val="0"/>
          <w:numId w:val="15"/>
        </w:numPr>
        <w:bidi w:val="0"/>
        <w:jc w:val="left"/>
        <w:rPr>
          <w:b w:val="false"/>
          <w:b w:val="false"/>
          <w:bCs w:val="false"/>
        </w:rPr>
      </w:pPr>
      <w:r>
        <w:rPr>
          <w:b w:val="false"/>
          <w:bCs w:val="false"/>
        </w:rPr>
        <w:t xml:space="preserve">Only State Farm responded </w:t>
      </w:r>
    </w:p>
    <w:p>
      <w:pPr>
        <w:pStyle w:val="Normal"/>
        <w:numPr>
          <w:ilvl w:val="0"/>
          <w:numId w:val="15"/>
        </w:numPr>
        <w:bidi w:val="0"/>
        <w:jc w:val="left"/>
        <w:rPr>
          <w:b w:val="false"/>
          <w:b w:val="false"/>
          <w:bCs w:val="false"/>
        </w:rPr>
      </w:pPr>
      <w:r>
        <w:rPr>
          <w:b w:val="false"/>
          <w:bCs w:val="false"/>
        </w:rPr>
        <w:t>The court discharged the show cause order and retained the case</w:t>
      </w:r>
    </w:p>
    <w:p>
      <w:pPr>
        <w:pStyle w:val="Normal"/>
        <w:numPr>
          <w:ilvl w:val="0"/>
          <w:numId w:val="15"/>
        </w:numPr>
        <w:bidi w:val="0"/>
        <w:jc w:val="left"/>
        <w:rPr>
          <w:b w:val="false"/>
          <w:b w:val="false"/>
          <w:bCs w:val="false"/>
        </w:rPr>
      </w:pPr>
      <w:r>
        <w:rPr>
          <w:b w:val="false"/>
          <w:bCs w:val="false"/>
        </w:rPr>
        <w:t xml:space="preserve">State Farm the defendant wanted Emmons to be a Michigan citizen </w:t>
      </w:r>
    </w:p>
    <w:p>
      <w:pPr>
        <w:pStyle w:val="Normal"/>
        <w:numPr>
          <w:ilvl w:val="0"/>
          <w:numId w:val="15"/>
        </w:numPr>
        <w:bidi w:val="0"/>
        <w:jc w:val="left"/>
        <w:rPr>
          <w:b w:val="false"/>
          <w:b w:val="false"/>
          <w:bCs w:val="false"/>
        </w:rPr>
      </w:pPr>
      <w:r>
        <w:rPr>
          <w:b w:val="false"/>
          <w:bCs w:val="false"/>
        </w:rPr>
        <w:t xml:space="preserve">The plaintiffs wanted Emmons to be a Kentucky defendant </w:t>
      </w:r>
    </w:p>
    <w:p>
      <w:pPr>
        <w:pStyle w:val="Normal"/>
        <w:bidi w:val="0"/>
        <w:jc w:val="left"/>
        <w:rPr>
          <w:b w:val="false"/>
          <w:b w:val="false"/>
          <w:bCs w:val="false"/>
        </w:rPr>
      </w:pPr>
      <w:r>
        <w:rPr>
          <w:b w:val="false"/>
          <w:bCs w:val="false"/>
        </w:rPr>
        <w:t>Facts</w:t>
      </w:r>
    </w:p>
    <w:p>
      <w:pPr>
        <w:pStyle w:val="Normal"/>
        <w:numPr>
          <w:ilvl w:val="0"/>
          <w:numId w:val="14"/>
        </w:numPr>
        <w:bidi w:val="0"/>
        <w:jc w:val="left"/>
        <w:rPr>
          <w:b w:val="false"/>
          <w:b w:val="false"/>
          <w:bCs w:val="false"/>
        </w:rPr>
      </w:pPr>
      <w:r>
        <w:rPr>
          <w:b w:val="false"/>
          <w:bCs w:val="false"/>
        </w:rPr>
        <w:t>The complaint alleged that the defendant Emmons was a non-resident of Kentucky who resided in Michigan</w:t>
      </w:r>
    </w:p>
    <w:p>
      <w:pPr>
        <w:pStyle w:val="Normal"/>
        <w:numPr>
          <w:ilvl w:val="0"/>
          <w:numId w:val="14"/>
        </w:numPr>
        <w:bidi w:val="0"/>
        <w:jc w:val="left"/>
        <w:rPr>
          <w:b w:val="false"/>
          <w:b w:val="false"/>
          <w:bCs w:val="false"/>
        </w:rPr>
      </w:pPr>
      <w:r>
        <w:rPr>
          <w:b w:val="false"/>
          <w:bCs w:val="false"/>
        </w:rPr>
        <w:t xml:space="preserve">State Farm’s notice of removal responded to the allegation with a response that Emmons was a domiciliary and citizen of Michigan </w:t>
      </w:r>
    </w:p>
    <w:p>
      <w:pPr>
        <w:pStyle w:val="Normal"/>
        <w:numPr>
          <w:ilvl w:val="0"/>
          <w:numId w:val="14"/>
        </w:numPr>
        <w:bidi w:val="0"/>
        <w:jc w:val="left"/>
        <w:rPr>
          <w:b w:val="false"/>
          <w:b w:val="false"/>
          <w:bCs w:val="false"/>
        </w:rPr>
      </w:pPr>
      <w:r>
        <w:rPr>
          <w:b w:val="false"/>
          <w:bCs w:val="false"/>
        </w:rPr>
        <w:t>The defendants showed the Facebook profile of Emmons saying she lived in Kentucky and is from Michigan</w:t>
      </w:r>
    </w:p>
    <w:p>
      <w:pPr>
        <w:pStyle w:val="Normal"/>
        <w:numPr>
          <w:ilvl w:val="0"/>
          <w:numId w:val="14"/>
        </w:numPr>
        <w:bidi w:val="0"/>
        <w:jc w:val="left"/>
        <w:rPr>
          <w:b w:val="false"/>
          <w:b w:val="false"/>
          <w:bCs w:val="false"/>
        </w:rPr>
      </w:pPr>
      <w:r>
        <w:rPr>
          <w:b w:val="false"/>
          <w:bCs w:val="false"/>
        </w:rPr>
        <w:t>Proof that Emmons was not registered to vote in Kentucky and had no Kentucky driver’s license</w:t>
      </w:r>
    </w:p>
    <w:p>
      <w:pPr>
        <w:pStyle w:val="Normal"/>
        <w:numPr>
          <w:ilvl w:val="0"/>
          <w:numId w:val="14"/>
        </w:numPr>
        <w:bidi w:val="0"/>
        <w:jc w:val="left"/>
        <w:rPr>
          <w:b w:val="false"/>
          <w:b w:val="false"/>
          <w:bCs w:val="false"/>
        </w:rPr>
      </w:pPr>
      <w:r>
        <w:rPr>
          <w:b w:val="false"/>
          <w:bCs w:val="false"/>
        </w:rPr>
        <w:t>The defendants presented an address history that showed 13 years of Michigan addresses with only 6 months of Kentucky addresses</w:t>
      </w:r>
    </w:p>
    <w:p>
      <w:pPr>
        <w:pStyle w:val="Normal"/>
        <w:bidi w:val="0"/>
        <w:jc w:val="left"/>
        <w:rPr>
          <w:b w:val="false"/>
          <w:b w:val="false"/>
          <w:bCs w:val="false"/>
        </w:rPr>
      </w:pPr>
      <w:r>
        <w:rPr>
          <w:b w:val="false"/>
          <w:bCs w:val="false"/>
        </w:rPr>
        <w:t>Issue</w:t>
      </w:r>
    </w:p>
    <w:p>
      <w:pPr>
        <w:pStyle w:val="Normal"/>
        <w:numPr>
          <w:ilvl w:val="0"/>
          <w:numId w:val="16"/>
        </w:numPr>
        <w:bidi w:val="0"/>
        <w:jc w:val="left"/>
        <w:rPr>
          <w:b w:val="false"/>
          <w:b w:val="false"/>
          <w:bCs w:val="false"/>
        </w:rPr>
      </w:pPr>
      <w:r>
        <w:rPr>
          <w:b w:val="false"/>
          <w:bCs w:val="false"/>
        </w:rPr>
        <w:t>Did the removing defendant meet the burden of establishing diversity</w:t>
      </w:r>
    </w:p>
    <w:p>
      <w:pPr>
        <w:pStyle w:val="Normal"/>
        <w:bidi w:val="0"/>
        <w:jc w:val="left"/>
        <w:rPr>
          <w:b w:val="false"/>
          <w:b w:val="false"/>
          <w:bCs w:val="false"/>
        </w:rPr>
      </w:pPr>
      <w:r>
        <w:rPr>
          <w:b w:val="false"/>
          <w:bCs w:val="false"/>
        </w:rPr>
        <w:t>Holding</w:t>
      </w:r>
    </w:p>
    <w:p>
      <w:pPr>
        <w:pStyle w:val="Normal"/>
        <w:numPr>
          <w:ilvl w:val="0"/>
          <w:numId w:val="17"/>
        </w:numPr>
        <w:bidi w:val="0"/>
        <w:jc w:val="left"/>
        <w:rPr>
          <w:b w:val="false"/>
          <w:b w:val="false"/>
          <w:bCs w:val="false"/>
        </w:rPr>
      </w:pPr>
      <w:r>
        <w:rPr>
          <w:b w:val="false"/>
          <w:bCs w:val="false"/>
        </w:rPr>
        <w:t>Yes, Emmons was a Michigan citizen, complete diversity existed and the case was retained</w:t>
      </w:r>
    </w:p>
    <w:p>
      <w:pPr>
        <w:pStyle w:val="Normal"/>
        <w:bidi w:val="0"/>
        <w:jc w:val="left"/>
        <w:rPr>
          <w:b w:val="false"/>
          <w:b w:val="false"/>
          <w:bCs w:val="false"/>
        </w:rPr>
      </w:pPr>
      <w:r>
        <w:rPr>
          <w:b w:val="false"/>
          <w:bCs w:val="false"/>
        </w:rPr>
        <w:t>Reasoning</w:t>
      </w:r>
    </w:p>
    <w:p>
      <w:pPr>
        <w:pStyle w:val="Normal"/>
        <w:numPr>
          <w:ilvl w:val="0"/>
          <w:numId w:val="18"/>
        </w:numPr>
        <w:bidi w:val="0"/>
        <w:jc w:val="left"/>
        <w:rPr>
          <w:b w:val="false"/>
          <w:b w:val="false"/>
          <w:bCs w:val="false"/>
        </w:rPr>
      </w:pPr>
      <w:r>
        <w:rPr>
          <w:b w:val="false"/>
          <w:bCs w:val="false"/>
        </w:rPr>
        <w:t xml:space="preserve">The burden is on the removing defendant </w:t>
      </w:r>
    </w:p>
    <w:p>
      <w:pPr>
        <w:pStyle w:val="Normal"/>
        <w:numPr>
          <w:ilvl w:val="0"/>
          <w:numId w:val="18"/>
        </w:numPr>
        <w:bidi w:val="0"/>
        <w:jc w:val="left"/>
        <w:rPr>
          <w:b w:val="false"/>
          <w:b w:val="false"/>
          <w:bCs w:val="false"/>
        </w:rPr>
      </w:pPr>
      <w:r>
        <w:rPr>
          <w:b w:val="false"/>
          <w:bCs w:val="false"/>
        </w:rPr>
        <w:t>Emmon’s long term domicile indicated she was a resident of Michigan. Courts consistently</w:t>
      </w:r>
    </w:p>
    <w:p>
      <w:pPr>
        <w:pStyle w:val="Normal"/>
        <w:numPr>
          <w:ilvl w:val="0"/>
          <w:numId w:val="18"/>
        </w:numPr>
        <w:bidi w:val="0"/>
        <w:jc w:val="left"/>
        <w:rPr>
          <w:b w:val="false"/>
          <w:b w:val="false"/>
          <w:bCs w:val="false"/>
        </w:rPr>
      </w:pPr>
      <w:r>
        <w:rPr>
          <w:b w:val="false"/>
          <w:bCs w:val="false"/>
        </w:rPr>
        <w:t>reject such short-term, transient abnormalities as citizenship markers. See, e.g., Myrick, 764 F.3d at 664</w:t>
      </w:r>
    </w:p>
    <w:p>
      <w:pPr>
        <w:pStyle w:val="Normal"/>
        <w:numPr>
          <w:ilvl w:val="0"/>
          <w:numId w:val="18"/>
        </w:numPr>
        <w:bidi w:val="0"/>
        <w:jc w:val="left"/>
        <w:rPr>
          <w:b w:val="false"/>
          <w:b w:val="false"/>
          <w:bCs w:val="false"/>
        </w:rPr>
      </w:pPr>
      <w:r>
        <w:rPr>
          <w:b w:val="false"/>
          <w:bCs w:val="false"/>
        </w:rPr>
        <w:t>Absence of voter registration and driver’s license indicates a desire not to acquire citizenship in Kentucky</w:t>
      </w:r>
    </w:p>
    <w:p>
      <w:pPr>
        <w:pStyle w:val="Normal"/>
        <w:bidi w:val="0"/>
        <w:jc w:val="left"/>
        <w:rPr>
          <w:b w:val="false"/>
          <w:b w:val="false"/>
          <w:bCs w:val="false"/>
        </w:rPr>
      </w:pPr>
      <w:r>
        <w:rPr>
          <w:b w:val="false"/>
          <w:bCs w:val="false"/>
        </w:rPr>
        <w:t>Relation to Fox Case</w:t>
      </w:r>
    </w:p>
    <w:p>
      <w:pPr>
        <w:pStyle w:val="Normal"/>
        <w:numPr>
          <w:ilvl w:val="0"/>
          <w:numId w:val="19"/>
        </w:numPr>
        <w:bidi w:val="0"/>
        <w:jc w:val="left"/>
        <w:rPr>
          <w:b w:val="false"/>
          <w:b w:val="false"/>
          <w:bCs w:val="false"/>
        </w:rPr>
      </w:pPr>
      <w:r>
        <w:rPr>
          <w:b w:val="false"/>
          <w:bCs w:val="false"/>
        </w:rPr>
        <w:t>Fox’s Facebook says he lives in Kentucky and he changed it when his house was finished, however the Robinette case establishes that it does not prove much because you can live on one state and intend on returning to another</w:t>
      </w:r>
    </w:p>
    <w:p>
      <w:pPr>
        <w:pStyle w:val="Normal"/>
        <w:numPr>
          <w:ilvl w:val="0"/>
          <w:numId w:val="19"/>
        </w:numPr>
        <w:bidi w:val="0"/>
        <w:jc w:val="left"/>
        <w:rPr>
          <w:b w:val="false"/>
          <w:b w:val="false"/>
          <w:bCs w:val="false"/>
        </w:rPr>
      </w:pPr>
      <w:r>
        <w:rPr>
          <w:b w:val="false"/>
          <w:bCs w:val="false"/>
        </w:rPr>
        <w:t>In Robinette the defendant removed the case successfully and it states that the removing defendant carries the burden, meaning that in the Fox case the burden is on the tech company to prove he is not a Tennessee resident</w:t>
      </w:r>
    </w:p>
    <w:p>
      <w:pPr>
        <w:pStyle w:val="Normal"/>
        <w:numPr>
          <w:ilvl w:val="0"/>
          <w:numId w:val="19"/>
        </w:numPr>
        <w:bidi w:val="0"/>
        <w:jc w:val="left"/>
        <w:rPr>
          <w:b w:val="false"/>
          <w:b w:val="false"/>
          <w:bCs w:val="false"/>
        </w:rPr>
      </w:pPr>
      <w:r>
        <w:rPr>
          <w:b w:val="false"/>
          <w:bCs w:val="false"/>
        </w:rPr>
        <w:t>Robinette says citizenship reflects where one plans to live in the long run, Fox told Casco he hopes to settle in Bowling Green after he marries, however that plan is contingent on something that has not happened. Also domicile is fixed as of the day that the suit was filed (July 2026) when Fox lived in Nashville, worked in Nashville ans was not engaged</w:t>
      </w:r>
    </w:p>
    <w:p>
      <w:pPr>
        <w:pStyle w:val="Normal"/>
        <w:bidi w:val="0"/>
        <w:jc w:val="left"/>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1994"/>
        <w:gridCol w:w="1991"/>
        <w:gridCol w:w="1998"/>
        <w:gridCol w:w="1991"/>
        <w:gridCol w:w="1998"/>
      </w:tblGrid>
      <w:tr>
        <w:trPr/>
        <w:tc>
          <w:tcPr>
            <w:tcW w:w="1994" w:type="dxa"/>
            <w:tcBorders>
              <w:top w:val="single" w:sz="4" w:space="0" w:color="000000"/>
              <w:left w:val="single" w:sz="4" w:space="0" w:color="000000"/>
              <w:bottom w:val="single" w:sz="4" w:space="0" w:color="000000"/>
            </w:tcBorders>
          </w:tcPr>
          <w:p>
            <w:pPr>
              <w:pStyle w:val="TableContents"/>
              <w:widowControl w:val="false"/>
              <w:rPr/>
            </w:pPr>
            <w:r>
              <w:rPr/>
            </w:r>
          </w:p>
        </w:tc>
        <w:tc>
          <w:tcPr>
            <w:tcW w:w="1991" w:type="dxa"/>
            <w:tcBorders>
              <w:top w:val="single" w:sz="4" w:space="0" w:color="000000"/>
              <w:left w:val="single" w:sz="4" w:space="0" w:color="000000"/>
              <w:bottom w:val="single" w:sz="4" w:space="0" w:color="000000"/>
            </w:tcBorders>
          </w:tcPr>
          <w:p>
            <w:pPr>
              <w:pStyle w:val="TableContents"/>
              <w:widowControl w:val="false"/>
              <w:rPr/>
            </w:pPr>
            <w:r>
              <w:rPr/>
              <w:t>Deasy</w:t>
            </w:r>
          </w:p>
        </w:tc>
        <w:tc>
          <w:tcPr>
            <w:tcW w:w="1998" w:type="dxa"/>
            <w:tcBorders>
              <w:top w:val="single" w:sz="4" w:space="0" w:color="000000"/>
              <w:left w:val="single" w:sz="4" w:space="0" w:color="000000"/>
              <w:bottom w:val="single" w:sz="4" w:space="0" w:color="000000"/>
            </w:tcBorders>
          </w:tcPr>
          <w:p>
            <w:pPr>
              <w:pStyle w:val="TableContents"/>
              <w:widowControl w:val="false"/>
              <w:rPr/>
            </w:pPr>
            <w:r>
              <w:rPr/>
              <w:t>Pitt</w:t>
            </w:r>
          </w:p>
        </w:tc>
        <w:tc>
          <w:tcPr>
            <w:tcW w:w="1991" w:type="dxa"/>
            <w:tcBorders>
              <w:top w:val="single" w:sz="4" w:space="0" w:color="000000"/>
              <w:left w:val="single" w:sz="4" w:space="0" w:color="000000"/>
              <w:bottom w:val="single" w:sz="4" w:space="0" w:color="000000"/>
            </w:tcBorders>
          </w:tcPr>
          <w:p>
            <w:pPr>
              <w:pStyle w:val="TableContents"/>
              <w:widowControl w:val="false"/>
              <w:rPr/>
            </w:pPr>
            <w:r>
              <w:rPr/>
              <w:t>Robinette</w:t>
            </w:r>
          </w:p>
        </w:tc>
        <w:tc>
          <w:tcPr>
            <w:tcW w:w="199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Fox</w:t>
            </w:r>
          </w:p>
        </w:tc>
      </w:tr>
      <w:tr>
        <w:trPr/>
        <w:tc>
          <w:tcPr>
            <w:tcW w:w="1994" w:type="dxa"/>
            <w:tcBorders>
              <w:left w:val="single" w:sz="4" w:space="0" w:color="000000"/>
              <w:bottom w:val="single" w:sz="4" w:space="0" w:color="000000"/>
            </w:tcBorders>
          </w:tcPr>
          <w:p>
            <w:pPr>
              <w:pStyle w:val="TableContents"/>
              <w:widowControl w:val="false"/>
              <w:rPr/>
            </w:pPr>
            <w:r>
              <w:rPr/>
              <w:t>Plaintiff</w:t>
            </w:r>
          </w:p>
        </w:tc>
        <w:tc>
          <w:tcPr>
            <w:tcW w:w="1991" w:type="dxa"/>
            <w:tcBorders>
              <w:left w:val="single" w:sz="4" w:space="0" w:color="000000"/>
              <w:bottom w:val="single" w:sz="4" w:space="0" w:color="000000"/>
            </w:tcBorders>
          </w:tcPr>
          <w:p>
            <w:pPr>
              <w:pStyle w:val="TableContents"/>
              <w:widowControl w:val="false"/>
              <w:rPr/>
            </w:pPr>
            <w:r>
              <w:rPr/>
              <w:t>William Wayne Deasy</w:t>
            </w:r>
          </w:p>
        </w:tc>
        <w:tc>
          <w:tcPr>
            <w:tcW w:w="1998" w:type="dxa"/>
            <w:tcBorders>
              <w:left w:val="single" w:sz="4" w:space="0" w:color="000000"/>
              <w:bottom w:val="single" w:sz="4" w:space="0" w:color="000000"/>
            </w:tcBorders>
          </w:tcPr>
          <w:p>
            <w:pPr>
              <w:pStyle w:val="TableContents"/>
              <w:widowControl w:val="false"/>
              <w:rPr/>
            </w:pPr>
            <w:r>
              <w:rPr/>
              <w:t>Pitt Excavating LLC (John Pitt)</w:t>
            </w:r>
          </w:p>
        </w:tc>
        <w:tc>
          <w:tcPr>
            <w:tcW w:w="1991" w:type="dxa"/>
            <w:tcBorders>
              <w:left w:val="single" w:sz="4" w:space="0" w:color="000000"/>
              <w:bottom w:val="single" w:sz="4" w:space="0" w:color="000000"/>
            </w:tcBorders>
          </w:tcPr>
          <w:p>
            <w:pPr>
              <w:pStyle w:val="TableContents"/>
              <w:widowControl w:val="false"/>
              <w:rPr/>
            </w:pPr>
            <w:r>
              <w:rPr/>
              <w:t>Ronald Robinette</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Jalen Fox</w:t>
            </w:r>
          </w:p>
        </w:tc>
      </w:tr>
      <w:tr>
        <w:trPr/>
        <w:tc>
          <w:tcPr>
            <w:tcW w:w="1994" w:type="dxa"/>
            <w:tcBorders>
              <w:left w:val="single" w:sz="4" w:space="0" w:color="000000"/>
              <w:bottom w:val="single" w:sz="4" w:space="0" w:color="000000"/>
            </w:tcBorders>
          </w:tcPr>
          <w:p>
            <w:pPr>
              <w:pStyle w:val="TableContents"/>
              <w:widowControl w:val="false"/>
              <w:rPr/>
            </w:pPr>
            <w:r>
              <w:rPr/>
              <w:t>Defendant</w:t>
            </w:r>
          </w:p>
        </w:tc>
        <w:tc>
          <w:tcPr>
            <w:tcW w:w="1991" w:type="dxa"/>
            <w:tcBorders>
              <w:left w:val="single" w:sz="4" w:space="0" w:color="000000"/>
              <w:bottom w:val="single" w:sz="4" w:space="0" w:color="000000"/>
            </w:tcBorders>
          </w:tcPr>
          <w:p>
            <w:pPr>
              <w:pStyle w:val="TableContents"/>
              <w:widowControl w:val="false"/>
              <w:rPr/>
            </w:pPr>
            <w:r>
              <w:rPr/>
              <w:t>Louisville &amp; Jefferson Country Metro Sewer District</w:t>
            </w:r>
          </w:p>
        </w:tc>
        <w:tc>
          <w:tcPr>
            <w:tcW w:w="1998" w:type="dxa"/>
            <w:tcBorders>
              <w:left w:val="single" w:sz="4" w:space="0" w:color="000000"/>
              <w:bottom w:val="single" w:sz="4" w:space="0" w:color="000000"/>
            </w:tcBorders>
          </w:tcPr>
          <w:p>
            <w:pPr>
              <w:pStyle w:val="TableContents"/>
              <w:widowControl w:val="false"/>
              <w:rPr/>
            </w:pPr>
            <w:r>
              <w:rPr/>
              <w:t>Mary Lou Pitt</w:t>
            </w:r>
          </w:p>
        </w:tc>
        <w:tc>
          <w:tcPr>
            <w:tcW w:w="1991" w:type="dxa"/>
            <w:tcBorders>
              <w:left w:val="single" w:sz="4" w:space="0" w:color="000000"/>
              <w:bottom w:val="single" w:sz="4" w:space="0" w:color="000000"/>
            </w:tcBorders>
          </w:tcPr>
          <w:p>
            <w:pPr>
              <w:pStyle w:val="TableContents"/>
              <w:widowControl w:val="false"/>
              <w:rPr/>
            </w:pPr>
            <w:r>
              <w:rPr/>
              <w:t xml:space="preserve">Shawna Emmons and State Farm Mutual </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Tech company in Tennessee</w:t>
            </w:r>
          </w:p>
        </w:tc>
      </w:tr>
      <w:tr>
        <w:trPr/>
        <w:tc>
          <w:tcPr>
            <w:tcW w:w="1994" w:type="dxa"/>
            <w:tcBorders>
              <w:left w:val="single" w:sz="4" w:space="0" w:color="000000"/>
              <w:bottom w:val="single" w:sz="4" w:space="0" w:color="000000"/>
            </w:tcBorders>
          </w:tcPr>
          <w:p>
            <w:pPr>
              <w:pStyle w:val="TableContents"/>
              <w:widowControl w:val="false"/>
              <w:rPr/>
            </w:pPr>
            <w:r>
              <w:rPr/>
              <w:t>Why Plaintiff sued</w:t>
            </w:r>
          </w:p>
        </w:tc>
        <w:tc>
          <w:tcPr>
            <w:tcW w:w="1991" w:type="dxa"/>
            <w:tcBorders>
              <w:left w:val="single" w:sz="4" w:space="0" w:color="000000"/>
              <w:bottom w:val="single" w:sz="4" w:space="0" w:color="000000"/>
            </w:tcBorders>
          </w:tcPr>
          <w:p>
            <w:pPr>
              <w:pStyle w:val="TableContents"/>
              <w:widowControl w:val="false"/>
              <w:rPr/>
            </w:pPr>
            <w:r>
              <w:rPr/>
              <w:t>Deasy alleged that the city of Louisville sewer district illegally created sewer construction subdistricts</w:t>
            </w:r>
          </w:p>
        </w:tc>
        <w:tc>
          <w:tcPr>
            <w:tcW w:w="1998" w:type="dxa"/>
            <w:tcBorders>
              <w:left w:val="single" w:sz="4" w:space="0" w:color="000000"/>
              <w:bottom w:val="single" w:sz="4" w:space="0" w:color="000000"/>
            </w:tcBorders>
          </w:tcPr>
          <w:p>
            <w:pPr>
              <w:pStyle w:val="TableContents"/>
              <w:widowControl w:val="false"/>
              <w:rPr/>
            </w:pPr>
            <w:r>
              <w:rPr/>
              <w:t>Pitt divorced Mary Lou, a decree gave her the farm, he kept living there anyway. Mary Lou filed to evict him, and John Pitt sued her. John also filed a lien the the farm and petitioned a Kentucky court to undo the divorce decree</w:t>
            </w:r>
          </w:p>
        </w:tc>
        <w:tc>
          <w:tcPr>
            <w:tcW w:w="1991" w:type="dxa"/>
            <w:tcBorders>
              <w:left w:val="single" w:sz="4" w:space="0" w:color="000000"/>
              <w:bottom w:val="single" w:sz="4" w:space="0" w:color="000000"/>
            </w:tcBorders>
          </w:tcPr>
          <w:p>
            <w:pPr>
              <w:pStyle w:val="TableContents"/>
              <w:widowControl w:val="false"/>
              <w:rPr/>
            </w:pPr>
            <w:r>
              <w:rPr/>
              <w:t>Not said</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Not said</w:t>
            </w:r>
          </w:p>
        </w:tc>
      </w:tr>
      <w:tr>
        <w:trPr/>
        <w:tc>
          <w:tcPr>
            <w:tcW w:w="1994" w:type="dxa"/>
            <w:tcBorders>
              <w:left w:val="single" w:sz="4" w:space="0" w:color="000000"/>
              <w:bottom w:val="single" w:sz="4" w:space="0" w:color="000000"/>
            </w:tcBorders>
          </w:tcPr>
          <w:p>
            <w:pPr>
              <w:pStyle w:val="TableContents"/>
              <w:widowControl w:val="false"/>
              <w:rPr/>
            </w:pPr>
            <w:r>
              <w:rPr/>
              <w:t>Where the case started</w:t>
            </w:r>
          </w:p>
        </w:tc>
        <w:tc>
          <w:tcPr>
            <w:tcW w:w="1991" w:type="dxa"/>
            <w:tcBorders>
              <w:left w:val="single" w:sz="4" w:space="0" w:color="000000"/>
              <w:bottom w:val="single" w:sz="4" w:space="0" w:color="000000"/>
            </w:tcBorders>
          </w:tcPr>
          <w:p>
            <w:pPr>
              <w:pStyle w:val="TableContents"/>
              <w:widowControl w:val="false"/>
              <w:rPr/>
            </w:pPr>
            <w:r>
              <w:rPr/>
              <w:t>Federal, W.D. Ky</w:t>
            </w:r>
          </w:p>
        </w:tc>
        <w:tc>
          <w:tcPr>
            <w:tcW w:w="1998" w:type="dxa"/>
            <w:tcBorders>
              <w:left w:val="single" w:sz="4" w:space="0" w:color="000000"/>
              <w:bottom w:val="single" w:sz="4" w:space="0" w:color="000000"/>
            </w:tcBorders>
          </w:tcPr>
          <w:p>
            <w:pPr>
              <w:pStyle w:val="TableContents"/>
              <w:widowControl w:val="false"/>
              <w:rPr/>
            </w:pPr>
            <w:r>
              <w:rPr/>
              <w:t>Federal, M.D. Tenn</w:t>
            </w:r>
          </w:p>
        </w:tc>
        <w:tc>
          <w:tcPr>
            <w:tcW w:w="1991" w:type="dxa"/>
            <w:tcBorders>
              <w:left w:val="single" w:sz="4" w:space="0" w:color="000000"/>
              <w:bottom w:val="single" w:sz="4" w:space="0" w:color="000000"/>
            </w:tcBorders>
          </w:tcPr>
          <w:p>
            <w:pPr>
              <w:pStyle w:val="TableContents"/>
              <w:widowControl w:val="false"/>
              <w:rPr/>
            </w:pPr>
            <w:r>
              <w:rPr/>
              <w:t>Kentucky state court</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Tennessee state court, Davidson county</w:t>
            </w:r>
          </w:p>
        </w:tc>
      </w:tr>
      <w:tr>
        <w:trPr/>
        <w:tc>
          <w:tcPr>
            <w:tcW w:w="1994" w:type="dxa"/>
            <w:tcBorders>
              <w:left w:val="single" w:sz="4" w:space="0" w:color="000000"/>
              <w:bottom w:val="single" w:sz="4" w:space="0" w:color="000000"/>
            </w:tcBorders>
          </w:tcPr>
          <w:p>
            <w:pPr>
              <w:pStyle w:val="TableContents"/>
              <w:widowControl w:val="false"/>
              <w:rPr/>
            </w:pPr>
            <w:r>
              <w:rPr/>
              <w:t>Who wanted the case moved</w:t>
            </w:r>
          </w:p>
        </w:tc>
        <w:tc>
          <w:tcPr>
            <w:tcW w:w="1991" w:type="dxa"/>
            <w:tcBorders>
              <w:left w:val="single" w:sz="4" w:space="0" w:color="000000"/>
              <w:bottom w:val="single" w:sz="4" w:space="0" w:color="000000"/>
            </w:tcBorders>
          </w:tcPr>
          <w:p>
            <w:pPr>
              <w:pStyle w:val="TableContents"/>
              <w:widowControl w:val="false"/>
              <w:rPr/>
            </w:pPr>
            <w:r>
              <w:rPr/>
              <w:t>Plaintiff chose federal court, defendants moved to dismiss</w:t>
            </w:r>
          </w:p>
        </w:tc>
        <w:tc>
          <w:tcPr>
            <w:tcW w:w="1998" w:type="dxa"/>
            <w:tcBorders>
              <w:left w:val="single" w:sz="4" w:space="0" w:color="000000"/>
              <w:bottom w:val="single" w:sz="4" w:space="0" w:color="000000"/>
            </w:tcBorders>
          </w:tcPr>
          <w:p>
            <w:pPr>
              <w:pStyle w:val="TableContents"/>
              <w:widowControl w:val="false"/>
              <w:rPr/>
            </w:pPr>
            <w:r>
              <w:rPr/>
              <w:t>Plaintiff chose federal, Mary Lou Pitt moved to dismiss</w:t>
            </w:r>
          </w:p>
        </w:tc>
        <w:tc>
          <w:tcPr>
            <w:tcW w:w="1991" w:type="dxa"/>
            <w:tcBorders>
              <w:left w:val="single" w:sz="4" w:space="0" w:color="000000"/>
              <w:bottom w:val="single" w:sz="4" w:space="0" w:color="000000"/>
            </w:tcBorders>
          </w:tcPr>
          <w:p>
            <w:pPr>
              <w:pStyle w:val="TableContents"/>
              <w:widowControl w:val="false"/>
              <w:rPr/>
            </w:pPr>
            <w:r>
              <w:rPr/>
              <w:t xml:space="preserve">State Farm (defendant) removed </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Defendant removed to M.D. Tennessee</w:t>
            </w:r>
          </w:p>
        </w:tc>
      </w:tr>
      <w:tr>
        <w:trPr/>
        <w:tc>
          <w:tcPr>
            <w:tcW w:w="1994" w:type="dxa"/>
            <w:tcBorders>
              <w:left w:val="single" w:sz="4" w:space="0" w:color="000000"/>
              <w:bottom w:val="single" w:sz="4" w:space="0" w:color="000000"/>
            </w:tcBorders>
          </w:tcPr>
          <w:p>
            <w:pPr>
              <w:pStyle w:val="TableContents"/>
              <w:widowControl w:val="false"/>
              <w:rPr/>
            </w:pPr>
            <w:r>
              <w:rPr/>
              <w:t>Who bore the burden</w:t>
            </w:r>
          </w:p>
        </w:tc>
        <w:tc>
          <w:tcPr>
            <w:tcW w:w="1991" w:type="dxa"/>
            <w:tcBorders>
              <w:left w:val="single" w:sz="4" w:space="0" w:color="000000"/>
              <w:bottom w:val="single" w:sz="4" w:space="0" w:color="000000"/>
            </w:tcBorders>
          </w:tcPr>
          <w:p>
            <w:pPr>
              <w:pStyle w:val="TableContents"/>
              <w:widowControl w:val="false"/>
              <w:rPr/>
            </w:pPr>
            <w:r>
              <w:rPr/>
              <w:t xml:space="preserve">Deasy </w:t>
            </w:r>
          </w:p>
        </w:tc>
        <w:tc>
          <w:tcPr>
            <w:tcW w:w="1998" w:type="dxa"/>
            <w:tcBorders>
              <w:left w:val="single" w:sz="4" w:space="0" w:color="000000"/>
              <w:bottom w:val="single" w:sz="4" w:space="0" w:color="000000"/>
            </w:tcBorders>
          </w:tcPr>
          <w:p>
            <w:pPr>
              <w:pStyle w:val="TableContents"/>
              <w:widowControl w:val="false"/>
              <w:rPr/>
            </w:pPr>
            <w:r>
              <w:rPr/>
              <w:t>Pitt Excavating</w:t>
            </w:r>
          </w:p>
        </w:tc>
        <w:tc>
          <w:tcPr>
            <w:tcW w:w="1991" w:type="dxa"/>
            <w:tcBorders>
              <w:left w:val="single" w:sz="4" w:space="0" w:color="000000"/>
              <w:bottom w:val="single" w:sz="4" w:space="0" w:color="000000"/>
            </w:tcBorders>
          </w:tcPr>
          <w:p>
            <w:pPr>
              <w:pStyle w:val="TableContents"/>
              <w:widowControl w:val="false"/>
              <w:rPr/>
            </w:pPr>
            <w:r>
              <w:rPr/>
              <w:t>State Farm</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Tech company</w:t>
            </w:r>
          </w:p>
        </w:tc>
      </w:tr>
      <w:tr>
        <w:trPr/>
        <w:tc>
          <w:tcPr>
            <w:tcW w:w="1994" w:type="dxa"/>
            <w:tcBorders>
              <w:left w:val="single" w:sz="4" w:space="0" w:color="000000"/>
              <w:bottom w:val="single" w:sz="4" w:space="0" w:color="000000"/>
            </w:tcBorders>
          </w:tcPr>
          <w:p>
            <w:pPr>
              <w:pStyle w:val="TableContents"/>
              <w:widowControl w:val="false"/>
              <w:rPr/>
            </w:pPr>
            <w:r>
              <w:rPr/>
              <w:t>Plaintiff Wanted</w:t>
            </w:r>
          </w:p>
        </w:tc>
        <w:tc>
          <w:tcPr>
            <w:tcW w:w="1991" w:type="dxa"/>
            <w:tcBorders>
              <w:left w:val="single" w:sz="4" w:space="0" w:color="000000"/>
              <w:bottom w:val="single" w:sz="4" w:space="0" w:color="000000"/>
            </w:tcBorders>
          </w:tcPr>
          <w:p>
            <w:pPr>
              <w:pStyle w:val="TableContents"/>
              <w:widowControl w:val="false"/>
              <w:rPr/>
            </w:pPr>
            <w:r>
              <w:rPr/>
              <w:t>Federal</w:t>
            </w:r>
          </w:p>
        </w:tc>
        <w:tc>
          <w:tcPr>
            <w:tcW w:w="1998" w:type="dxa"/>
            <w:tcBorders>
              <w:left w:val="single" w:sz="4" w:space="0" w:color="000000"/>
              <w:bottom w:val="single" w:sz="4" w:space="0" w:color="000000"/>
            </w:tcBorders>
          </w:tcPr>
          <w:p>
            <w:pPr>
              <w:pStyle w:val="TableContents"/>
              <w:widowControl w:val="false"/>
              <w:rPr/>
            </w:pPr>
            <w:r>
              <w:rPr/>
              <w:t>Federal</w:t>
            </w:r>
          </w:p>
        </w:tc>
        <w:tc>
          <w:tcPr>
            <w:tcW w:w="1991" w:type="dxa"/>
            <w:tcBorders>
              <w:left w:val="single" w:sz="4" w:space="0" w:color="000000"/>
              <w:bottom w:val="single" w:sz="4" w:space="0" w:color="000000"/>
            </w:tcBorders>
          </w:tcPr>
          <w:p>
            <w:pPr>
              <w:pStyle w:val="TableContents"/>
              <w:widowControl w:val="false"/>
              <w:rPr/>
            </w:pPr>
            <w:r>
              <w:rPr/>
              <w:t xml:space="preserve">State Court, never argued </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State Court</w:t>
            </w:r>
          </w:p>
        </w:tc>
      </w:tr>
      <w:tr>
        <w:trPr/>
        <w:tc>
          <w:tcPr>
            <w:tcW w:w="1994" w:type="dxa"/>
            <w:tcBorders>
              <w:left w:val="single" w:sz="4" w:space="0" w:color="000000"/>
              <w:bottom w:val="single" w:sz="4" w:space="0" w:color="000000"/>
            </w:tcBorders>
          </w:tcPr>
          <w:p>
            <w:pPr>
              <w:pStyle w:val="TableContents"/>
              <w:widowControl w:val="false"/>
              <w:rPr/>
            </w:pPr>
            <w:r>
              <w:rPr/>
              <w:t>Defendant Wanted</w:t>
            </w:r>
          </w:p>
        </w:tc>
        <w:tc>
          <w:tcPr>
            <w:tcW w:w="1991" w:type="dxa"/>
            <w:tcBorders>
              <w:left w:val="single" w:sz="4" w:space="0" w:color="000000"/>
              <w:bottom w:val="single" w:sz="4" w:space="0" w:color="000000"/>
            </w:tcBorders>
          </w:tcPr>
          <w:p>
            <w:pPr>
              <w:pStyle w:val="TableContents"/>
              <w:widowControl w:val="false"/>
              <w:rPr/>
            </w:pPr>
            <w:r>
              <w:rPr/>
              <w:t>Dismissed from federal court</w:t>
            </w:r>
          </w:p>
        </w:tc>
        <w:tc>
          <w:tcPr>
            <w:tcW w:w="1998" w:type="dxa"/>
            <w:tcBorders>
              <w:left w:val="single" w:sz="4" w:space="0" w:color="000000"/>
              <w:bottom w:val="single" w:sz="4" w:space="0" w:color="000000"/>
            </w:tcBorders>
          </w:tcPr>
          <w:p>
            <w:pPr>
              <w:pStyle w:val="TableContents"/>
              <w:widowControl w:val="false"/>
              <w:rPr/>
            </w:pPr>
            <w:r>
              <w:rPr/>
              <w:t>Dismissed from federal court</w:t>
            </w:r>
          </w:p>
        </w:tc>
        <w:tc>
          <w:tcPr>
            <w:tcW w:w="1991" w:type="dxa"/>
            <w:tcBorders>
              <w:left w:val="single" w:sz="4" w:space="0" w:color="000000"/>
              <w:bottom w:val="single" w:sz="4" w:space="0" w:color="000000"/>
            </w:tcBorders>
          </w:tcPr>
          <w:p>
            <w:pPr>
              <w:pStyle w:val="TableContents"/>
              <w:widowControl w:val="false"/>
              <w:rPr/>
            </w:pPr>
            <w:r>
              <w:rPr/>
              <w:t>Federal Court</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Federal Court</w:t>
            </w:r>
          </w:p>
        </w:tc>
      </w:tr>
      <w:tr>
        <w:trPr/>
        <w:tc>
          <w:tcPr>
            <w:tcW w:w="1994" w:type="dxa"/>
            <w:tcBorders>
              <w:left w:val="single" w:sz="4" w:space="0" w:color="000000"/>
              <w:bottom w:val="single" w:sz="4" w:space="0" w:color="000000"/>
            </w:tcBorders>
          </w:tcPr>
          <w:p>
            <w:pPr>
              <w:pStyle w:val="TableContents"/>
              <w:widowControl w:val="false"/>
              <w:rPr/>
            </w:pPr>
            <w:r>
              <w:rPr/>
              <w:t>Whose domicile was at issue</w:t>
            </w:r>
          </w:p>
        </w:tc>
        <w:tc>
          <w:tcPr>
            <w:tcW w:w="1991" w:type="dxa"/>
            <w:tcBorders>
              <w:left w:val="single" w:sz="4" w:space="0" w:color="000000"/>
              <w:bottom w:val="single" w:sz="4" w:space="0" w:color="000000"/>
            </w:tcBorders>
          </w:tcPr>
          <w:p>
            <w:pPr>
              <w:pStyle w:val="TableContents"/>
              <w:widowControl w:val="false"/>
              <w:rPr/>
            </w:pPr>
            <w:r>
              <w:rPr/>
              <w:t>Deasy</w:t>
            </w:r>
          </w:p>
        </w:tc>
        <w:tc>
          <w:tcPr>
            <w:tcW w:w="1998" w:type="dxa"/>
            <w:tcBorders>
              <w:left w:val="single" w:sz="4" w:space="0" w:color="000000"/>
              <w:bottom w:val="single" w:sz="4" w:space="0" w:color="000000"/>
            </w:tcBorders>
          </w:tcPr>
          <w:p>
            <w:pPr>
              <w:pStyle w:val="TableContents"/>
              <w:widowControl w:val="false"/>
              <w:rPr/>
            </w:pPr>
            <w:r>
              <w:rPr/>
              <w:t>John Pitt</w:t>
            </w:r>
          </w:p>
        </w:tc>
        <w:tc>
          <w:tcPr>
            <w:tcW w:w="1991" w:type="dxa"/>
            <w:tcBorders>
              <w:left w:val="single" w:sz="4" w:space="0" w:color="000000"/>
              <w:bottom w:val="single" w:sz="4" w:space="0" w:color="000000"/>
            </w:tcBorders>
          </w:tcPr>
          <w:p>
            <w:pPr>
              <w:pStyle w:val="TableContents"/>
              <w:widowControl w:val="false"/>
              <w:rPr/>
            </w:pPr>
            <w:r>
              <w:rPr/>
              <w:t>Emmons</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Fox</w:t>
            </w:r>
          </w:p>
        </w:tc>
      </w:tr>
      <w:tr>
        <w:trPr/>
        <w:tc>
          <w:tcPr>
            <w:tcW w:w="1994" w:type="dxa"/>
            <w:tcBorders>
              <w:left w:val="single" w:sz="4" w:space="0" w:color="000000"/>
              <w:bottom w:val="single" w:sz="4" w:space="0" w:color="000000"/>
            </w:tcBorders>
          </w:tcPr>
          <w:p>
            <w:pPr>
              <w:pStyle w:val="TableContents"/>
              <w:widowControl w:val="false"/>
              <w:rPr/>
            </w:pPr>
            <w:r>
              <w:rPr/>
              <w:t>Housing in the claimed state</w:t>
            </w:r>
          </w:p>
        </w:tc>
        <w:tc>
          <w:tcPr>
            <w:tcW w:w="1991" w:type="dxa"/>
            <w:tcBorders>
              <w:left w:val="single" w:sz="4" w:space="0" w:color="000000"/>
              <w:bottom w:val="single" w:sz="4" w:space="0" w:color="000000"/>
            </w:tcBorders>
          </w:tcPr>
          <w:p>
            <w:pPr>
              <w:pStyle w:val="TableContents"/>
              <w:widowControl w:val="false"/>
              <w:rPr/>
            </w:pPr>
            <w:r>
              <w:rPr/>
              <w:t xml:space="preserve">Tennessee, half of his sister’s duplex, owned and inherited home but rented it out </w:t>
            </w:r>
          </w:p>
        </w:tc>
        <w:tc>
          <w:tcPr>
            <w:tcW w:w="1998" w:type="dxa"/>
            <w:tcBorders>
              <w:left w:val="single" w:sz="4" w:space="0" w:color="000000"/>
              <w:bottom w:val="single" w:sz="4" w:space="0" w:color="000000"/>
            </w:tcBorders>
          </w:tcPr>
          <w:p>
            <w:pPr>
              <w:pStyle w:val="TableContents"/>
              <w:widowControl w:val="false"/>
              <w:rPr/>
            </w:pPr>
            <w:r>
              <w:rPr/>
              <w:t>Tennessee, leased apartment in Madison</w:t>
            </w:r>
          </w:p>
        </w:tc>
        <w:tc>
          <w:tcPr>
            <w:tcW w:w="1991" w:type="dxa"/>
            <w:tcBorders>
              <w:left w:val="single" w:sz="4" w:space="0" w:color="000000"/>
              <w:bottom w:val="single" w:sz="4" w:space="0" w:color="000000"/>
            </w:tcBorders>
          </w:tcPr>
          <w:p>
            <w:pPr>
              <w:pStyle w:val="TableContents"/>
              <w:widowControl w:val="false"/>
              <w:rPr/>
            </w:pPr>
            <w:r>
              <w:rPr/>
              <w:t>Michigan, 13 straight years of Michigan addresses</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Tennessee, leased apartment for three years</w:t>
            </w:r>
          </w:p>
        </w:tc>
      </w:tr>
      <w:tr>
        <w:trPr/>
        <w:tc>
          <w:tcPr>
            <w:tcW w:w="1994" w:type="dxa"/>
            <w:tcBorders>
              <w:left w:val="single" w:sz="4" w:space="0" w:color="000000"/>
              <w:bottom w:val="single" w:sz="4" w:space="0" w:color="000000"/>
            </w:tcBorders>
          </w:tcPr>
          <w:p>
            <w:pPr>
              <w:pStyle w:val="TableContents"/>
              <w:widowControl w:val="false"/>
              <w:rPr/>
            </w:pPr>
            <w:r>
              <w:rPr/>
              <w:t>Housing in the state asserted against</w:t>
            </w:r>
          </w:p>
        </w:tc>
        <w:tc>
          <w:tcPr>
            <w:tcW w:w="1991" w:type="dxa"/>
            <w:tcBorders>
              <w:left w:val="single" w:sz="4" w:space="0" w:color="000000"/>
              <w:bottom w:val="single" w:sz="4" w:space="0" w:color="000000"/>
            </w:tcBorders>
          </w:tcPr>
          <w:p>
            <w:pPr>
              <w:pStyle w:val="TableContents"/>
              <w:widowControl w:val="false"/>
              <w:rPr/>
            </w:pPr>
            <w:r>
              <w:rPr/>
              <w:t xml:space="preserve">Kentucky, owned the home he lived in </w:t>
            </w:r>
          </w:p>
        </w:tc>
        <w:tc>
          <w:tcPr>
            <w:tcW w:w="1998" w:type="dxa"/>
            <w:tcBorders>
              <w:left w:val="single" w:sz="4" w:space="0" w:color="000000"/>
              <w:bottom w:val="single" w:sz="4" w:space="0" w:color="000000"/>
            </w:tcBorders>
          </w:tcPr>
          <w:p>
            <w:pPr>
              <w:pStyle w:val="TableContents"/>
              <w:widowControl w:val="false"/>
              <w:rPr/>
            </w:pPr>
            <w:r>
              <w:rPr/>
              <w:t>Kentucky, farm he lived at but awarded to his ex-wife</w:t>
            </w:r>
          </w:p>
        </w:tc>
        <w:tc>
          <w:tcPr>
            <w:tcW w:w="1991" w:type="dxa"/>
            <w:tcBorders>
              <w:left w:val="single" w:sz="4" w:space="0" w:color="000000"/>
              <w:bottom w:val="single" w:sz="4" w:space="0" w:color="000000"/>
            </w:tcBorders>
          </w:tcPr>
          <w:p>
            <w:pPr>
              <w:pStyle w:val="TableContents"/>
              <w:widowControl w:val="false"/>
              <w:rPr/>
            </w:pPr>
            <w:r>
              <w:rPr/>
              <w:t>Kentucky, one 6 month address</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t>Kentucky, owns the land and built a ranch home</w:t>
            </w:r>
          </w:p>
        </w:tc>
      </w:tr>
      <w:tr>
        <w:trPr/>
        <w:tc>
          <w:tcPr>
            <w:tcW w:w="1994" w:type="dxa"/>
            <w:tcBorders>
              <w:left w:val="single" w:sz="4" w:space="0" w:color="000000"/>
              <w:bottom w:val="single" w:sz="4" w:space="0" w:color="000000"/>
            </w:tcBorders>
          </w:tcPr>
          <w:p>
            <w:pPr>
              <w:pStyle w:val="TableContents"/>
              <w:widowControl w:val="false"/>
              <w:rPr/>
            </w:pPr>
            <w:r>
              <w:rPr/>
              <w:t>Outcome</w:t>
            </w:r>
          </w:p>
        </w:tc>
        <w:tc>
          <w:tcPr>
            <w:tcW w:w="1991" w:type="dxa"/>
            <w:tcBorders>
              <w:left w:val="single" w:sz="4" w:space="0" w:color="000000"/>
              <w:bottom w:val="single" w:sz="4" w:space="0" w:color="000000"/>
            </w:tcBorders>
          </w:tcPr>
          <w:p>
            <w:pPr>
              <w:pStyle w:val="TableContents"/>
              <w:widowControl w:val="false"/>
              <w:rPr/>
            </w:pPr>
            <w:r>
              <w:rPr/>
              <w:t>Deasy was a Kentucky citizen</w:t>
            </w:r>
          </w:p>
        </w:tc>
        <w:tc>
          <w:tcPr>
            <w:tcW w:w="1998" w:type="dxa"/>
            <w:tcBorders>
              <w:left w:val="single" w:sz="4" w:space="0" w:color="000000"/>
              <w:bottom w:val="single" w:sz="4" w:space="0" w:color="000000"/>
            </w:tcBorders>
          </w:tcPr>
          <w:p>
            <w:pPr>
              <w:pStyle w:val="TableContents"/>
              <w:widowControl w:val="false"/>
              <w:rPr/>
            </w:pPr>
            <w:r>
              <w:rPr/>
              <w:t>Pitt was a Kentucky citizen</w:t>
            </w:r>
          </w:p>
        </w:tc>
        <w:tc>
          <w:tcPr>
            <w:tcW w:w="1991" w:type="dxa"/>
            <w:tcBorders>
              <w:left w:val="single" w:sz="4" w:space="0" w:color="000000"/>
              <w:bottom w:val="single" w:sz="4" w:space="0" w:color="000000"/>
            </w:tcBorders>
          </w:tcPr>
          <w:p>
            <w:pPr>
              <w:pStyle w:val="TableContents"/>
              <w:widowControl w:val="false"/>
              <w:rPr/>
            </w:pPr>
            <w:r>
              <w:rPr/>
              <w:t>Emmons was a Michigan citizen alone</w:t>
            </w:r>
          </w:p>
        </w:tc>
        <w:tc>
          <w:tcPr>
            <w:tcW w:w="1998" w:type="dxa"/>
            <w:tcBorders>
              <w:left w:val="single" w:sz="4" w:space="0" w:color="000000"/>
              <w:bottom w:val="single" w:sz="4" w:space="0" w:color="000000"/>
              <w:right w:val="single" w:sz="4" w:space="0" w:color="000000"/>
            </w:tcBorders>
          </w:tcPr>
          <w:p>
            <w:pPr>
              <w:pStyle w:val="TableContents"/>
              <w:widowControl w:val="false"/>
              <w:rPr/>
            </w:pPr>
            <w:r>
              <w:rPr/>
            </w:r>
          </w:p>
        </w:tc>
      </w:tr>
    </w:tbl>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Timeline</w:t>
      </w:r>
    </w:p>
    <w:p>
      <w:pPr>
        <w:pStyle w:val="Normal"/>
        <w:bidi w:val="0"/>
        <w:jc w:val="left"/>
        <w:rPr>
          <w:b w:val="false"/>
          <w:b w:val="false"/>
          <w:bCs w:val="false"/>
        </w:rPr>
      </w:pPr>
      <w:r>
        <w:rPr>
          <w:b w:val="false"/>
          <w:bCs w:val="false"/>
        </w:rPr>
        <w:t>2019: Moves to Knoxville, TN for University</w:t>
      </w:r>
    </w:p>
    <w:p>
      <w:pPr>
        <w:pStyle w:val="Normal"/>
        <w:bidi w:val="0"/>
        <w:jc w:val="left"/>
        <w:rPr>
          <w:b w:val="false"/>
          <w:b w:val="false"/>
          <w:bCs w:val="false"/>
        </w:rPr>
      </w:pPr>
      <w:r>
        <w:rPr>
          <w:b w:val="false"/>
          <w:bCs w:val="false"/>
        </w:rPr>
        <w:t>2020: Registers car in Tennessee, changes driver’s license to Tennessee</w:t>
      </w:r>
    </w:p>
    <w:p>
      <w:pPr>
        <w:pStyle w:val="Normal"/>
        <w:bidi w:val="0"/>
        <w:jc w:val="left"/>
        <w:rPr>
          <w:b w:val="false"/>
          <w:b w:val="false"/>
          <w:bCs w:val="false"/>
        </w:rPr>
      </w:pPr>
      <w:r>
        <w:rPr>
          <w:b w:val="false"/>
          <w:bCs w:val="false"/>
        </w:rPr>
        <w:t>2023: Graduates, moves to Nashville, leases 118 Shelby Ave</w:t>
      </w:r>
    </w:p>
    <w:p>
      <w:pPr>
        <w:pStyle w:val="Normal"/>
        <w:bidi w:val="0"/>
        <w:jc w:val="left"/>
        <w:rPr>
          <w:b w:val="false"/>
          <w:b w:val="false"/>
          <w:bCs w:val="false"/>
        </w:rPr>
      </w:pPr>
      <w:r>
        <w:rPr>
          <w:b w:val="false"/>
          <w:bCs w:val="false"/>
        </w:rPr>
        <w:t>Aug 18, 2023: Registers to vote in Davidson County</w:t>
      </w:r>
    </w:p>
    <w:p>
      <w:pPr>
        <w:pStyle w:val="Normal"/>
        <w:bidi w:val="0"/>
        <w:jc w:val="left"/>
        <w:rPr>
          <w:b w:val="false"/>
          <w:b w:val="false"/>
          <w:bCs w:val="false"/>
        </w:rPr>
      </w:pPr>
      <w:r>
        <w:rPr>
          <w:b w:val="false"/>
          <w:bCs w:val="false"/>
        </w:rPr>
        <w:t>2024: Buys land near Bowling Green</w:t>
      </w:r>
    </w:p>
    <w:p>
      <w:pPr>
        <w:pStyle w:val="Normal"/>
        <w:bidi w:val="0"/>
        <w:jc w:val="left"/>
        <w:rPr>
          <w:b w:val="false"/>
          <w:b w:val="false"/>
          <w:bCs w:val="false"/>
        </w:rPr>
      </w:pPr>
      <w:r>
        <w:rPr>
          <w:b w:val="false"/>
          <w:bCs w:val="false"/>
        </w:rPr>
        <w:t>August 1 2024: Votes in State Primary</w:t>
      </w:r>
    </w:p>
    <w:p>
      <w:pPr>
        <w:pStyle w:val="Normal"/>
        <w:bidi w:val="0"/>
        <w:jc w:val="left"/>
        <w:rPr>
          <w:b w:val="false"/>
          <w:b w:val="false"/>
          <w:bCs w:val="false"/>
        </w:rPr>
      </w:pPr>
      <w:r>
        <w:rPr>
          <w:b w:val="false"/>
          <w:bCs w:val="false"/>
        </w:rPr>
        <w:t>November 5, 2024: Votes in General election</w:t>
      </w:r>
    </w:p>
    <w:p>
      <w:pPr>
        <w:pStyle w:val="Normal"/>
        <w:bidi w:val="0"/>
        <w:jc w:val="left"/>
        <w:rPr>
          <w:b w:val="false"/>
          <w:b w:val="false"/>
          <w:bCs w:val="false"/>
        </w:rPr>
      </w:pPr>
      <w:r>
        <w:rPr>
          <w:b w:val="false"/>
          <w:bCs w:val="false"/>
        </w:rPr>
        <w:t>Feb 2026: Bowling Green house completed</w:t>
      </w:r>
    </w:p>
    <w:p>
      <w:pPr>
        <w:pStyle w:val="Normal"/>
        <w:bidi w:val="0"/>
        <w:jc w:val="left"/>
        <w:rPr>
          <w:b w:val="false"/>
          <w:b w:val="false"/>
          <w:bCs w:val="false"/>
        </w:rPr>
      </w:pPr>
      <w:r>
        <w:rPr>
          <w:b w:val="false"/>
          <w:bCs w:val="false"/>
        </w:rPr>
        <w:t>March 2026: Starts electric, water, and internet to the KY House</w:t>
      </w:r>
    </w:p>
    <w:p>
      <w:pPr>
        <w:pStyle w:val="Normal"/>
        <w:bidi w:val="0"/>
        <w:jc w:val="left"/>
        <w:rPr>
          <w:b w:val="false"/>
          <w:b w:val="false"/>
          <w:bCs w:val="false"/>
        </w:rPr>
      </w:pPr>
      <w:r>
        <w:rPr>
          <w:b w:val="false"/>
          <w:bCs w:val="false"/>
        </w:rPr>
        <w:t>June 5-9, 2026: Music City Pro Audio invoice, billed to Nashville address, shipped to Kentucky address</w:t>
      </w:r>
    </w:p>
    <w:p>
      <w:pPr>
        <w:pStyle w:val="Normal"/>
        <w:bidi w:val="0"/>
        <w:jc w:val="left"/>
        <w:rPr>
          <w:b w:val="false"/>
          <w:b w:val="false"/>
          <w:bCs w:val="false"/>
        </w:rPr>
      </w:pPr>
      <w:r>
        <w:rPr>
          <w:b w:val="false"/>
          <w:bCs w:val="false"/>
        </w:rPr>
        <w:t>June 10, 2026: Warren County dog license issued, certified from East Nashville Veterinary clinic</w:t>
      </w:r>
    </w:p>
    <w:p>
      <w:pPr>
        <w:pStyle w:val="Normal"/>
        <w:bidi w:val="0"/>
        <w:jc w:val="left"/>
        <w:rPr>
          <w:b w:val="false"/>
          <w:b w:val="false"/>
          <w:bCs w:val="false"/>
        </w:rPr>
      </w:pPr>
      <w:r>
        <w:rPr>
          <w:b w:val="false"/>
          <w:bCs w:val="false"/>
        </w:rPr>
        <w:t>June 19, 2026: Blue Anchor Room show in Nashville, Fox promoted as Kentucky’s ownership</w:t>
      </w:r>
    </w:p>
    <w:p>
      <w:pPr>
        <w:pStyle w:val="Normal"/>
        <w:bidi w:val="0"/>
        <w:jc w:val="left"/>
        <w:rPr>
          <w:b w:val="false"/>
          <w:b w:val="false"/>
          <w:bCs w:val="false"/>
        </w:rPr>
      </w:pPr>
      <w:r>
        <w:rPr>
          <w:b w:val="false"/>
          <w:bCs w:val="false"/>
        </w:rPr>
        <w:t xml:space="preserve">Summer 2026: Furniture brought to house, spends 1-2 nights a week there and holidays </w:t>
      </w:r>
    </w:p>
    <w:p>
      <w:pPr>
        <w:pStyle w:val="Normal"/>
        <w:bidi w:val="0"/>
        <w:jc w:val="left"/>
        <w:rPr>
          <w:b w:val="false"/>
          <w:b w:val="false"/>
          <w:bCs w:val="false"/>
        </w:rPr>
      </w:pPr>
      <w:r>
        <w:rPr>
          <w:b w:val="false"/>
          <w:bCs w:val="false"/>
        </w:rPr>
        <w:t>July 2026: Files suit in Davidson County, defendant removes case</w:t>
      </w:r>
    </w:p>
    <w:p>
      <w:pPr>
        <w:pStyle w:val="Normal"/>
        <w:bidi w:val="0"/>
        <w:jc w:val="left"/>
        <w:rPr>
          <w:b w:val="false"/>
          <w:b w:val="false"/>
          <w:bCs w:val="false"/>
        </w:rPr>
      </w:pPr>
      <w:r>
        <w:rPr>
          <w:b w:val="false"/>
          <w:bCs w:val="false"/>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rPr>
      </w:pPr>
      <w:r>
        <w:rPr>
          <w:b/>
          <w:bCs/>
        </w:rPr>
        <w:t>Discussion</w:t>
      </w:r>
    </w:p>
    <w:p>
      <w:pPr>
        <w:pStyle w:val="Normal"/>
        <w:bidi w:val="0"/>
        <w:jc w:val="left"/>
        <w:rPr>
          <w:b w:val="false"/>
          <w:b w:val="false"/>
          <w:bCs w:val="false"/>
        </w:rPr>
      </w:pPr>
      <w:r>
        <w:rPr>
          <w:b w:val="false"/>
          <w:bCs w:val="false"/>
        </w:rPr>
        <w:tab/>
        <w:t>A federal district court may exercise diversity jurisdiction under 28 U.S.C. § 1332(a)(1) only where the amount in controversy exceeds $75,000 and the action between citizens of different states. Diversity must be complete, meaning that no plaintiff may be a citizen of the same state as any defendant. Robinette v. Emmons, No. 7:19-CV-2-REW, 2019 WL 13212618, at *1 (E.D. Ky. Jan. 25, 2019). Because the defendant is incorporated and headquartered in Tennessee, complete diversity exists  only if Fox was a citizen of Kentucky when the suit was initiated in July 2026. A court will likely conclude that he was not. Fox established domicile in Tennessee when he purchased an apartment in Nashville that he continues to lease. He maintains an active Tennessee voter registration under which he has voted, a Tennessee driver’s license, a Tennessee vehicle registration, and a Nashville based music career. Fox dies not hold a Kentucky voter registration, driver’s license or vehicle registration. Fox has purchased a house in Bowling Green, Kentucky, however, it cannot be considered a new domicile as he only spends one to two nights per week at that residence. The motion to remand is likely to succeed.</w:t>
      </w:r>
    </w:p>
    <w:p>
      <w:pPr>
        <w:pStyle w:val="Normal"/>
        <w:bidi w:val="0"/>
        <w:jc w:val="left"/>
        <w:rPr>
          <w:b w:val="false"/>
          <w:b w:val="false"/>
          <w:bCs w:val="false"/>
        </w:rPr>
      </w:pPr>
      <w:r>
        <w:rPr>
          <w:b w:val="false"/>
          <w:bCs w:val="false"/>
        </w:rPr>
      </w:r>
    </w:p>
    <w:p>
      <w:pPr>
        <w:pStyle w:val="Normal"/>
        <w:bidi w:val="0"/>
        <w:jc w:val="left"/>
        <w:rPr/>
      </w:pPr>
      <w:r>
        <w:rPr>
          <w:b w:val="false"/>
          <w:bCs w:val="false"/>
        </w:rPr>
        <w:tab/>
      </w:r>
      <w:r>
        <w:rPr>
          <w:b/>
          <w:bCs/>
        </w:rPr>
        <w:t xml:space="preserve">A. The defendant bears the burden as abandoning his Tennessee domicile and acquired a </w:t>
        <w:tab/>
        <w:t>new one in Kentucky</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ab/>
        <w:t xml:space="preserve">Federal courts are courts of limited jurisdiction and the burden of establishing a jurisdictional basis rests upon the party asserting jurisdiction. </w:t>
      </w:r>
      <w:r>
        <w:rPr>
          <w:b w:val="false"/>
          <w:bCs w:val="false"/>
          <w:i/>
          <w:iCs/>
        </w:rPr>
        <w:t>Robinette</w:t>
      </w:r>
      <w:r>
        <w:rPr>
          <w:b w:val="false"/>
          <w:bCs w:val="false"/>
        </w:rPr>
        <w:t xml:space="preserve">, 2019 WL 13212618 at *1 (citing </w:t>
      </w:r>
      <w:r>
        <w:rPr>
          <w:b w:val="false"/>
          <w:bCs w:val="false"/>
          <w:i/>
          <w:iCs/>
        </w:rPr>
        <w:t>Kokkonen</w:t>
      </w:r>
      <w:r>
        <w:rPr>
          <w:b w:val="false"/>
          <w:bCs w:val="false"/>
        </w:rPr>
        <w:t xml:space="preserve"> v. Guardian Life Ins. Co. of Am., 114 S. Ct. 1673, 1675 (1994)). In </w:t>
      </w:r>
      <w:r>
        <w:rPr>
          <w:b w:val="false"/>
          <w:bCs w:val="false"/>
          <w:i/>
          <w:iCs/>
        </w:rPr>
        <w:t>Robinette</w:t>
      </w:r>
      <w:r>
        <w:rPr>
          <w:b w:val="false"/>
          <w:bCs w:val="false"/>
        </w:rPr>
        <w:t xml:space="preserve">, </w:t>
      </w:r>
      <w:r>
        <w:rPr>
          <w:b w:val="false"/>
          <w:bCs w:val="false"/>
          <w:i w:val="false"/>
          <w:iCs w:val="false"/>
        </w:rPr>
        <w:t xml:space="preserve">the court required the removing defendant to present affirmative proof of the disputed party’s citizenship in order to retain the case. This case differed from Deasy and Pitt Excavating, in which the plaintiff had invoked § 1332, thus Deasy was required to prove his domicile. Since Fox chose a Tennessee court, he does need to prove his own citizenship. </w:t>
      </w:r>
    </w:p>
    <w:p>
      <w:pPr>
        <w:pStyle w:val="Normal"/>
        <w:bidi w:val="0"/>
        <w:jc w:val="left"/>
        <w:rPr>
          <w:b w:val="false"/>
          <w:b w:val="false"/>
          <w:bCs w:val="false"/>
        </w:rPr>
      </w:pPr>
      <w:r>
        <w:rPr>
          <w:b w:val="false"/>
          <w:bCs w:val="false"/>
          <w:i w:val="false"/>
          <w:iCs w:val="false"/>
        </w:rPr>
        <w:tab/>
        <w:t xml:space="preserve">State citizenship for diversity purposes is equated with domicile. </w:t>
      </w:r>
      <w:r>
        <w:rPr>
          <w:b w:val="false"/>
          <w:bCs w:val="false"/>
          <w:i/>
          <w:iCs/>
        </w:rPr>
        <w:t>Pitt Excavating, LLC v. Pitt</w:t>
      </w:r>
      <w:r>
        <w:rPr>
          <w:b w:val="false"/>
          <w:bCs w:val="false"/>
          <w:i w:val="false"/>
          <w:iCs w:val="false"/>
        </w:rPr>
        <w:t>, 603 F. Appx 393, 396 (6</w:t>
      </w:r>
      <w:r>
        <w:rPr>
          <w:b w:val="false"/>
          <w:bCs w:val="false"/>
          <w:i w:val="false"/>
          <w:iCs w:val="false"/>
          <w:vertAlign w:val="superscript"/>
        </w:rPr>
        <w:t>th</w:t>
      </w:r>
      <w:r>
        <w:rPr>
          <w:b w:val="false"/>
          <w:bCs w:val="false"/>
          <w:i w:val="false"/>
          <w:iCs w:val="false"/>
        </w:rPr>
        <w:t xml:space="preserve"> Cir. 2015) (citing </w:t>
      </w:r>
      <w:r>
        <w:rPr>
          <w:b w:val="false"/>
          <w:bCs w:val="false"/>
          <w:i/>
          <w:iCs/>
        </w:rPr>
        <w:t>Von Dunser v. Aronoff</w:t>
      </w:r>
      <w:r>
        <w:rPr>
          <w:b w:val="false"/>
          <w:bCs w:val="false"/>
          <w:i w:val="false"/>
          <w:iCs w:val="false"/>
        </w:rPr>
        <w:t>, 915 F.2d 1071, 1072 (6</w:t>
      </w:r>
      <w:r>
        <w:rPr>
          <w:b w:val="false"/>
          <w:bCs w:val="false"/>
          <w:i w:val="false"/>
          <w:iCs w:val="false"/>
          <w:vertAlign w:val="superscript"/>
        </w:rPr>
        <w:t>th</w:t>
      </w:r>
      <w:r>
        <w:rPr>
          <w:b w:val="false"/>
          <w:bCs w:val="false"/>
          <w:i w:val="false"/>
          <w:iCs w:val="false"/>
        </w:rPr>
        <w:t xml:space="preserve"> Cir. 1990)). Residence is not synonymous with citizenship. </w:t>
      </w:r>
      <w:r>
        <w:rPr>
          <w:b w:val="false"/>
          <w:bCs w:val="false"/>
          <w:i/>
          <w:iCs/>
        </w:rPr>
        <w:t>Robinette</w:t>
      </w:r>
      <w:r>
        <w:rPr>
          <w:b w:val="false"/>
          <w:bCs w:val="false"/>
          <w:i w:val="false"/>
          <w:iCs w:val="false"/>
        </w:rPr>
        <w:t xml:space="preserve">, 2019 WL 13212618, at *1 (citing </w:t>
      </w:r>
      <w:r>
        <w:rPr>
          <w:b w:val="false"/>
          <w:bCs w:val="false"/>
          <w:i/>
          <w:iCs/>
        </w:rPr>
        <w:t>Kaiser v. Loomis</w:t>
      </w:r>
      <w:r>
        <w:rPr>
          <w:b w:val="false"/>
          <w:bCs w:val="false"/>
          <w:i w:val="false"/>
          <w:iCs w:val="false"/>
        </w:rPr>
        <w:t>, 391 F.2d 1007, 1009 (6</w:t>
      </w:r>
      <w:r>
        <w:rPr>
          <w:b w:val="false"/>
          <w:bCs w:val="false"/>
          <w:i w:val="false"/>
          <w:iCs w:val="false"/>
          <w:vertAlign w:val="superscript"/>
        </w:rPr>
        <w:t>th</w:t>
      </w:r>
      <w:r>
        <w:rPr>
          <w:b w:val="false"/>
          <w:bCs w:val="false"/>
          <w:i w:val="false"/>
          <w:iCs w:val="false"/>
        </w:rPr>
        <w:t xml:space="preserve"> Cir. 1968)). Meaning a person can reside in one state while being domiciled in another. To establish domicile within a particular state, a person must be physically present in the state and must have either the intention to make his home there indefinitely or the absence of intention to make his home elsewhere. Pitt Excavating,, 603 F. Appx 393 (citing Stifel v Hopkins, 477 F.2d 1116, 1120 (6</w:t>
      </w:r>
      <w:r>
        <w:rPr>
          <w:b w:val="false"/>
          <w:bCs w:val="false"/>
          <w:i w:val="false"/>
          <w:iCs w:val="false"/>
          <w:vertAlign w:val="superscript"/>
        </w:rPr>
        <w:t>th</w:t>
      </w:r>
      <w:r>
        <w:rPr>
          <w:b w:val="false"/>
          <w:bCs w:val="false"/>
          <w:i w:val="false"/>
          <w:iCs w:val="false"/>
        </w:rPr>
        <w:t xml:space="preserve"> Cir. 1973)). </w:t>
      </w:r>
    </w:p>
    <w:p>
      <w:pPr>
        <w:pStyle w:val="Normal"/>
        <w:bidi w:val="0"/>
        <w:jc w:val="left"/>
        <w:rPr>
          <w:b w:val="false"/>
          <w:b w:val="false"/>
          <w:bCs w:val="false"/>
        </w:rPr>
      </w:pPr>
      <w:r>
        <w:rPr>
          <w:b w:val="false"/>
          <w:bCs w:val="false"/>
          <w:i w:val="false"/>
          <w:iCs w:val="false"/>
        </w:rPr>
        <w:tab/>
        <w:t xml:space="preserve">Fox’s Tennessee domicile is not contestable. He moved to Tennessee in 2019 to attend the University of Tennessee, he then relocated to Nashville after graduating in 2023. He leased an apartment in Nashville, obtained a Tennessee driver’s license, registered his vehicle in Tennessee, and registered to vote in Davidson county. Under </w:t>
      </w:r>
      <w:r>
        <w:rPr>
          <w:b w:val="false"/>
          <w:bCs w:val="false"/>
          <w:i/>
          <w:iCs/>
        </w:rPr>
        <w:t>Von Dunser</w:t>
      </w:r>
      <w:r>
        <w:rPr>
          <w:b w:val="false"/>
          <w:bCs w:val="false"/>
          <w:i w:val="false"/>
          <w:iCs w:val="false"/>
        </w:rPr>
        <w:t xml:space="preserve">, Fox’s Tennessee domicile continues unless the defendant proves a Kentucky domicile replaced it.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r>
      <w:r>
        <w:rPr>
          <w:b/>
          <w:bCs/>
          <w:i w:val="false"/>
          <w:iCs w:val="false"/>
        </w:rPr>
        <w:t>B. Fox’s physical presence remains predominantly in Tennessee and the Sixth Circuit has</w:t>
        <w:tab/>
        <w:t>treated presence at the original domicile as evidence of a party’s continued domicile there</w:t>
      </w:r>
    </w:p>
    <w:p>
      <w:pPr>
        <w:pStyle w:val="Normal"/>
        <w:bidi w:val="0"/>
        <w:jc w:val="left"/>
        <w:rPr>
          <w:b w:val="false"/>
          <w:b w:val="false"/>
          <w:bCs w:val="false"/>
        </w:rPr>
      </w:pPr>
      <w:r>
        <w:rPr>
          <w:b w:val="false"/>
          <w:bCs w:val="false"/>
          <w:i w:val="false"/>
          <w:iCs w:val="false"/>
        </w:rPr>
        <w:tab/>
      </w:r>
    </w:p>
    <w:p>
      <w:pPr>
        <w:pStyle w:val="Normal"/>
        <w:bidi w:val="0"/>
        <w:jc w:val="left"/>
        <w:rPr>
          <w:b w:val="false"/>
          <w:b w:val="false"/>
          <w:bCs w:val="false"/>
        </w:rPr>
      </w:pPr>
      <w:r>
        <w:rPr>
          <w:b w:val="false"/>
          <w:bCs w:val="false"/>
          <w:i w:val="false"/>
          <w:iCs w:val="false"/>
        </w:rPr>
        <w:tab/>
        <w:t xml:space="preserve">Pitt Excavating presents a case where Mr. Pitt sought to prove he was domiciled in Tennessee. Mr. Pitt began to stay at an apartment in Madison, Tennessee in November 2012 but did not begin to stay there exclusively until after eviction proceedings began in July 2013. However the court found Pitt’s behavior was “highly probative of a continuing desire to remain domiciled at the Kentucky farm” because he would still spend two to three nights per week at the farm up until September 2013. The court concluded that spending four to five nights per week in Tennessee in the weeks leading up to the case not sufficient to demonstrate that he abandoned his Kentucky domicile. </w:t>
      </w:r>
    </w:p>
    <w:p>
      <w:pPr>
        <w:pStyle w:val="Normal"/>
        <w:bidi w:val="0"/>
        <w:jc w:val="left"/>
        <w:rPr>
          <w:b w:val="false"/>
          <w:b w:val="false"/>
          <w:bCs w:val="false"/>
        </w:rPr>
      </w:pPr>
      <w:r>
        <w:rPr>
          <w:b w:val="false"/>
          <w:bCs w:val="false"/>
          <w:i w:val="false"/>
          <w:iCs w:val="false"/>
        </w:rPr>
        <w:tab/>
        <w:t xml:space="preserve">Fox’s claim is stronger than Mr. Pitt, he spends only one to two nights a week in Bowling Green and the remaining five or six days in Nashville. If residing two to three nights per week in the original domicile in the </w:t>
      </w:r>
      <w:r>
        <w:rPr>
          <w:b w:val="false"/>
          <w:bCs w:val="false"/>
          <w:i/>
          <w:iCs/>
        </w:rPr>
        <w:t xml:space="preserve">Pitt </w:t>
      </w:r>
      <w:r>
        <w:rPr>
          <w:b w:val="false"/>
          <w:bCs w:val="false"/>
          <w:i w:val="false"/>
          <w:iCs w:val="false"/>
        </w:rPr>
        <w:t xml:space="preserve">case was evidence of a continued domicile in Kentucky then Fox spending most nights in Tennessee would be strong evidence of Tennessee domicile. </w:t>
      </w:r>
    </w:p>
    <w:p>
      <w:pPr>
        <w:pStyle w:val="Normal"/>
        <w:bidi w:val="0"/>
        <w:jc w:val="left"/>
        <w:rPr>
          <w:b w:val="false"/>
          <w:b w:val="false"/>
          <w:bCs w:val="false"/>
        </w:rPr>
      </w:pPr>
      <w:r>
        <w:rPr>
          <w:b w:val="false"/>
          <w:bCs w:val="false"/>
          <w:i w:val="false"/>
          <w:iCs w:val="false"/>
        </w:rPr>
        <w:tab/>
        <w:t xml:space="preserve">Deasy reinforces this point because the plaintiff claimed Tennessee domicile but he was physically present in Tennessee only on weekends while the home he owned was in Kentucky, 47 F. Appx 728. Ultimately the court determined that Deasy was a Kentucky domiciliary. The pattern of living for Fox is the opposite, he spends weekdays in Nashville and the weekends and holidays in Bowling Green.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r>
      <w:r>
        <w:rPr>
          <w:b/>
          <w:bCs/>
          <w:i w:val="false"/>
          <w:iCs w:val="false"/>
        </w:rPr>
        <w:t>C. The defendant’s evidence establishes a second residence, not a change of domiciled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t xml:space="preserve">The defendant’s argument that Fox is a Kentucky resident relies on Fox’s ownership of his Bowling Green property, however, ownership of property is not domicile. In Deasy, the plaintiff owned a house and a duplex in Tennessee, however this fact was not sufficient to establish Tennessee domicile because he rented the house to someone else and trips to Tennessee were infrequent. 47 F. Appx 728. In </w:t>
      </w:r>
      <w:r>
        <w:rPr>
          <w:b w:val="false"/>
          <w:bCs w:val="false"/>
          <w:i/>
          <w:iCs/>
        </w:rPr>
        <w:t>Pitt Excavating</w:t>
      </w:r>
      <w:r>
        <w:rPr>
          <w:b w:val="false"/>
          <w:bCs w:val="false"/>
          <w:i w:val="false"/>
          <w:iCs w:val="false"/>
        </w:rPr>
        <w:t xml:space="preserve">, Mr. Pitt was determined to be a Kentucky resident even though he did not even own the property on which he resided. </w:t>
      </w:r>
      <w:r>
        <w:rPr>
          <w:b w:val="false"/>
          <w:bCs w:val="false"/>
          <w:i/>
          <w:iCs/>
        </w:rPr>
        <w:t>Pitt Excavating</w:t>
      </w:r>
      <w:r>
        <w:rPr>
          <w:b w:val="false"/>
          <w:bCs w:val="false"/>
          <w:i w:val="false"/>
          <w:iCs w:val="false"/>
        </w:rPr>
        <w:t xml:space="preserve">, 603 F. Appx 394-97. These cases both apply  the principle established in </w:t>
      </w:r>
      <w:r>
        <w:rPr>
          <w:b w:val="false"/>
          <w:bCs w:val="false"/>
          <w:i/>
          <w:iCs/>
        </w:rPr>
        <w:t>Stifel</w:t>
      </w:r>
      <w:r>
        <w:rPr>
          <w:b w:val="false"/>
          <w:bCs w:val="false"/>
          <w:i w:val="false"/>
          <w:iCs w:val="false"/>
        </w:rPr>
        <w:t xml:space="preserve"> which is that proving citizenship requires showing domicile not just residence. Fox uses the Bowling Green residence only on the weekends and holidays, it only furnished minimally and has only been connected to utilities for a few months. This does not reflect a house that is being occupied as a primary residence.</w:t>
      </w:r>
    </w:p>
    <w:p>
      <w:pPr>
        <w:pStyle w:val="Normal"/>
        <w:bidi w:val="0"/>
        <w:jc w:val="left"/>
        <w:rPr>
          <w:b w:val="false"/>
          <w:b w:val="false"/>
          <w:bCs w:val="false"/>
        </w:rPr>
      </w:pPr>
      <w:r>
        <w:rPr>
          <w:b w:val="false"/>
          <w:bCs w:val="false"/>
          <w:i w:val="false"/>
          <w:iCs w:val="false"/>
        </w:rPr>
        <w:tab/>
        <w:t xml:space="preserve">Since Fox’s residence in Kentucky has been brief, this strengthens his argument as a Tennessee citizen. Courts “consistently reject short-term, transient abnormalities as citizenship markers.” </w:t>
      </w:r>
      <w:r>
        <w:rPr>
          <w:b w:val="false"/>
          <w:bCs w:val="false"/>
          <w:i/>
          <w:iCs/>
        </w:rPr>
        <w:t>Robinette</w:t>
      </w:r>
      <w:r>
        <w:rPr>
          <w:b w:val="false"/>
          <w:bCs w:val="false"/>
          <w:i w:val="false"/>
          <w:iCs w:val="false"/>
        </w:rPr>
        <w:t xml:space="preserve">, 2019 WL 13212618, at *2. In </w:t>
      </w:r>
      <w:r>
        <w:rPr>
          <w:b w:val="false"/>
          <w:bCs w:val="false"/>
          <w:i/>
          <w:iCs/>
        </w:rPr>
        <w:t>Robinette</w:t>
      </w:r>
      <w:r>
        <w:rPr>
          <w:b w:val="false"/>
          <w:bCs w:val="false"/>
          <w:i w:val="false"/>
          <w:iCs w:val="false"/>
        </w:rPr>
        <w:t>, the plaintiff’s six month address in Kentucky did not override a thirteen year pattern of residence in Michigan. Fox’s Kentucky house has been finished for only six months, while he has a pattern of residence in Tennessee since 2019.</w:t>
      </w:r>
    </w:p>
    <w:p>
      <w:pPr>
        <w:pStyle w:val="Normal"/>
        <w:bidi w:val="0"/>
        <w:jc w:val="left"/>
        <w:rPr>
          <w:b w:val="false"/>
          <w:b w:val="false"/>
          <w:bCs w:val="false"/>
        </w:rPr>
      </w:pPr>
      <w:r>
        <w:rPr>
          <w:b w:val="false"/>
          <w:bCs w:val="false"/>
          <w:i w:val="false"/>
          <w:iCs w:val="false"/>
        </w:rPr>
        <w:tab/>
        <w:t xml:space="preserve">Fox changed his Facebook profile to say that he lives in Kentucky when the house there was completed. This is addressed by </w:t>
      </w:r>
      <w:r>
        <w:rPr>
          <w:b w:val="false"/>
          <w:bCs w:val="false"/>
          <w:i/>
          <w:iCs/>
        </w:rPr>
        <w:t>Robinette</w:t>
      </w:r>
      <w:r>
        <w:rPr>
          <w:b w:val="false"/>
          <w:bCs w:val="false"/>
          <w:i w:val="false"/>
          <w:iCs w:val="false"/>
        </w:rPr>
        <w:t xml:space="preserve">, where the court considered a print-out of Emmon’s Facebook profile saying that she currently lives in Kentucky and is from Michigan, this however, was not strong enough evidence to indicate that Emmons was a Kentucky citizen. Thus Fox’s social media profile is not sufficient to establish him as a Kentucky resident especially when other factors such as voter registration, vehicle registration and living patterns point to his status as a Tennessee citizen. </w:t>
      </w:r>
    </w:p>
    <w:p>
      <w:pPr>
        <w:pStyle w:val="Normal"/>
        <w:bidi w:val="0"/>
        <w:jc w:val="left"/>
        <w:rPr>
          <w:b w:val="false"/>
          <w:b w:val="false"/>
          <w:bCs w:val="false"/>
        </w:rPr>
      </w:pPr>
      <w:r>
        <w:rPr>
          <w:b w:val="false"/>
          <w:bCs w:val="false"/>
          <w:i w:val="false"/>
          <w:iCs w:val="false"/>
        </w:rPr>
        <w:tab/>
        <w:t xml:space="preserve">The promotional flyer for one of Fox’s shows is not sufficient evidence of Kentucky citizenship either. Fox holds that he did not create nor approve it the flyer which is credited to CSP Marketing. </w:t>
      </w:r>
      <w:r>
        <w:rPr>
          <w:b w:val="false"/>
          <w:bCs w:val="false"/>
          <w:i/>
          <w:iCs/>
        </w:rPr>
        <w:t>Stifel</w:t>
      </w:r>
      <w:r>
        <w:rPr>
          <w:b w:val="false"/>
          <w:bCs w:val="false"/>
          <w:i w:val="false"/>
          <w:iCs w:val="false"/>
        </w:rPr>
        <w:t xml:space="preserve"> establishes that intent to domicile in a different state can be expressed through actions the party undertakes himself such as affidavits, registrations, opening bank accounts, etc. Since the flyer was created by a third party, this is weak evidence.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r>
      <w:r>
        <w:rPr>
          <w:b/>
          <w:bCs/>
          <w:i w:val="false"/>
          <w:iCs w:val="false"/>
        </w:rPr>
        <w:t xml:space="preserve">D. Fox’s deisre to settle in Bowling Green after marrying is contingent on future plans </w:t>
        <w:tab/>
        <w:t xml:space="preserve">which </w:t>
        <w:tab/>
        <w:t>have not occurred yet and do not effect a change of domicile</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t>The defendant’s strongest argument is that Fox hopes to settle in Bowling Green when he marries his girlfriend. Citizenship reflects a person’s long term plan for state of habitation rather than just current residence. Robinette, 2019 WL 13212618, at *2 (citing Myrick v. Wellpoint, Inc., 764 F.3d 662, 664 (7</w:t>
      </w:r>
      <w:r>
        <w:rPr>
          <w:b w:val="false"/>
          <w:bCs w:val="false"/>
          <w:i w:val="false"/>
          <w:iCs w:val="false"/>
          <w:vertAlign w:val="superscript"/>
        </w:rPr>
        <w:t>th</w:t>
      </w:r>
      <w:r>
        <w:rPr>
          <w:b w:val="false"/>
          <w:bCs w:val="false"/>
          <w:i w:val="false"/>
          <w:iCs w:val="false"/>
        </w:rPr>
        <w:t xml:space="preserve"> Cir. 2014)). The defendant will argue that this is evidence that Fox intends for his long term residence to be Kentucky. </w:t>
      </w:r>
    </w:p>
    <w:p>
      <w:pPr>
        <w:pStyle w:val="Normal"/>
        <w:bidi w:val="0"/>
        <w:jc w:val="left"/>
        <w:rPr>
          <w:b w:val="false"/>
          <w:b w:val="false"/>
          <w:bCs w:val="false"/>
        </w:rPr>
      </w:pPr>
      <w:r>
        <w:rPr>
          <w:b w:val="false"/>
          <w:bCs w:val="false"/>
          <w:i w:val="false"/>
          <w:iCs w:val="false"/>
        </w:rPr>
        <w:tab/>
        <w:t>This argument fails because domicile is fixed by the facts as they existed when the suit was initiated. Pitt Excavating, 603 F. Appx 396 (citing Dunbar, 426 F.2d 174, 177 (6</w:t>
      </w:r>
      <w:r>
        <w:rPr>
          <w:b w:val="false"/>
          <w:bCs w:val="false"/>
          <w:i w:val="false"/>
          <w:iCs w:val="false"/>
          <w:vertAlign w:val="superscript"/>
        </w:rPr>
        <w:t>th</w:t>
      </w:r>
      <w:r>
        <w:rPr>
          <w:b w:val="false"/>
          <w:bCs w:val="false"/>
          <w:i w:val="false"/>
          <w:iCs w:val="false"/>
        </w:rPr>
        <w:t xml:space="preserve"> Cir. 1970)). As of July 2026, Fox had not proposed, was not engaged, and was not married. An intention to relocate to another state at an unspecified time in the future is not an intention to establish domicile nor does it indicate the absence of an intention to make a home elsewhere. </w:t>
      </w:r>
    </w:p>
    <w:p>
      <w:pPr>
        <w:pStyle w:val="Normal"/>
        <w:bidi w:val="0"/>
        <w:jc w:val="left"/>
        <w:rPr>
          <w:b w:val="false"/>
          <w:b w:val="false"/>
          <w:bCs w:val="false"/>
        </w:rPr>
      </w:pPr>
      <w:r>
        <w:rPr>
          <w:b w:val="false"/>
          <w:bCs w:val="false"/>
          <w:i w:val="false"/>
          <w:iCs w:val="false"/>
        </w:rPr>
        <w:tab/>
        <w:t xml:space="preserve">Fox did not indicate that he intended to abandon Tennessee citizenship because he said he plans to live in Nashville for at least the next few years because Nashville is where his regular gigs are played and where his income comes from. He added that even after any potential move to Kentucky, he would still commute to Nashville for work. Because Fox expects to continue earning income in Tennessee indefinitely and states that he will continue living there for the coming years, he has not formed a present intention to make Kentucky his home indefinitely. </w:t>
      </w:r>
    </w:p>
    <w:p>
      <w:pPr>
        <w:pStyle w:val="Normal"/>
        <w:bidi w:val="0"/>
        <w:jc w:val="left"/>
        <w:rPr>
          <w:b w:val="false"/>
          <w:b w:val="false"/>
          <w:bCs w:val="false"/>
        </w:rPr>
      </w:pPr>
      <w:r>
        <w:rPr>
          <w:b w:val="false"/>
          <w:bCs w:val="false"/>
          <w:i w:val="false"/>
          <w:iCs w:val="false"/>
        </w:rPr>
        <w:tab/>
      </w:r>
    </w:p>
    <w:p>
      <w:pPr>
        <w:pStyle w:val="Normal"/>
        <w:bidi w:val="0"/>
        <w:jc w:val="left"/>
        <w:rPr>
          <w:b w:val="false"/>
          <w:b w:val="false"/>
          <w:bCs w:val="false"/>
        </w:rPr>
      </w:pPr>
      <w:r>
        <w:rPr>
          <w:b w:val="false"/>
          <w:bCs w:val="false"/>
          <w:i w:val="false"/>
          <w:iCs w:val="false"/>
        </w:rPr>
        <w:tab/>
      </w:r>
      <w:r>
        <w:rPr>
          <w:b/>
          <w:bCs/>
          <w:i w:val="false"/>
          <w:iCs w:val="false"/>
        </w:rPr>
        <w:t>E. Conclusion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i w:val="false"/>
          <w:iCs w:val="false"/>
        </w:rPr>
        <w:tab/>
        <w:t xml:space="preserve">The defendant cannot carry the burden of proving that Fox is a Kentucky citizen. Fox’s physical presence is predominately in Tennessee and exceeds the presence that Pitt had at his original domicile in Kentucky in </w:t>
      </w:r>
      <w:r>
        <w:rPr>
          <w:b w:val="false"/>
          <w:bCs w:val="false"/>
          <w:i/>
          <w:iCs/>
        </w:rPr>
        <w:t>Pitt Excavating</w:t>
      </w:r>
      <w:r>
        <w:rPr>
          <w:b w:val="false"/>
          <w:bCs w:val="false"/>
          <w:i w:val="false"/>
          <w:iCs w:val="false"/>
        </w:rPr>
        <w:t xml:space="preserve">. The objective signs of intent that the Sixth Circuit relied on in </w:t>
      </w:r>
      <w:r>
        <w:rPr>
          <w:b w:val="false"/>
          <w:bCs w:val="false"/>
          <w:i/>
          <w:iCs/>
        </w:rPr>
        <w:t>Deasy</w:t>
      </w:r>
      <w:r>
        <w:rPr>
          <w:b w:val="false"/>
          <w:bCs w:val="false"/>
          <w:i w:val="false"/>
          <w:iCs w:val="false"/>
        </w:rPr>
        <w:t xml:space="preserve"> and </w:t>
      </w:r>
      <w:r>
        <w:rPr>
          <w:b w:val="false"/>
          <w:bCs w:val="false"/>
          <w:i/>
          <w:iCs/>
        </w:rPr>
        <w:t>Pitt Excavating</w:t>
      </w:r>
      <w:r>
        <w:rPr>
          <w:b w:val="false"/>
          <w:bCs w:val="false"/>
          <w:i w:val="false"/>
          <w:iCs w:val="false"/>
        </w:rPr>
        <w:t xml:space="preserve"> point to Tennessee in Fox’s case. </w:t>
      </w:r>
      <w:r>
        <w:rPr>
          <w:b w:val="false"/>
          <w:bCs w:val="false"/>
          <w:i/>
          <w:iCs/>
        </w:rPr>
        <w:t>Deasy</w:t>
      </w:r>
      <w:r>
        <w:rPr>
          <w:b w:val="false"/>
          <w:bCs w:val="false"/>
          <w:i w:val="false"/>
          <w:iCs w:val="false"/>
        </w:rPr>
        <w:t xml:space="preserve"> found insufficient evidence inconsistent with a Kentucky domicile. 47 F. Appx 728. Fox presents stronger evidence indicating evidence against a Kentucky domicile he has a Nashville lease, an active Tennessee voter registration, a Tennessee license, a Tennessee vehicle registration, and a music career based in Nashville. The defendant’s case for Fox being a Kentucky citizen rests upon his recently finished Bowling Green house, his social media profile, and a promoter’s flyer advertising his show. A court will likely find that Fox remains a citizen of Tennessee when the suit was initiated and that complete diversity is absent.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150</TotalTime>
  <Application>LibreOffice/7.3.7.2$Linux_X86_64 LibreOffice_project/30$Build-2</Application>
  <AppVersion>15.0000</AppVersion>
  <Pages>8</Pages>
  <Words>3338</Words>
  <Characters>16800</Characters>
  <CharactersWithSpaces>19948</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2026-09-06T18:18:21Z</dcterms:created>
  <dc:creator/>
  <dc:description/>
  <dc:language>en-US</dc:language>
  <cp:lastModifiedBy/>
  <dcterms:modified xsi:type="dcterms:W3CDTF">2026-09-14T23:46:18Z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