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b/>
          <w:b/>
          <w:sz w:val="24"/>
          <w:szCs w:val="24"/>
          <w:u w:val="single"/>
        </w:rPr>
      </w:pPr>
      <w:r>
        <w:rPr>
          <w:rFonts w:ascii="Times New Roman" w:hAnsi="Times New Roman"/>
          <w:b/>
          <w:sz w:val="24"/>
          <w:szCs w:val="24"/>
        </w:rPr>
        <w:tab/>
        <w:tab/>
        <w:tab/>
      </w:r>
      <w:r>
        <w:rPr>
          <w:rFonts w:ascii="Times New Roman" w:hAnsi="Times New Roman"/>
          <w:b/>
          <w:sz w:val="24"/>
          <w:szCs w:val="24"/>
          <w:u w:val="single"/>
        </w:rPr>
        <w:t>Research Report for Open Memo Assignment</w:t>
      </w:r>
    </w:p>
    <w:p>
      <w:pPr>
        <w:pStyle w:val="ListParagraph"/>
        <w:numPr>
          <w:ilvl w:val="0"/>
          <w:numId w:val="1"/>
        </w:numPr>
        <w:rPr>
          <w:rFonts w:ascii="Times New Roman" w:hAnsi="Times New Roman"/>
          <w:b/>
          <w:b/>
          <w:sz w:val="24"/>
          <w:szCs w:val="24"/>
        </w:rPr>
      </w:pPr>
      <w:r>
        <w:rPr>
          <w:rFonts w:ascii="Times New Roman" w:hAnsi="Times New Roman"/>
          <w:b/>
          <w:sz w:val="24"/>
          <w:szCs w:val="24"/>
        </w:rPr>
        <w:t>What law governs here, and what type of cases are binding?</w:t>
      </w:r>
    </w:p>
    <w:p>
      <w:pPr>
        <w:pStyle w:val="ListParagraph"/>
        <w:numPr>
          <w:ilvl w:val="0"/>
          <w:numId w:val="0"/>
        </w:numPr>
        <w:ind w:left="720" w:hanging="0"/>
        <w:rPr>
          <w:b w:val="false"/>
          <w:b w:val="false"/>
          <w:bCs w:val="false"/>
        </w:rPr>
      </w:pPr>
      <w:r>
        <w:rPr>
          <w:rFonts w:ascii="Times New Roman" w:hAnsi="Times New Roman"/>
          <w:b w:val="false"/>
          <w:bCs w:val="false"/>
          <w:sz w:val="24"/>
          <w:szCs w:val="24"/>
        </w:rPr>
        <w:t>Tennessee common law governs. The case is in federal court on diversity jurisdiction, so the court applies Tennessee law because diversity jurisdiction places the case into federal court, it does not require federal law to be applied. Tennessee Supreme Court decisions are binding. Tennessee Court of Appeals opinions are controlling authority. Federal decisions and other state's cases are persuasive only</w:t>
      </w:r>
    </w:p>
    <w:p>
      <w:pPr>
        <w:pStyle w:val="ListParagraph"/>
        <w:numPr>
          <w:ilvl w:val="0"/>
          <w:numId w:val="1"/>
        </w:numPr>
        <w:rPr>
          <w:rFonts w:ascii="Times New Roman" w:hAnsi="Times New Roman"/>
          <w:b/>
          <w:b/>
          <w:sz w:val="24"/>
          <w:szCs w:val="24"/>
        </w:rPr>
      </w:pPr>
      <w:r>
        <w:rPr>
          <w:rFonts w:ascii="Times New Roman" w:hAnsi="Times New Roman"/>
          <w:b/>
          <w:sz w:val="24"/>
          <w:szCs w:val="24"/>
        </w:rPr>
        <w:t xml:space="preserve">What is a good authority you’ve found for your highest-level governing rule/legal principle? Give a full, proper Bluebook Cite. </w:t>
      </w:r>
    </w:p>
    <w:p>
      <w:pPr>
        <w:pStyle w:val="ListParagraph"/>
        <w:numPr>
          <w:ilvl w:val="0"/>
          <w:numId w:val="0"/>
        </w:numPr>
        <w:ind w:left="720" w:hanging="0"/>
        <w:rPr>
          <w:rFonts w:ascii="Times New Roman" w:hAnsi="Times New Roman"/>
          <w:b/>
          <w:b/>
          <w:sz w:val="24"/>
          <w:szCs w:val="24"/>
        </w:rPr>
      </w:pPr>
      <w:r>
        <w:rPr>
          <w:rFonts w:ascii="Times New Roman" w:hAnsi="Times New Roman"/>
          <w:b w:val="false"/>
          <w:bCs w:val="false"/>
          <w:sz w:val="24"/>
          <w:szCs w:val="24"/>
        </w:rPr>
        <w:t xml:space="preserve">Roberts v. Fed. Express Corp., 842 S.W.2d 246, 247-48 (Tenn. 1992): In this case, FedEx had a long time employee arrested for theft after he set off a security scanner while carrying items from damaged packages. It shows the binding list of elements </w:t>
      </w:r>
      <w:r>
        <w:rPr>
          <w:rFonts w:ascii="Times New Roman" w:hAnsi="Times New Roman"/>
          <w:b w:val="false"/>
          <w:bCs w:val="false"/>
          <w:sz w:val="24"/>
          <w:szCs w:val="24"/>
        </w:rPr>
        <w:t>(1) a prior suit or judicial proceeding was instituted without probable cause, (2) defendant brought such prior action with malice, and (3) the prior action was finally terminated in plaintiff’s favor</w:t>
      </w:r>
      <w:r>
        <w:rPr>
          <w:rFonts w:ascii="Times New Roman" w:hAnsi="Times New Roman"/>
          <w:b w:val="false"/>
          <w:bCs w:val="false"/>
          <w:sz w:val="24"/>
          <w:szCs w:val="24"/>
        </w:rPr>
        <w:t>. Probable cause is judged by what a reasonable person would have believed. Malice is about the defendant's actual motive. Both are usually for a jury to decide</w:t>
      </w:r>
    </w:p>
    <w:p>
      <w:pPr>
        <w:pStyle w:val="ListParagraph"/>
        <w:numPr>
          <w:ilvl w:val="0"/>
          <w:numId w:val="1"/>
        </w:numPr>
        <w:rPr>
          <w:rFonts w:ascii="Times New Roman" w:hAnsi="Times New Roman"/>
          <w:b/>
          <w:b/>
          <w:sz w:val="24"/>
          <w:szCs w:val="24"/>
        </w:rPr>
      </w:pPr>
      <w:r>
        <w:rPr>
          <w:rFonts w:ascii="Times New Roman" w:hAnsi="Times New Roman"/>
          <w:b/>
          <w:sz w:val="24"/>
          <w:szCs w:val="24"/>
        </w:rPr>
        <w:t>For Element 1, give at least 3 cases and what facts from them line up with your facts. Is this a case you are considering using as a full illustration, short illustration or parenthetical?</w:t>
      </w:r>
    </w:p>
    <w:tbl>
      <w:tblPr>
        <w:tblStyle w:val="TableGrid"/>
        <w:tblW w:w="863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2885"/>
        <w:gridCol w:w="2904"/>
        <w:gridCol w:w="2841"/>
      </w:tblGrid>
      <w:tr>
        <w:trPr/>
        <w:tc>
          <w:tcPr>
            <w:tcW w:w="2885" w:type="dxa"/>
            <w:tcBorders/>
          </w:tcPr>
          <w:p>
            <w:pPr>
              <w:pStyle w:val="ListParagraph"/>
              <w:widowControl w:val="false"/>
              <w:suppressAutoHyphens w:val="true"/>
              <w:spacing w:before="0" w:after="200"/>
              <w:ind w:left="0" w:hanging="0"/>
              <w:jc w:val="left"/>
              <w:rPr>
                <w:rFonts w:ascii="Times New Roman" w:hAnsi="Times New Roman"/>
                <w:b/>
                <w:b/>
                <w:sz w:val="24"/>
                <w:szCs w:val="24"/>
              </w:rPr>
            </w:pPr>
            <w:r>
              <w:rPr>
                <w:rFonts w:eastAsia="Calibri" w:cs="Times New Roman" w:ascii="Times New Roman" w:hAnsi="Times New Roman"/>
                <w:b/>
                <w:kern w:val="0"/>
                <w:sz w:val="24"/>
                <w:szCs w:val="24"/>
                <w:lang w:val="en-US" w:eastAsia="en-US" w:bidi="ar-SA"/>
              </w:rPr>
              <w:t>CASE CITATION</w:t>
            </w:r>
          </w:p>
        </w:tc>
        <w:tc>
          <w:tcPr>
            <w:tcW w:w="2904" w:type="dxa"/>
            <w:tcBorders/>
          </w:tcPr>
          <w:p>
            <w:pPr>
              <w:pStyle w:val="ListParagraph"/>
              <w:widowControl w:val="false"/>
              <w:suppressAutoHyphens w:val="true"/>
              <w:spacing w:before="0" w:after="200"/>
              <w:ind w:left="0" w:hanging="0"/>
              <w:jc w:val="left"/>
              <w:rPr>
                <w:rFonts w:ascii="Times New Roman" w:hAnsi="Times New Roman"/>
                <w:b/>
                <w:b/>
                <w:sz w:val="24"/>
                <w:szCs w:val="24"/>
              </w:rPr>
            </w:pPr>
            <w:r>
              <w:rPr>
                <w:rFonts w:eastAsia="Calibri" w:cs="Times New Roman" w:ascii="Times New Roman" w:hAnsi="Times New Roman"/>
                <w:b/>
                <w:kern w:val="0"/>
                <w:sz w:val="24"/>
                <w:szCs w:val="24"/>
                <w:lang w:val="en-US" w:eastAsia="en-US" w:bidi="ar-SA"/>
              </w:rPr>
              <w:t xml:space="preserve">RELEVANT FACTS </w:t>
            </w:r>
          </w:p>
        </w:tc>
        <w:tc>
          <w:tcPr>
            <w:tcW w:w="2841" w:type="dxa"/>
            <w:tcBorders/>
          </w:tcPr>
          <w:p>
            <w:pPr>
              <w:pStyle w:val="ListParagraph"/>
              <w:widowControl w:val="false"/>
              <w:suppressAutoHyphens w:val="true"/>
              <w:spacing w:before="0" w:after="200"/>
              <w:ind w:left="0" w:hanging="0"/>
              <w:jc w:val="left"/>
              <w:rPr>
                <w:rFonts w:ascii="Times New Roman" w:hAnsi="Times New Roman"/>
                <w:b/>
                <w:b/>
                <w:sz w:val="24"/>
                <w:szCs w:val="24"/>
              </w:rPr>
            </w:pPr>
            <w:r>
              <w:rPr>
                <w:rFonts w:eastAsia="Calibri" w:cs="Times New Roman" w:ascii="Times New Roman" w:hAnsi="Times New Roman"/>
                <w:b/>
                <w:kern w:val="0"/>
                <w:sz w:val="24"/>
                <w:szCs w:val="24"/>
                <w:lang w:val="en-US" w:eastAsia="en-US" w:bidi="ar-SA"/>
              </w:rPr>
              <w:t>HOW MIGHT YOU USE IT?</w:t>
            </w:r>
          </w:p>
        </w:tc>
      </w:tr>
      <w:tr>
        <w:trPr/>
        <w:tc>
          <w:tcPr>
            <w:tcW w:w="2885" w:type="dxa"/>
            <w:tcBorders/>
          </w:tcPr>
          <w:p>
            <w:pPr>
              <w:pStyle w:val="TextBody"/>
              <w:widowControl w:val="false"/>
              <w:suppressAutoHyphens w:val="true"/>
              <w:spacing w:before="0" w:after="200"/>
              <w:ind w:left="0" w:hanging="0"/>
              <w:jc w:val="left"/>
              <w:rPr>
                <w:rFonts w:ascii="Times New Roman" w:hAnsi="Times New Roman" w:eastAsia="Calibri" w:cs="Times New Roman"/>
                <w:b/>
                <w:b/>
                <w:kern w:val="0"/>
                <w:sz w:val="24"/>
                <w:szCs w:val="24"/>
                <w:lang w:val="en-US" w:eastAsia="en-US" w:bidi="ar-SA"/>
              </w:rPr>
            </w:pPr>
            <w:r>
              <w:rPr>
                <w:rStyle w:val="Emphasis"/>
                <w:rFonts w:eastAsia="Calibri" w:cs="Times New Roman" w:ascii="Times New Roman" w:hAnsi="Times New Roman"/>
                <w:b w:val="false"/>
                <w:bCs w:val="false"/>
                <w:kern w:val="0"/>
                <w:sz w:val="24"/>
                <w:szCs w:val="24"/>
                <w:lang w:val="en-US" w:eastAsia="en-US" w:bidi="ar-SA"/>
              </w:rPr>
              <w:t>Swindle v. Krystal Co.</w:t>
            </w:r>
            <w:r>
              <w:rPr>
                <w:rFonts w:eastAsia="Calibri" w:cs="Times New Roman" w:ascii="Times New Roman" w:hAnsi="Times New Roman"/>
                <w:b w:val="false"/>
                <w:bCs w:val="false"/>
                <w:kern w:val="0"/>
                <w:sz w:val="24"/>
                <w:szCs w:val="24"/>
                <w:lang w:val="en-US" w:eastAsia="en-US" w:bidi="ar-SA"/>
              </w:rPr>
              <w:t>, No. 02A01-9406-CV-00136, 1995 WL 262419, at *3 (Tenn. Ct. App. May 8, 1995).</w:t>
            </w:r>
          </w:p>
        </w:tc>
        <w:tc>
          <w:tcPr>
            <w:tcW w:w="2904" w:type="dxa"/>
            <w:tcBorders/>
          </w:tcPr>
          <w:p>
            <w:pPr>
              <w:pStyle w:val="ListParagraph"/>
              <w:widowControl w:val="false"/>
              <w:numPr>
                <w:ilvl w:val="0"/>
                <w:numId w:val="0"/>
              </w:numPr>
              <w:suppressAutoHyphens w:val="true"/>
              <w:spacing w:before="0" w:after="200"/>
              <w:ind w:hanging="0"/>
              <w:jc w:val="left"/>
              <w:rPr>
                <w:rFonts w:ascii="Times New Roman" w:hAnsi="Times New Roman"/>
                <w:b/>
                <w:b/>
                <w:sz w:val="24"/>
                <w:szCs w:val="24"/>
              </w:rPr>
            </w:pPr>
            <w:r>
              <w:rPr>
                <w:rFonts w:eastAsia="Calibri" w:cs="Times New Roman" w:ascii="Times New Roman" w:hAnsi="Times New Roman"/>
                <w:b w:val="false"/>
                <w:i w:val="false"/>
                <w:kern w:val="0"/>
                <w:sz w:val="22"/>
                <w:szCs w:val="24"/>
                <w:lang w:val="en-US" w:eastAsia="en-US" w:bidi="ar-SA"/>
              </w:rPr>
              <w:t>A Krystal fast food restaurant had an employee arrested for taking money from a drop box based on a single coworker's account. “the coworker, Richardson, ‘stated that when he returned from the stockroom at around 6:30 am., he saw Swindle take money out of the drive thru drop box and put it in his pocket.’” The employee had an innocent reason to be near the drop box (emptying the garbage can), had no key, and denied stealing money from the box. The court of appeals reversed summary judgment granted by the trial court for Krystal Company because evidence showed a reasonable investigation would have revealed exculpatory facts.</w:t>
            </w:r>
          </w:p>
        </w:tc>
        <w:tc>
          <w:tcPr>
            <w:tcW w:w="2841" w:type="dxa"/>
            <w:tcBorders/>
          </w:tcPr>
          <w:p>
            <w:pPr>
              <w:pStyle w:val="ListParagraph"/>
              <w:widowControl w:val="false"/>
              <w:suppressAutoHyphens w:val="true"/>
              <w:spacing w:before="0" w:after="200"/>
              <w:ind w:left="0" w:hanging="0"/>
              <w:jc w:val="left"/>
              <w:rPr>
                <w:rFonts w:ascii="Times New Roman" w:hAnsi="Times New Roman"/>
                <w:b w:val="false"/>
                <w:b w:val="false"/>
                <w:bCs w:val="false"/>
                <w:sz w:val="24"/>
                <w:szCs w:val="24"/>
              </w:rPr>
            </w:pPr>
            <w:r>
              <w:rPr>
                <w:rFonts w:ascii="Times New Roman" w:hAnsi="Times New Roman"/>
                <w:b w:val="false"/>
                <w:bCs w:val="false"/>
                <w:sz w:val="24"/>
                <w:szCs w:val="24"/>
              </w:rPr>
              <w:t>Comparable case</w:t>
            </w:r>
          </w:p>
        </w:tc>
      </w:tr>
      <w:tr>
        <w:trPr/>
        <w:tc>
          <w:tcPr>
            <w:tcW w:w="2885" w:type="dxa"/>
            <w:tcBorders/>
          </w:tcPr>
          <w:p>
            <w:pPr>
              <w:pStyle w:val="TextBody"/>
              <w:widowControl w:val="false"/>
              <w:suppressAutoHyphens w:val="true"/>
              <w:spacing w:before="0" w:after="200"/>
              <w:ind w:left="0" w:hanging="0"/>
              <w:jc w:val="left"/>
              <w:rPr>
                <w:rFonts w:ascii="Times New Roman" w:hAnsi="Times New Roman" w:eastAsia="Calibri" w:cs="Times New Roman"/>
                <w:b/>
                <w:b/>
                <w:kern w:val="0"/>
                <w:sz w:val="24"/>
                <w:szCs w:val="24"/>
                <w:lang w:val="en-US" w:eastAsia="en-US" w:bidi="ar-SA"/>
              </w:rPr>
            </w:pPr>
            <w:r>
              <w:rPr>
                <w:rStyle w:val="Emphasis"/>
                <w:rFonts w:eastAsia="Calibri" w:cs="Times New Roman" w:ascii="Times New Roman" w:hAnsi="Times New Roman"/>
                <w:b w:val="false"/>
                <w:bCs w:val="false"/>
                <w:kern w:val="0"/>
                <w:sz w:val="24"/>
                <w:szCs w:val="24"/>
                <w:lang w:val="en-US" w:eastAsia="en-US" w:bidi="ar-SA"/>
              </w:rPr>
              <w:t>Roberts v. Fed. Express Corp.</w:t>
            </w:r>
            <w:r>
              <w:rPr>
                <w:rFonts w:eastAsia="Calibri" w:cs="Times New Roman" w:ascii="Times New Roman" w:hAnsi="Times New Roman"/>
                <w:b w:val="false"/>
                <w:bCs w:val="false"/>
                <w:kern w:val="0"/>
                <w:sz w:val="24"/>
                <w:szCs w:val="24"/>
                <w:lang w:val="en-US" w:eastAsia="en-US" w:bidi="ar-SA"/>
              </w:rPr>
              <w:t>, 842 S.W.2d 246, 248 (Tenn. 1992).</w:t>
            </w:r>
          </w:p>
        </w:tc>
        <w:tc>
          <w:tcPr>
            <w:tcW w:w="2904" w:type="dxa"/>
            <w:tcBorders/>
          </w:tcPr>
          <w:p>
            <w:pPr>
              <w:pStyle w:val="ListParagraph"/>
              <w:widowControl w:val="false"/>
              <w:suppressAutoHyphens w:val="true"/>
              <w:spacing w:before="0" w:after="200"/>
              <w:ind w:left="0" w:hanging="0"/>
              <w:jc w:val="left"/>
              <w:rPr>
                <w:rFonts w:ascii="anthropic-sans;system-ui;Segoe UI;Roboto;Helvetica;Arial;PingFang SC;PingFang TC;Hiragino Sans;Apple SD Gothic Neo;Kohinoor Devanagari;Kohinoor Bangla;Kohinoor Telugu;Tamil Sangam MN;Kohinoor Gujarati;Malayalam Sangam MN;Nirmala UI;Noto Sans Devanagari UI;Noto Sans Devanagari;Noto Sans Bengali UI;Noto Sans Bengali;Noto Sans Telugu UI;Noto Sans Telugu;Noto Sans Tamil UI;Noto Sans Tamil;Noto Sans Gujarati UI;Noto Sans Gujarati;Noto Sans Kannada UI;Noto Sans Kannada;Noto Sans Malayalam UI;Noto Sans Malayalam;Thonburi;Leelawadee UI;Noto Sans Thai UI;Noto Sans Thai;Kefa;Ebrima;Noto Sans Ethiopic;Abyssinica SIL;sans-serif;ui-sans-serif;system-ui;apple-system;Segoe UI;Roboto;PingFang SC;PingFang TC;Hiragino Sans;Apple SD Gothic Neo;sans-serif" w:hAnsi="anthropic-sans;system-ui;Segoe UI;Roboto;Helvetica;Arial;PingFang SC;PingFang TC;Hiragino Sans;Apple SD Gothic Neo;Kohinoor Devanagari;Kohinoor Bangla;Kohinoor Telugu;Tamil Sangam MN;Kohinoor Gujarati;Malayalam Sangam MN;Nirmala UI;Noto Sans Devanagari UI;Noto Sans Devanagari;Noto Sans Bengali UI;Noto Sans Bengali;Noto Sans Telugu UI;Noto Sans Telugu;Noto Sans Tamil UI;Noto Sans Tamil;Noto Sans Gujarati UI;Noto Sans Gujarati;Noto Sans Kannada UI;Noto Sans Kannada;Noto Sans Malayalam UI;Noto Sans Malayalam;Thonburi;Leelawadee UI;Noto Sans Thai UI;Noto Sans Thai;Kefa;Ebrima;Noto Sans Ethiopic;Abyssinica SIL;sans-serif;ui-sans-serif;system-ui;apple-system;Segoe UI;Roboto;PingFang SC;PingFang TC;Hiragino Sans;Apple SD Gothic Neo;sans-serif"/>
                <w:b w:val="false"/>
                <w:i w:val="false"/>
                <w:caps w:val="false"/>
                <w:smallCaps w:val="false"/>
                <w:spacing w:val="0"/>
                <w:sz w:val="22"/>
                <w:szCs w:val="22"/>
              </w:rPr>
            </w:pPr>
            <w:r>
              <w:rPr>
                <w:rFonts w:eastAsia="Calibri" w:cs="Times New Roman" w:ascii="Times New Roman" w:hAnsi="Times New Roman"/>
                <w:b w:val="false"/>
                <w:i w:val="false"/>
                <w:caps w:val="false"/>
                <w:smallCaps w:val="false"/>
                <w:spacing w:val="0"/>
                <w:kern w:val="0"/>
                <w:sz w:val="22"/>
                <w:szCs w:val="22"/>
                <w:lang w:val="en-US" w:eastAsia="en-US" w:bidi="ar-SA"/>
              </w:rPr>
              <w:t xml:space="preserve">FedEx had a long-time employee arrested for larceny after he set off a </w:t>
            </w:r>
            <w:r>
              <w:rPr>
                <w:rFonts w:eastAsia="Calibri" w:cs="Times New Roman" w:ascii="Times New Roman" w:hAnsi="Times New Roman"/>
                <w:b w:val="false"/>
                <w:i w:val="false"/>
                <w:caps w:val="false"/>
                <w:smallCaps w:val="false"/>
                <w:spacing w:val="0"/>
                <w:kern w:val="0"/>
                <w:sz w:val="22"/>
                <w:szCs w:val="22"/>
                <w:lang w:val="en-US" w:eastAsia="en-US" w:bidi="ar-SA"/>
              </w:rPr>
              <w:t>screening device while</w:t>
            </w:r>
            <w:r>
              <w:rPr>
                <w:rFonts w:eastAsia="Calibri" w:cs="Times New Roman" w:ascii="Times New Roman" w:hAnsi="Times New Roman"/>
                <w:b w:val="false"/>
                <w:i w:val="false"/>
                <w:caps w:val="false"/>
                <w:smallCaps w:val="false"/>
                <w:spacing w:val="0"/>
                <w:kern w:val="0"/>
                <w:sz w:val="22"/>
                <w:szCs w:val="22"/>
                <w:lang w:val="en-US" w:eastAsia="en-US" w:bidi="ar-SA"/>
              </w:rPr>
              <w:t xml:space="preserve"> carrying items from damaged packages </w:t>
            </w:r>
            <w:r>
              <w:rPr>
                <w:rFonts w:eastAsia="Calibri" w:cs="Times New Roman" w:ascii="Times New Roman" w:hAnsi="Times New Roman"/>
                <w:b w:val="false"/>
                <w:i w:val="false"/>
                <w:caps w:val="false"/>
                <w:smallCaps w:val="false"/>
                <w:spacing w:val="0"/>
                <w:kern w:val="0"/>
                <w:sz w:val="22"/>
                <w:szCs w:val="22"/>
                <w:lang w:val="en-US" w:eastAsia="en-US" w:bidi="ar-SA"/>
              </w:rPr>
              <w:t>that he forgot he put in his jacket</w:t>
            </w:r>
            <w:r>
              <w:rPr>
                <w:rFonts w:eastAsia="Calibri" w:cs="Times New Roman" w:ascii="Times New Roman" w:hAnsi="Times New Roman"/>
                <w:b w:val="false"/>
                <w:i w:val="false"/>
                <w:caps w:val="false"/>
                <w:smallCaps w:val="false"/>
                <w:spacing w:val="0"/>
                <w:kern w:val="0"/>
                <w:sz w:val="22"/>
                <w:szCs w:val="22"/>
                <w:lang w:val="en-US" w:eastAsia="en-US" w:bidi="ar-SA"/>
              </w:rPr>
              <w:t xml:space="preserve">. He said he routinely </w:t>
            </w:r>
            <w:r>
              <w:rPr>
                <w:rFonts w:eastAsia="Calibri" w:cs="Times New Roman" w:ascii="Times New Roman" w:hAnsi="Times New Roman"/>
                <w:b w:val="false"/>
                <w:i w:val="false"/>
                <w:caps w:val="false"/>
                <w:smallCaps w:val="false"/>
                <w:spacing w:val="0"/>
                <w:kern w:val="0"/>
                <w:sz w:val="22"/>
                <w:szCs w:val="22"/>
                <w:lang w:val="en-US" w:eastAsia="en-US" w:bidi="ar-SA"/>
              </w:rPr>
              <w:t>picked up and turned in items that fell out of packages although not always on the same day</w:t>
            </w:r>
            <w:r>
              <w:rPr>
                <w:rFonts w:eastAsia="Calibri" w:cs="Times New Roman" w:ascii="Times New Roman" w:hAnsi="Times New Roman"/>
                <w:b w:val="false"/>
                <w:i w:val="false"/>
                <w:caps w:val="false"/>
                <w:smallCaps w:val="false"/>
                <w:spacing w:val="0"/>
                <w:kern w:val="0"/>
                <w:sz w:val="22"/>
                <w:szCs w:val="22"/>
                <w:lang w:val="en-US" w:eastAsia="en-US" w:bidi="ar-SA"/>
              </w:rPr>
              <w:t>. The Supreme Court held probable cause is judged objectively, is a jury question, and the jury decides what a reasonable investigation would have revealed.</w:t>
            </w:r>
          </w:p>
        </w:tc>
        <w:tc>
          <w:tcPr>
            <w:tcW w:w="2841" w:type="dxa"/>
            <w:tcBorders/>
          </w:tcPr>
          <w:p>
            <w:pPr>
              <w:pStyle w:val="ListParagraph"/>
              <w:widowControl w:val="false"/>
              <w:suppressAutoHyphens w:val="true"/>
              <w:spacing w:before="0" w:after="200"/>
              <w:ind w:left="0" w:hanging="0"/>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Used in Rule statement </w:t>
            </w:r>
          </w:p>
        </w:tc>
      </w:tr>
      <w:tr>
        <w:trPr/>
        <w:tc>
          <w:tcPr>
            <w:tcW w:w="2885" w:type="dxa"/>
            <w:tcBorders/>
          </w:tcPr>
          <w:p>
            <w:pPr>
              <w:pStyle w:val="TextBody"/>
              <w:widowControl w:val="false"/>
              <w:suppressAutoHyphens w:val="true"/>
              <w:spacing w:before="0" w:after="200"/>
              <w:ind w:left="0" w:hanging="0"/>
              <w:jc w:val="left"/>
              <w:rPr>
                <w:rFonts w:ascii="Times New Roman" w:hAnsi="Times New Roman" w:eastAsia="Calibri" w:cs="Times New Roman"/>
                <w:kern w:val="0"/>
                <w:sz w:val="24"/>
                <w:szCs w:val="24"/>
                <w:lang w:val="en-US" w:eastAsia="en-US" w:bidi="ar-SA"/>
              </w:rPr>
            </w:pPr>
            <w:r>
              <w:rPr>
                <w:rFonts w:eastAsia="Calibri" w:cs="Times New Roman" w:ascii="Times New Roman" w:hAnsi="Times New Roman"/>
                <w:b w:val="false"/>
                <w:bCs w:val="false"/>
                <w:i/>
                <w:kern w:val="0"/>
                <w:sz w:val="24"/>
                <w:szCs w:val="24"/>
                <w:lang w:val="en-US" w:eastAsia="en-US" w:bidi="ar-SA"/>
              </w:rPr>
              <w:t>Howell v. United Rentals (N. Am.), Inc.</w:t>
            </w:r>
            <w:r>
              <w:rPr>
                <w:rFonts w:eastAsia="Calibri" w:cs="Times New Roman" w:ascii="Times New Roman" w:hAnsi="Times New Roman"/>
                <w:b w:val="false"/>
                <w:bCs w:val="false"/>
                <w:i w:val="false"/>
                <w:kern w:val="0"/>
                <w:sz w:val="24"/>
                <w:szCs w:val="24"/>
                <w:lang w:val="en-US" w:eastAsia="en-US" w:bidi="ar-SA"/>
              </w:rPr>
              <w:t>, No. E2023-00170-COA-R3-CV, 2023 WL 5811139, at *5 (Tenn. Ct. App. Sept. 7, 2023).</w:t>
            </w:r>
          </w:p>
        </w:tc>
        <w:tc>
          <w:tcPr>
            <w:tcW w:w="2904" w:type="dxa"/>
            <w:tcBorders/>
          </w:tcPr>
          <w:p>
            <w:pPr>
              <w:pStyle w:val="ListParagraph"/>
              <w:widowControl w:val="false"/>
              <w:suppressAutoHyphens w:val="true"/>
              <w:spacing w:before="0" w:after="200"/>
              <w:ind w:left="0" w:hanging="0"/>
              <w:jc w:val="left"/>
              <w:rPr>
                <w:sz w:val="22"/>
                <w:szCs w:val="22"/>
              </w:rPr>
            </w:pPr>
            <w:r>
              <w:rPr>
                <w:rFonts w:eastAsia="Calibri" w:cs="Times New Roman" w:ascii="Times New Roman" w:hAnsi="Times New Roman"/>
                <w:b w:val="false"/>
                <w:bCs w:val="false"/>
                <w:i w:val="false"/>
                <w:kern w:val="0"/>
                <w:sz w:val="22"/>
                <w:szCs w:val="22"/>
                <w:lang w:val="en-US" w:eastAsia="en-US" w:bidi="ar-SA"/>
              </w:rPr>
              <w:t xml:space="preserve">A rental-store manager reported a customer to police for theft after he stopped paying on a rented air compressor. </w:t>
            </w:r>
            <w:r>
              <w:rPr>
                <w:rFonts w:eastAsia="Calibri" w:cs="Times New Roman" w:ascii="Times New Roman" w:hAnsi="Times New Roman"/>
                <w:b w:val="false"/>
                <w:bCs w:val="false"/>
                <w:i w:val="false"/>
                <w:kern w:val="0"/>
                <w:sz w:val="22"/>
                <w:szCs w:val="22"/>
                <w:lang w:val="en-US" w:eastAsia="en-US" w:bidi="ar-SA"/>
              </w:rPr>
              <w:t>A</w:t>
            </w:r>
            <w:r>
              <w:rPr>
                <w:rFonts w:eastAsia="Calibri" w:cs="Times New Roman" w:ascii="Times New Roman" w:hAnsi="Times New Roman"/>
                <w:b w:val="false"/>
                <w:bCs w:val="false"/>
                <w:i w:val="false"/>
                <w:kern w:val="0"/>
                <w:sz w:val="22"/>
                <w:szCs w:val="22"/>
                <w:lang w:val="en-US" w:eastAsia="en-US" w:bidi="ar-SA"/>
              </w:rPr>
              <w:t xml:space="preserve"> magistrate found probable cause and issued a warrant </w:t>
            </w:r>
            <w:r>
              <w:rPr>
                <w:rFonts w:eastAsia="Calibri" w:cs="Times New Roman" w:ascii="Times New Roman" w:hAnsi="Times New Roman"/>
                <w:b w:val="false"/>
                <w:bCs w:val="false"/>
                <w:i w:val="false"/>
                <w:kern w:val="0"/>
                <w:sz w:val="22"/>
                <w:szCs w:val="22"/>
                <w:lang w:val="en-US" w:eastAsia="en-US" w:bidi="ar-SA"/>
              </w:rPr>
              <w:t>for his arrest</w:t>
            </w:r>
            <w:r>
              <w:rPr>
                <w:rFonts w:eastAsia="Calibri" w:cs="Times New Roman" w:ascii="Times New Roman" w:hAnsi="Times New Roman"/>
                <w:b w:val="false"/>
                <w:bCs w:val="false"/>
                <w:i w:val="false"/>
                <w:kern w:val="0"/>
                <w:sz w:val="22"/>
                <w:szCs w:val="22"/>
                <w:lang w:val="en-US" w:eastAsia="en-US" w:bidi="ar-SA"/>
              </w:rPr>
              <w:t xml:space="preserve">. </w:t>
            </w:r>
            <w:r>
              <w:rPr>
                <w:rFonts w:eastAsia="Calibri" w:cs="Times New Roman" w:ascii="Times New Roman" w:hAnsi="Times New Roman"/>
                <w:b w:val="false"/>
                <w:bCs w:val="false"/>
                <w:i w:val="false"/>
                <w:kern w:val="0"/>
                <w:sz w:val="22"/>
                <w:szCs w:val="22"/>
                <w:lang w:val="en-US" w:eastAsia="en-US" w:bidi="ar-SA"/>
              </w:rPr>
              <w:t xml:space="preserve">In Feb 2016, </w:t>
            </w:r>
            <w:r>
              <w:rPr>
                <w:rFonts w:eastAsia="Calibri" w:cs="Times New Roman" w:ascii="Times New Roman" w:hAnsi="Times New Roman"/>
                <w:b w:val="false"/>
                <w:bCs w:val="false"/>
                <w:i w:val="false"/>
                <w:kern w:val="0"/>
                <w:sz w:val="22"/>
                <w:szCs w:val="22"/>
                <w:lang w:val="en-US" w:eastAsia="en-US" w:bidi="ar-SA"/>
              </w:rPr>
              <w:t>t</w:t>
            </w:r>
            <w:r>
              <w:rPr>
                <w:rFonts w:eastAsia="Calibri" w:cs="Times New Roman" w:ascii="Times New Roman" w:hAnsi="Times New Roman"/>
                <w:b w:val="false"/>
                <w:bCs w:val="false"/>
                <w:i w:val="false"/>
                <w:kern w:val="0"/>
                <w:sz w:val="22"/>
                <w:szCs w:val="22"/>
                <w:lang w:val="en-US" w:eastAsia="en-US" w:bidi="ar-SA"/>
              </w:rPr>
              <w:t xml:space="preserve">he parties </w:t>
            </w:r>
            <w:r>
              <w:rPr>
                <w:rFonts w:eastAsia="Calibri" w:cs="Times New Roman" w:ascii="Times New Roman" w:hAnsi="Times New Roman"/>
                <w:b w:val="false"/>
                <w:bCs w:val="false"/>
                <w:i w:val="false"/>
                <w:kern w:val="0"/>
                <w:sz w:val="22"/>
                <w:szCs w:val="22"/>
                <w:lang w:val="en-US" w:eastAsia="en-US" w:bidi="ar-SA"/>
              </w:rPr>
              <w:t>executed a settlement agreement which released all claims concerning the air compressor.</w:t>
            </w:r>
            <w:r>
              <w:rPr>
                <w:rFonts w:eastAsia="Calibri" w:cs="Times New Roman" w:ascii="Times New Roman" w:hAnsi="Times New Roman"/>
                <w:b w:val="false"/>
                <w:bCs w:val="false"/>
                <w:i w:val="false"/>
                <w:kern w:val="0"/>
                <w:sz w:val="22"/>
                <w:szCs w:val="22"/>
                <w:lang w:val="en-US" w:eastAsia="en-US" w:bidi="ar-SA"/>
              </w:rPr>
              <w:t xml:space="preserve"> </w:t>
            </w:r>
            <w:r>
              <w:rPr>
                <w:rFonts w:eastAsia="Calibri" w:cs="Times New Roman" w:ascii="Times New Roman" w:hAnsi="Times New Roman"/>
                <w:b w:val="false"/>
                <w:bCs w:val="false"/>
                <w:i w:val="false"/>
                <w:kern w:val="0"/>
                <w:sz w:val="22"/>
                <w:szCs w:val="22"/>
                <w:lang w:val="en-US" w:eastAsia="en-US" w:bidi="ar-SA"/>
              </w:rPr>
              <w:t xml:space="preserve">However, in Feb 2018, a police officer arrested Plaintiff on the outstanding warrant from United Rentals. Plaintiff told the officer to call his attorney so the attorney could explain that his dispute with United Rentals had been settled, the officer did not. </w:t>
            </w:r>
            <w:r>
              <w:rPr>
                <w:rFonts w:eastAsia="Calibri" w:cs="Times New Roman" w:ascii="Times New Roman" w:hAnsi="Times New Roman"/>
                <w:b w:val="false"/>
                <w:bCs w:val="false"/>
                <w:i w:val="false"/>
                <w:kern w:val="0"/>
                <w:sz w:val="22"/>
                <w:szCs w:val="22"/>
                <w:lang w:val="en-US" w:eastAsia="en-US" w:bidi="ar-SA"/>
              </w:rPr>
              <w:t xml:space="preserve">Howell sued United Rentals and Miller, the manager for false arrest, false imprisonment and other claims. </w:t>
            </w:r>
            <w:r>
              <w:rPr>
                <w:rFonts w:eastAsia="Calibri" w:cs="Times New Roman" w:ascii="Times New Roman" w:hAnsi="Times New Roman"/>
                <w:b w:val="false"/>
                <w:bCs w:val="false"/>
                <w:i w:val="false"/>
                <w:kern w:val="0"/>
                <w:sz w:val="22"/>
                <w:szCs w:val="22"/>
                <w:lang w:val="en-US" w:eastAsia="en-US" w:bidi="ar-SA"/>
              </w:rPr>
              <w:t xml:space="preserve">The court of appeals affirmed summary judgment for the store. </w:t>
            </w:r>
            <w:r>
              <w:rPr>
                <w:rFonts w:eastAsia="Calibri" w:cs="Times New Roman" w:ascii="Times New Roman" w:hAnsi="Times New Roman"/>
                <w:b w:val="false"/>
                <w:bCs w:val="false"/>
                <w:i w:val="false"/>
                <w:kern w:val="0"/>
                <w:sz w:val="22"/>
                <w:szCs w:val="22"/>
                <w:lang w:val="en-US" w:eastAsia="en-US" w:bidi="ar-SA"/>
              </w:rPr>
              <w:t>T</w:t>
            </w:r>
            <w:r>
              <w:rPr>
                <w:rFonts w:eastAsia="Calibri" w:cs="Times New Roman" w:ascii="Times New Roman" w:hAnsi="Times New Roman"/>
                <w:b w:val="false"/>
                <w:bCs w:val="false"/>
                <w:i w:val="false"/>
                <w:kern w:val="0"/>
                <w:sz w:val="22"/>
                <w:szCs w:val="22"/>
                <w:lang w:val="en-US" w:eastAsia="en-US" w:bidi="ar-SA"/>
              </w:rPr>
              <w:t>he question is whether reasonable grounds existed for the defendant’s belief, judged objectively at the time the prosecution began.</w:t>
            </w:r>
          </w:p>
        </w:tc>
        <w:tc>
          <w:tcPr>
            <w:tcW w:w="2841" w:type="dxa"/>
            <w:tcBorders/>
          </w:tcPr>
          <w:p>
            <w:pPr>
              <w:pStyle w:val="ListParagraph"/>
              <w:widowControl w:val="false"/>
              <w:suppressAutoHyphens w:val="true"/>
              <w:spacing w:before="0" w:after="200"/>
              <w:ind w:left="0" w:hanging="0"/>
              <w:jc w:val="left"/>
              <w:rPr>
                <w:rFonts w:ascii="Times New Roman" w:hAnsi="Times New Roman"/>
                <w:b w:val="false"/>
                <w:b w:val="false"/>
                <w:bCs w:val="false"/>
                <w:sz w:val="24"/>
                <w:szCs w:val="24"/>
              </w:rPr>
            </w:pPr>
            <w:r>
              <w:rPr>
                <w:rFonts w:ascii="Times New Roman" w:hAnsi="Times New Roman"/>
                <w:b w:val="false"/>
                <w:bCs w:val="false"/>
                <w:sz w:val="24"/>
                <w:szCs w:val="24"/>
              </w:rPr>
              <w:t>Used in Rule Statement</w:t>
            </w:r>
          </w:p>
        </w:tc>
      </w:tr>
      <w:tr>
        <w:trPr/>
        <w:tc>
          <w:tcPr>
            <w:tcW w:w="2885" w:type="dxa"/>
            <w:tcBorders/>
          </w:tcPr>
          <w:p>
            <w:pPr>
              <w:pStyle w:val="TextBody"/>
              <w:widowControl w:val="false"/>
              <w:suppressAutoHyphens w:val="true"/>
              <w:spacing w:before="0" w:after="200"/>
              <w:ind w:left="0" w:hanging="0"/>
              <w:jc w:val="left"/>
              <w:rPr>
                <w:rFonts w:ascii="Times New Roman" w:hAnsi="Times New Roman" w:eastAsia="Calibri" w:cs="Times New Roman"/>
                <w:b/>
                <w:b/>
                <w:kern w:val="0"/>
                <w:sz w:val="24"/>
                <w:szCs w:val="24"/>
                <w:lang w:val="en-US" w:eastAsia="en-US" w:bidi="ar-SA"/>
              </w:rPr>
            </w:pPr>
            <w:r>
              <w:rPr>
                <w:rStyle w:val="Emphasis"/>
                <w:rFonts w:eastAsia="Calibri" w:cs="Times New Roman" w:ascii="Times New Roman" w:hAnsi="Times New Roman"/>
                <w:b w:val="false"/>
                <w:bCs w:val="false"/>
                <w:kern w:val="0"/>
                <w:sz w:val="24"/>
                <w:szCs w:val="24"/>
                <w:lang w:val="en-US" w:eastAsia="en-US" w:bidi="ar-SA"/>
              </w:rPr>
              <w:t>Jacobi v. VendEngine Inc.</w:t>
            </w:r>
            <w:r>
              <w:rPr>
                <w:rFonts w:eastAsia="Calibri" w:cs="Times New Roman" w:ascii="Times New Roman" w:hAnsi="Times New Roman"/>
                <w:b w:val="false"/>
                <w:bCs w:val="false"/>
                <w:kern w:val="0"/>
                <w:sz w:val="24"/>
                <w:szCs w:val="24"/>
                <w:lang w:val="en-US" w:eastAsia="en-US" w:bidi="ar-SA"/>
              </w:rPr>
              <w:t>, No. M2023-01459-COA-R3-CV, 2025 WL 400697 (Tenn. Ct. App. Feb. 5, 2025).</w:t>
            </w:r>
          </w:p>
        </w:tc>
        <w:tc>
          <w:tcPr>
            <w:tcW w:w="2904" w:type="dxa"/>
            <w:tcBorders/>
          </w:tcPr>
          <w:p>
            <w:pPr>
              <w:pStyle w:val="ListParagraph"/>
              <w:widowControl w:val="false"/>
              <w:suppressAutoHyphens w:val="true"/>
              <w:spacing w:before="0" w:after="200"/>
              <w:ind w:left="0" w:hanging="0"/>
              <w:jc w:val="left"/>
              <w:rPr>
                <w:rFonts w:ascii="Times New Roman" w:hAnsi="Times New Roman"/>
                <w:b/>
                <w:b/>
                <w:sz w:val="24"/>
                <w:szCs w:val="24"/>
              </w:rPr>
            </w:pPr>
            <w:r>
              <w:rPr>
                <w:rFonts w:eastAsia="Calibri" w:cs="Times New Roman" w:ascii="Times New Roman" w:hAnsi="Times New Roman"/>
                <w:b w:val="false"/>
                <w:i w:val="false"/>
                <w:kern w:val="0"/>
                <w:sz w:val="22"/>
                <w:szCs w:val="24"/>
                <w:lang w:val="en-US" w:eastAsia="en-US" w:bidi="ar-SA"/>
              </w:rPr>
              <w:t>VendEngine’s</w:t>
            </w:r>
            <w:r>
              <w:rPr>
                <w:rFonts w:eastAsia="Calibri" w:cs="Times New Roman" w:ascii="Times New Roman" w:hAnsi="Times New Roman"/>
                <w:b w:val="false"/>
                <w:i w:val="false"/>
                <w:kern w:val="0"/>
                <w:sz w:val="22"/>
                <w:szCs w:val="24"/>
                <w:lang w:val="en-US" w:eastAsia="en-US" w:bidi="ar-SA"/>
              </w:rPr>
              <w:t xml:space="preserve"> inmate-messaging system identified the plaintiff as the sender of threatening messages, and she was arrested. The court affirmed summary judgment </w:t>
            </w:r>
            <w:r>
              <w:rPr>
                <w:rFonts w:eastAsia="Calibri" w:cs="Times New Roman" w:ascii="Times New Roman" w:hAnsi="Times New Roman"/>
                <w:b w:val="false"/>
                <w:i w:val="false"/>
                <w:kern w:val="0"/>
                <w:sz w:val="22"/>
                <w:szCs w:val="24"/>
                <w:lang w:val="en-US" w:eastAsia="en-US" w:bidi="ar-SA"/>
              </w:rPr>
              <w:t>for VendEngine</w:t>
            </w:r>
            <w:r>
              <w:rPr>
                <w:rFonts w:eastAsia="Calibri" w:cs="Times New Roman" w:ascii="Times New Roman" w:hAnsi="Times New Roman"/>
                <w:b w:val="false"/>
                <w:i w:val="false"/>
                <w:kern w:val="0"/>
                <w:sz w:val="22"/>
                <w:szCs w:val="24"/>
                <w:lang w:val="en-US" w:eastAsia="en-US" w:bidi="ar-SA"/>
              </w:rPr>
              <w:t xml:space="preserve">. Tennessee recognizes no </w:t>
            </w:r>
            <w:r>
              <w:rPr>
                <w:rFonts w:eastAsia="Calibri" w:cs="Times New Roman" w:ascii="Times New Roman" w:hAnsi="Times New Roman"/>
                <w:b w:val="false"/>
                <w:i w:val="false"/>
                <w:kern w:val="0"/>
                <w:sz w:val="22"/>
                <w:szCs w:val="24"/>
                <w:lang w:val="en-US" w:eastAsia="en-US" w:bidi="ar-SA"/>
              </w:rPr>
              <w:t xml:space="preserve">cause of action for </w:t>
            </w:r>
            <w:r>
              <w:rPr>
                <w:rFonts w:eastAsia="Calibri" w:cs="Times New Roman" w:ascii="Times New Roman" w:hAnsi="Times New Roman"/>
                <w:b w:val="false"/>
                <w:i w:val="false"/>
                <w:kern w:val="0"/>
                <w:sz w:val="22"/>
                <w:szCs w:val="24"/>
                <w:lang w:val="en-US" w:eastAsia="en-US" w:bidi="ar-SA"/>
              </w:rPr>
              <w:t xml:space="preserve">negligent-identification, and merely providing mistaken information is not enough </w:t>
            </w:r>
            <w:r>
              <w:rPr>
                <w:rFonts w:eastAsia="Calibri" w:cs="Times New Roman" w:ascii="Times New Roman" w:hAnsi="Times New Roman"/>
                <w:b w:val="false"/>
                <w:i w:val="false"/>
                <w:kern w:val="0"/>
                <w:sz w:val="22"/>
                <w:szCs w:val="24"/>
                <w:lang w:val="en-US" w:eastAsia="en-US" w:bidi="ar-SA"/>
              </w:rPr>
              <w:t xml:space="preserve">to hold the defendant liable </w:t>
            </w:r>
            <w:r>
              <w:rPr>
                <w:rFonts w:eastAsia="Calibri" w:cs="Times New Roman" w:ascii="Times New Roman" w:hAnsi="Times New Roman"/>
                <w:b w:val="false"/>
                <w:i w:val="false"/>
                <w:kern w:val="0"/>
                <w:sz w:val="22"/>
                <w:szCs w:val="24"/>
                <w:lang w:val="en-US" w:eastAsia="en-US" w:bidi="ar-SA"/>
              </w:rPr>
              <w:t>without knowledge that it was false.</w:t>
            </w:r>
          </w:p>
        </w:tc>
        <w:tc>
          <w:tcPr>
            <w:tcW w:w="2841" w:type="dxa"/>
            <w:tcBorders/>
          </w:tcPr>
          <w:p>
            <w:pPr>
              <w:pStyle w:val="ListParagraph"/>
              <w:widowControl w:val="false"/>
              <w:suppressAutoHyphens w:val="true"/>
              <w:spacing w:before="0" w:after="200"/>
              <w:ind w:left="0" w:hanging="0"/>
              <w:jc w:val="left"/>
              <w:rPr>
                <w:rFonts w:ascii="Times New Roman" w:hAnsi="Times New Roman"/>
                <w:b w:val="false"/>
                <w:b w:val="false"/>
                <w:bCs w:val="false"/>
                <w:sz w:val="24"/>
                <w:szCs w:val="24"/>
              </w:rPr>
            </w:pPr>
            <w:r>
              <w:rPr>
                <w:rFonts w:ascii="Times New Roman" w:hAnsi="Times New Roman"/>
                <w:b w:val="false"/>
                <w:bCs w:val="false"/>
                <w:sz w:val="24"/>
                <w:szCs w:val="24"/>
              </w:rPr>
              <w:t>Contrasting</w:t>
            </w:r>
            <w:r>
              <w:rPr>
                <w:rFonts w:ascii="Times New Roman" w:hAnsi="Times New Roman"/>
                <w:b w:val="false"/>
                <w:bCs w:val="false"/>
                <w:sz w:val="24"/>
                <w:szCs w:val="24"/>
              </w:rPr>
              <w:t xml:space="preserve"> Case</w:t>
            </w:r>
          </w:p>
        </w:tc>
      </w:tr>
    </w:tbl>
    <w:p>
      <w:pPr>
        <w:pStyle w:val="Normal"/>
        <w:rPr>
          <w:rFonts w:ascii="Times New Roman" w:hAnsi="Times New Roman"/>
          <w:b/>
          <w:b/>
          <w:sz w:val="24"/>
          <w:szCs w:val="24"/>
        </w:rPr>
      </w:pPr>
      <w:r>
        <w:rPr>
          <w:rFonts w:ascii="Times New Roman" w:hAnsi="Times New Roman"/>
          <w:b/>
          <w:sz w:val="24"/>
          <w:szCs w:val="24"/>
        </w:rPr>
      </w:r>
    </w:p>
    <w:p>
      <w:pPr>
        <w:pStyle w:val="ListParagraph"/>
        <w:numPr>
          <w:ilvl w:val="0"/>
          <w:numId w:val="1"/>
        </w:numPr>
        <w:rPr>
          <w:rFonts w:ascii="Times New Roman" w:hAnsi="Times New Roman"/>
          <w:b/>
          <w:b/>
          <w:sz w:val="24"/>
          <w:szCs w:val="24"/>
        </w:rPr>
      </w:pPr>
      <w:r>
        <w:rPr>
          <w:rFonts w:ascii="Times New Roman" w:hAnsi="Times New Roman"/>
          <w:b/>
          <w:sz w:val="24"/>
          <w:szCs w:val="24"/>
        </w:rPr>
        <w:t>For Element 2, give at least 3 cases (these may be new or can repeat from Element 2, based on which cases most strongly align with yours) and what facts from them line up with your facts. Is this a case you are considering using as a full illustration, short illustration or parenthetical?</w:t>
      </w:r>
    </w:p>
    <w:tbl>
      <w:tblPr>
        <w:tblStyle w:val="TableGrid"/>
        <w:tblW w:w="863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2885"/>
        <w:gridCol w:w="2904"/>
        <w:gridCol w:w="2841"/>
      </w:tblGrid>
      <w:tr>
        <w:trPr/>
        <w:tc>
          <w:tcPr>
            <w:tcW w:w="2885" w:type="dxa"/>
            <w:tcBorders/>
          </w:tcPr>
          <w:p>
            <w:pPr>
              <w:pStyle w:val="ListParagraph"/>
              <w:widowControl w:val="false"/>
              <w:suppressAutoHyphens w:val="true"/>
              <w:spacing w:before="0" w:after="200"/>
              <w:ind w:left="0" w:hanging="0"/>
              <w:jc w:val="left"/>
              <w:rPr>
                <w:rFonts w:ascii="Times New Roman" w:hAnsi="Times New Roman"/>
                <w:b/>
                <w:b/>
                <w:sz w:val="24"/>
                <w:szCs w:val="24"/>
              </w:rPr>
            </w:pPr>
            <w:r>
              <w:rPr>
                <w:rFonts w:eastAsia="Calibri" w:cs="Times New Roman" w:ascii="Times New Roman" w:hAnsi="Times New Roman"/>
                <w:b/>
                <w:kern w:val="0"/>
                <w:sz w:val="24"/>
                <w:szCs w:val="24"/>
                <w:lang w:val="en-US" w:eastAsia="en-US" w:bidi="ar-SA"/>
              </w:rPr>
              <w:t>CASE CITATION</w:t>
            </w:r>
          </w:p>
        </w:tc>
        <w:tc>
          <w:tcPr>
            <w:tcW w:w="2904" w:type="dxa"/>
            <w:tcBorders/>
          </w:tcPr>
          <w:p>
            <w:pPr>
              <w:pStyle w:val="ListParagraph"/>
              <w:widowControl w:val="false"/>
              <w:suppressAutoHyphens w:val="true"/>
              <w:spacing w:before="0" w:after="200"/>
              <w:ind w:left="0" w:hanging="0"/>
              <w:jc w:val="left"/>
              <w:rPr>
                <w:rFonts w:ascii="Times New Roman" w:hAnsi="Times New Roman"/>
                <w:b/>
                <w:b/>
                <w:sz w:val="24"/>
                <w:szCs w:val="24"/>
              </w:rPr>
            </w:pPr>
            <w:r>
              <w:rPr>
                <w:rFonts w:eastAsia="Calibri" w:cs="Times New Roman" w:ascii="Times New Roman" w:hAnsi="Times New Roman"/>
                <w:b/>
                <w:kern w:val="0"/>
                <w:sz w:val="24"/>
                <w:szCs w:val="24"/>
                <w:lang w:val="en-US" w:eastAsia="en-US" w:bidi="ar-SA"/>
              </w:rPr>
              <w:t xml:space="preserve">RELEVANT FACTS </w:t>
            </w:r>
          </w:p>
        </w:tc>
        <w:tc>
          <w:tcPr>
            <w:tcW w:w="2841" w:type="dxa"/>
            <w:tcBorders/>
          </w:tcPr>
          <w:p>
            <w:pPr>
              <w:pStyle w:val="ListParagraph"/>
              <w:widowControl w:val="false"/>
              <w:suppressAutoHyphens w:val="true"/>
              <w:spacing w:before="0" w:after="200"/>
              <w:ind w:left="0" w:hanging="0"/>
              <w:jc w:val="left"/>
              <w:rPr>
                <w:rFonts w:ascii="Times New Roman" w:hAnsi="Times New Roman"/>
                <w:b/>
                <w:b/>
                <w:sz w:val="24"/>
                <w:szCs w:val="24"/>
              </w:rPr>
            </w:pPr>
            <w:r>
              <w:rPr>
                <w:rFonts w:eastAsia="Calibri" w:cs="Times New Roman" w:ascii="Times New Roman" w:hAnsi="Times New Roman"/>
                <w:b/>
                <w:kern w:val="0"/>
                <w:sz w:val="24"/>
                <w:szCs w:val="24"/>
                <w:lang w:val="en-US" w:eastAsia="en-US" w:bidi="ar-SA"/>
              </w:rPr>
              <w:t>HOW MIGHT YOU USE IT?</w:t>
            </w:r>
          </w:p>
        </w:tc>
      </w:tr>
      <w:tr>
        <w:trPr/>
        <w:tc>
          <w:tcPr>
            <w:tcW w:w="2885" w:type="dxa"/>
            <w:tcBorders/>
          </w:tcPr>
          <w:p>
            <w:pPr>
              <w:pStyle w:val="TextBody"/>
              <w:widowControl w:val="false"/>
              <w:suppressAutoHyphens w:val="true"/>
              <w:spacing w:before="0" w:after="200"/>
              <w:ind w:left="0" w:hanging="0"/>
              <w:jc w:val="left"/>
              <w:rPr>
                <w:rFonts w:ascii="Times New Roman" w:hAnsi="Times New Roman"/>
              </w:rPr>
            </w:pPr>
            <w:r>
              <w:rPr>
                <w:rFonts w:eastAsia="Calibri" w:cs="Times New Roman" w:ascii="Times New Roman" w:hAnsi="Times New Roman"/>
                <w:b w:val="false"/>
                <w:bCs w:val="false"/>
                <w:i/>
                <w:kern w:val="0"/>
                <w:sz w:val="24"/>
                <w:szCs w:val="24"/>
                <w:lang w:val="en-US" w:eastAsia="en-US" w:bidi="ar-SA"/>
              </w:rPr>
              <w:t>Swindle v. Krystal Co.</w:t>
            </w:r>
            <w:r>
              <w:rPr>
                <w:rFonts w:eastAsia="Calibri" w:cs="Times New Roman" w:ascii="Times New Roman" w:hAnsi="Times New Roman"/>
                <w:b w:val="false"/>
                <w:bCs w:val="false"/>
                <w:i w:val="false"/>
                <w:kern w:val="0"/>
                <w:sz w:val="24"/>
                <w:szCs w:val="24"/>
                <w:lang w:val="en-US" w:eastAsia="en-US" w:bidi="ar-SA"/>
              </w:rPr>
              <w:t xml:space="preserve">, No. 02A01-9406-CV-00136, 1995 WL 262419, at *3 (Tenn. Ct. App. May 8, 1995) </w:t>
            </w:r>
          </w:p>
        </w:tc>
        <w:tc>
          <w:tcPr>
            <w:tcW w:w="2904" w:type="dxa"/>
            <w:tcBorders/>
          </w:tcPr>
          <w:p>
            <w:pPr>
              <w:pStyle w:val="ListParagraph"/>
              <w:widowControl w:val="false"/>
              <w:suppressAutoHyphens w:val="true"/>
              <w:spacing w:before="0" w:after="200"/>
              <w:ind w:left="0" w:hanging="0"/>
              <w:jc w:val="left"/>
              <w:rPr>
                <w:rFonts w:ascii="Times New Roman" w:hAnsi="Times New Roman"/>
                <w:b w:val="false"/>
              </w:rPr>
            </w:pPr>
            <w:r>
              <w:rPr>
                <w:rFonts w:ascii="Times New Roman" w:hAnsi="Times New Roman"/>
                <w:b w:val="false"/>
                <w:bCs w:val="false"/>
              </w:rPr>
              <w:t>Regarding malice, the court noted that malice may be inferred from the lack of probable cause</w:t>
            </w:r>
            <w:r>
              <w:rPr>
                <w:rFonts w:ascii="Times New Roman" w:hAnsi="Times New Roman"/>
                <w:b w:val="false"/>
                <w:bCs w:val="false"/>
                <w:sz w:val="22"/>
                <w:szCs w:val="22"/>
              </w:rPr>
              <w:t xml:space="preserve"> “</w:t>
            </w:r>
            <w:r>
              <w:rPr>
                <w:rFonts w:ascii="Times New Roman" w:hAnsi="Times New Roman"/>
                <w:b w:val="false"/>
                <w:i w:val="false"/>
                <w:caps w:val="false"/>
                <w:smallCaps w:val="false"/>
                <w:color w:val="1F1F1F"/>
                <w:spacing w:val="0"/>
                <w:sz w:val="22"/>
                <w:szCs w:val="22"/>
              </w:rPr>
              <w:t xml:space="preserve">malice may be inferred from the fact that a criminal prosecution was brought without probable cause” </w:t>
            </w:r>
            <w:r>
              <w:rPr>
                <w:rFonts w:ascii="Times New Roman" w:hAnsi="Times New Roman"/>
                <w:b w:val="false"/>
                <w:bCs w:val="false"/>
                <w:sz w:val="22"/>
                <w:szCs w:val="22"/>
              </w:rPr>
              <w:t xml:space="preserve">at </w:t>
            </w:r>
            <w:r>
              <w:rPr>
                <w:rFonts w:ascii="Times New Roman" w:hAnsi="Times New Roman"/>
                <w:b w:val="false"/>
                <w:bCs w:val="false"/>
              </w:rPr>
              <w:t xml:space="preserve">*3 (quoting </w:t>
            </w:r>
            <w:r>
              <w:rPr>
                <w:rFonts w:ascii="Times New Roman" w:hAnsi="Times New Roman"/>
                <w:b w:val="false"/>
                <w:bCs w:val="false"/>
                <w:i/>
                <w:iCs/>
              </w:rPr>
              <w:t>Carter v. Baker’s Food Rite Store</w:t>
            </w:r>
            <w:r>
              <w:rPr>
                <w:rFonts w:ascii="Times New Roman" w:hAnsi="Times New Roman"/>
                <w:b w:val="false"/>
                <w:bCs w:val="false"/>
              </w:rPr>
              <w:t>)</w:t>
            </w:r>
          </w:p>
        </w:tc>
        <w:tc>
          <w:tcPr>
            <w:tcW w:w="2841" w:type="dxa"/>
            <w:tcBorders/>
          </w:tcPr>
          <w:p>
            <w:pPr>
              <w:pStyle w:val="ListParagraph"/>
              <w:widowControl w:val="false"/>
              <w:suppressAutoHyphens w:val="true"/>
              <w:spacing w:before="0" w:after="200"/>
              <w:ind w:left="0" w:hanging="0"/>
              <w:jc w:val="left"/>
              <w:rPr>
                <w:rFonts w:ascii="Times New Roman" w:hAnsi="Times New Roman"/>
                <w:b w:val="false"/>
                <w:b w:val="false"/>
                <w:bCs w:val="false"/>
                <w:sz w:val="24"/>
                <w:szCs w:val="24"/>
              </w:rPr>
            </w:pPr>
            <w:r>
              <w:rPr>
                <w:rFonts w:ascii="Times New Roman" w:hAnsi="Times New Roman"/>
                <w:b w:val="false"/>
                <w:bCs w:val="false"/>
                <w:sz w:val="24"/>
                <w:szCs w:val="24"/>
              </w:rPr>
              <w:t>Comparable Case</w:t>
            </w:r>
          </w:p>
        </w:tc>
      </w:tr>
      <w:tr>
        <w:trPr/>
        <w:tc>
          <w:tcPr>
            <w:tcW w:w="2885" w:type="dxa"/>
            <w:tcBorders/>
          </w:tcPr>
          <w:p>
            <w:pPr>
              <w:pStyle w:val="TextBody"/>
              <w:widowControl w:val="false"/>
              <w:suppressAutoHyphens w:val="true"/>
              <w:spacing w:before="0" w:after="200"/>
              <w:ind w:left="0" w:hanging="0"/>
              <w:jc w:val="left"/>
              <w:rPr>
                <w:rFonts w:ascii="Times New Roman" w:hAnsi="Times New Roman" w:eastAsia="Calibri" w:cs="Times New Roman"/>
                <w:kern w:val="0"/>
                <w:sz w:val="24"/>
                <w:szCs w:val="24"/>
                <w:lang w:val="en-US" w:eastAsia="en-US" w:bidi="ar-SA"/>
              </w:rPr>
            </w:pPr>
            <w:r>
              <w:rPr>
                <w:rStyle w:val="Emphasis"/>
                <w:rFonts w:eastAsia="Calibri" w:cs="Times New Roman" w:ascii="Times New Roman" w:hAnsi="Times New Roman"/>
                <w:b w:val="false"/>
                <w:bCs w:val="false"/>
                <w:kern w:val="0"/>
                <w:sz w:val="24"/>
                <w:szCs w:val="24"/>
                <w:lang w:val="en-US" w:eastAsia="en-US" w:bidi="ar-SA"/>
              </w:rPr>
              <w:t>Jacobi v. VendEngine Inc.</w:t>
            </w:r>
            <w:r>
              <w:rPr>
                <w:rFonts w:eastAsia="Calibri" w:cs="Times New Roman" w:ascii="Times New Roman" w:hAnsi="Times New Roman"/>
                <w:b w:val="false"/>
                <w:bCs w:val="false"/>
                <w:i w:val="false"/>
                <w:kern w:val="0"/>
                <w:sz w:val="24"/>
                <w:szCs w:val="24"/>
                <w:lang w:val="en-US" w:eastAsia="en-US" w:bidi="ar-SA"/>
              </w:rPr>
              <w:t>, No. M2023-01459-COA-R3-CV, 2025 WL 400697 (Tenn. Ct. App. Feb. 5, 2025).</w:t>
            </w:r>
          </w:p>
        </w:tc>
        <w:tc>
          <w:tcPr>
            <w:tcW w:w="2904" w:type="dxa"/>
            <w:tcBorders/>
          </w:tcPr>
          <w:p>
            <w:pPr>
              <w:pStyle w:val="ListParagraph"/>
              <w:widowControl w:val="false"/>
              <w:suppressAutoHyphens w:val="true"/>
              <w:spacing w:before="0" w:after="200"/>
              <w:ind w:left="0" w:hanging="0"/>
              <w:jc w:val="left"/>
              <w:rPr>
                <w:rFonts w:ascii="Times New Roman" w:hAnsi="Times New Roman"/>
                <w:sz w:val="22"/>
                <w:szCs w:val="24"/>
              </w:rPr>
            </w:pPr>
            <w:r>
              <w:rPr>
                <w:rFonts w:eastAsia="Calibri" w:cs="Times New Roman" w:ascii="Times New Roman" w:hAnsi="Times New Roman"/>
                <w:b w:val="false"/>
                <w:bCs w:val="false"/>
                <w:i w:val="false"/>
                <w:kern w:val="0"/>
                <w:sz w:val="22"/>
                <w:szCs w:val="24"/>
                <w:lang w:val="en-US" w:eastAsia="en-US" w:bidi="ar-SA"/>
              </w:rPr>
              <w:t>Summary judgment affirmed where there was no evidence the vendor knew its information was false or acted with malice. “</w:t>
            </w:r>
            <w:r>
              <w:rPr>
                <w:rFonts w:eastAsia="Calibri" w:cs="Times New Roman" w:ascii="Times New Roman" w:hAnsi="Times New Roman"/>
                <w:b w:val="false"/>
                <w:bCs w:val="false"/>
                <w:i w:val="false"/>
                <w:kern w:val="0"/>
                <w:sz w:val="22"/>
                <w:szCs w:val="24"/>
                <w:lang w:val="en-US" w:eastAsia="en-US" w:bidi="ar-SA"/>
              </w:rPr>
              <w:t>The undisputed facts also show that Ms. Jacobi cannot establish the second element-that VendEngine acted with malice to orchestrate her arrest.” at *7</w:t>
            </w:r>
          </w:p>
        </w:tc>
        <w:tc>
          <w:tcPr>
            <w:tcW w:w="2841" w:type="dxa"/>
            <w:tcBorders/>
          </w:tcPr>
          <w:p>
            <w:pPr>
              <w:pStyle w:val="ListParagraph"/>
              <w:widowControl w:val="false"/>
              <w:suppressAutoHyphens w:val="true"/>
              <w:spacing w:before="0" w:after="200"/>
              <w:ind w:left="0" w:hanging="0"/>
              <w:jc w:val="left"/>
              <w:rPr>
                <w:rFonts w:ascii="Times New Roman" w:hAnsi="Times New Roman"/>
                <w:b w:val="false"/>
                <w:b w:val="false"/>
                <w:bCs w:val="false"/>
                <w:sz w:val="24"/>
                <w:szCs w:val="24"/>
              </w:rPr>
            </w:pPr>
            <w:r>
              <w:rPr>
                <w:rFonts w:ascii="Times New Roman" w:hAnsi="Times New Roman"/>
                <w:b w:val="false"/>
                <w:bCs w:val="false"/>
                <w:sz w:val="24"/>
                <w:szCs w:val="24"/>
              </w:rPr>
              <w:t>Contrasting Case</w:t>
            </w:r>
          </w:p>
        </w:tc>
      </w:tr>
      <w:tr>
        <w:trPr/>
        <w:tc>
          <w:tcPr>
            <w:tcW w:w="2885" w:type="dxa"/>
            <w:tcBorders/>
          </w:tcPr>
          <w:p>
            <w:pPr>
              <w:pStyle w:val="TextBody"/>
              <w:widowControl w:val="false"/>
              <w:suppressAutoHyphens w:val="true"/>
              <w:spacing w:before="0" w:after="200"/>
              <w:ind w:left="0" w:hanging="0"/>
              <w:jc w:val="left"/>
              <w:rPr>
                <w:rFonts w:ascii="Times New Roman" w:hAnsi="Times New Roman" w:eastAsia="Calibri" w:cs="Times New Roman"/>
                <w:kern w:val="0"/>
                <w:sz w:val="24"/>
                <w:szCs w:val="24"/>
                <w:lang w:val="en-US" w:eastAsia="en-US" w:bidi="ar-SA"/>
              </w:rPr>
            </w:pPr>
            <w:r>
              <w:rPr>
                <w:rFonts w:eastAsia="Calibri" w:cs="Times New Roman" w:ascii="Times New Roman" w:hAnsi="Times New Roman"/>
                <w:b w:val="false"/>
                <w:bCs w:val="false"/>
                <w:i/>
                <w:kern w:val="0"/>
                <w:sz w:val="24"/>
                <w:szCs w:val="24"/>
                <w:lang w:val="en-US" w:eastAsia="en-US" w:bidi="ar-SA"/>
              </w:rPr>
              <w:t>Brown v. Bushnell</w:t>
            </w:r>
            <w:r>
              <w:rPr>
                <w:rFonts w:eastAsia="Calibri" w:cs="Times New Roman" w:ascii="Times New Roman" w:hAnsi="Times New Roman"/>
                <w:b w:val="false"/>
                <w:bCs w:val="false"/>
                <w:i w:val="false"/>
                <w:kern w:val="0"/>
                <w:sz w:val="24"/>
                <w:szCs w:val="24"/>
                <w:lang w:val="en-US" w:eastAsia="en-US" w:bidi="ar-SA"/>
              </w:rPr>
              <w:t>, No. M2017-01124-COA-R3-CV, 2018 WL 2447049, at *2 (Tenn. Ct. App. May 31, 2018).</w:t>
            </w:r>
          </w:p>
        </w:tc>
        <w:tc>
          <w:tcPr>
            <w:tcW w:w="2904" w:type="dxa"/>
            <w:tcBorders/>
          </w:tcPr>
          <w:p>
            <w:pPr>
              <w:pStyle w:val="ListParagraph"/>
              <w:widowControl w:val="false"/>
              <w:suppressAutoHyphens w:val="true"/>
              <w:spacing w:before="0" w:after="200"/>
              <w:ind w:left="0" w:hanging="0"/>
              <w:jc w:val="left"/>
              <w:rPr>
                <w:rFonts w:ascii="Times New Roman" w:hAnsi="Times New Roman"/>
                <w:sz w:val="22"/>
                <w:szCs w:val="24"/>
              </w:rPr>
            </w:pPr>
            <w:r>
              <w:rPr>
                <w:rFonts w:eastAsia="Calibri" w:cs="Times New Roman" w:ascii="Times New Roman" w:hAnsi="Times New Roman"/>
                <w:b w:val="false"/>
                <w:bCs w:val="false"/>
                <w:i w:val="false"/>
                <w:kern w:val="0"/>
                <w:sz w:val="22"/>
                <w:szCs w:val="24"/>
                <w:lang w:val="en-US" w:eastAsia="en-US" w:bidi="ar-SA"/>
              </w:rPr>
              <w:t>Bushnell sued Brown claiming that Brown and local governments were rigging the wrecker rotation system in Brown’s favor. Following the dismissal of this suit, Brown filed a complaint against Bushnell for malicious prosecution.</w:t>
            </w:r>
            <w:r>
              <w:rPr>
                <w:rFonts w:eastAsia="Calibri" w:cs="Times New Roman" w:ascii="Times New Roman" w:hAnsi="Times New Roman"/>
                <w:b w:val="false"/>
                <w:bCs w:val="false"/>
                <w:i w:val="false"/>
                <w:kern w:val="0"/>
                <w:sz w:val="22"/>
                <w:szCs w:val="24"/>
                <w:lang w:val="en-US" w:eastAsia="en-US" w:bidi="ar-SA"/>
              </w:rPr>
              <w:t xml:space="preserve"> </w:t>
            </w:r>
            <w:r>
              <w:rPr>
                <w:rFonts w:eastAsia="Calibri" w:cs="Times New Roman" w:ascii="Times New Roman" w:hAnsi="Times New Roman"/>
                <w:b w:val="false"/>
                <w:bCs w:val="false"/>
                <w:i w:val="false"/>
                <w:kern w:val="0"/>
                <w:sz w:val="22"/>
                <w:szCs w:val="24"/>
                <w:lang w:val="en-US" w:eastAsia="en-US" w:bidi="ar-SA"/>
              </w:rPr>
              <w:t xml:space="preserve">The trial court in the malicious prosecution case found that </w:t>
            </w:r>
            <w:r>
              <w:rPr>
                <w:rFonts w:eastAsia="Calibri" w:cs="Times New Roman" w:ascii="Times New Roman" w:hAnsi="Times New Roman"/>
                <w:b w:val="false"/>
                <w:bCs w:val="false"/>
                <w:i w:val="false"/>
                <w:kern w:val="0"/>
                <w:sz w:val="22"/>
                <w:szCs w:val="24"/>
                <w:lang w:val="en-US" w:eastAsia="en-US" w:bidi="ar-SA"/>
              </w:rPr>
              <w:t>“</w:t>
            </w:r>
            <w:r>
              <w:rPr>
                <w:rFonts w:eastAsia="Calibri" w:cs="Times New Roman" w:ascii="Times New Roman" w:hAnsi="Times New Roman"/>
                <w:b w:val="false"/>
                <w:bCs w:val="false"/>
                <w:i w:val="false"/>
                <w:kern w:val="0"/>
                <w:sz w:val="22"/>
                <w:szCs w:val="24"/>
                <w:lang w:val="en-US" w:eastAsia="en-US" w:bidi="ar-SA"/>
              </w:rPr>
              <w:t>The whole process was launched after only very limited and flawed investigation</w:t>
            </w:r>
            <w:r>
              <w:rPr>
                <w:rFonts w:eastAsia="Calibri" w:cs="Times New Roman" w:ascii="Times New Roman" w:hAnsi="Times New Roman"/>
                <w:b w:val="false"/>
                <w:bCs w:val="false"/>
                <w:i w:val="false"/>
                <w:kern w:val="0"/>
                <w:sz w:val="22"/>
                <w:szCs w:val="24"/>
                <w:lang w:val="en-US" w:eastAsia="en-US" w:bidi="ar-SA"/>
              </w:rPr>
              <w:t xml:space="preserve">”. </w:t>
            </w:r>
            <w:r>
              <w:rPr>
                <w:rFonts w:eastAsia="Calibri" w:cs="Times New Roman" w:ascii="Times New Roman" w:hAnsi="Times New Roman"/>
                <w:b w:val="false"/>
                <w:bCs w:val="false"/>
                <w:i w:val="false"/>
                <w:kern w:val="0"/>
                <w:sz w:val="22"/>
                <w:szCs w:val="24"/>
                <w:lang w:val="en-US" w:eastAsia="en-US" w:bidi="ar-SA"/>
              </w:rPr>
              <w:t xml:space="preserve">“The complaint contained and relied on multiple falsehoods.” </w:t>
            </w:r>
            <w:r>
              <w:rPr>
                <w:rFonts w:eastAsia="Calibri" w:cs="Times New Roman" w:ascii="Times New Roman" w:hAnsi="Times New Roman"/>
                <w:b w:val="false"/>
                <w:bCs w:val="false"/>
                <w:i w:val="false"/>
                <w:kern w:val="0"/>
                <w:sz w:val="22"/>
                <w:szCs w:val="24"/>
                <w:lang w:val="en-US" w:eastAsia="en-US" w:bidi="ar-SA"/>
              </w:rPr>
              <w:t xml:space="preserve">The court affirmed the inference of malice from circumstantial evidence. </w:t>
            </w:r>
            <w:r>
              <w:rPr>
                <w:rFonts w:eastAsia="Calibri" w:cs="Times New Roman" w:ascii="Times New Roman" w:hAnsi="Times New Roman"/>
                <w:b w:val="false"/>
                <w:bCs w:val="false"/>
                <w:i w:val="false"/>
                <w:kern w:val="0"/>
                <w:sz w:val="22"/>
                <w:szCs w:val="24"/>
                <w:lang w:val="en-US" w:eastAsia="en-US" w:bidi="ar-SA"/>
              </w:rPr>
              <w:t>I</w:t>
            </w:r>
            <w:r>
              <w:rPr>
                <w:rFonts w:eastAsia="Calibri" w:cs="Times New Roman" w:ascii="Times New Roman" w:hAnsi="Times New Roman"/>
                <w:b w:val="false"/>
                <w:bCs w:val="false"/>
                <w:i w:val="false"/>
                <w:kern w:val="0"/>
                <w:sz w:val="22"/>
                <w:szCs w:val="24"/>
                <w:lang w:val="en-US" w:eastAsia="en-US" w:bidi="ar-SA"/>
              </w:rPr>
              <w:t xml:space="preserve">ll will is unnecessary and any improper motive suffices </w:t>
            </w:r>
            <w:r>
              <w:rPr>
                <w:rFonts w:eastAsia="Calibri" w:cs="Times New Roman" w:ascii="Times New Roman" w:hAnsi="Times New Roman"/>
                <w:b w:val="false"/>
                <w:bCs w:val="false"/>
                <w:i w:val="false"/>
                <w:kern w:val="0"/>
                <w:sz w:val="22"/>
                <w:szCs w:val="24"/>
                <w:lang w:val="en-US" w:eastAsia="en-US" w:bidi="ar-SA"/>
              </w:rPr>
              <w:t>for malicious prosecution.</w:t>
            </w:r>
          </w:p>
        </w:tc>
        <w:tc>
          <w:tcPr>
            <w:tcW w:w="2841" w:type="dxa"/>
            <w:tcBorders/>
          </w:tcPr>
          <w:p>
            <w:pPr>
              <w:pStyle w:val="ListParagraph"/>
              <w:widowControl w:val="false"/>
              <w:suppressAutoHyphens w:val="true"/>
              <w:spacing w:before="0" w:after="200"/>
              <w:ind w:left="0" w:hanging="0"/>
              <w:jc w:val="left"/>
              <w:rPr>
                <w:rFonts w:ascii="Times New Roman" w:hAnsi="Times New Roman"/>
                <w:b w:val="false"/>
                <w:b w:val="false"/>
                <w:bCs w:val="false"/>
                <w:sz w:val="24"/>
                <w:szCs w:val="24"/>
              </w:rPr>
            </w:pPr>
            <w:r>
              <w:rPr>
                <w:rFonts w:ascii="Times New Roman" w:hAnsi="Times New Roman"/>
                <w:b w:val="false"/>
                <w:bCs w:val="false"/>
                <w:sz w:val="24"/>
                <w:szCs w:val="24"/>
              </w:rPr>
              <w:t>Rule Statement</w:t>
            </w:r>
          </w:p>
        </w:tc>
      </w:tr>
      <w:tr>
        <w:trPr/>
        <w:tc>
          <w:tcPr>
            <w:tcW w:w="2885" w:type="dxa"/>
            <w:tcBorders/>
          </w:tcPr>
          <w:p>
            <w:pPr>
              <w:pStyle w:val="TextBody"/>
              <w:widowControl w:val="false"/>
              <w:suppressAutoHyphens w:val="true"/>
              <w:spacing w:before="0" w:after="200"/>
              <w:ind w:left="0" w:hanging="0"/>
              <w:jc w:val="left"/>
              <w:rPr>
                <w:rFonts w:ascii="Times New Roman" w:hAnsi="Times New Roman" w:eastAsia="Calibri" w:cs="Times New Roman"/>
                <w:kern w:val="0"/>
                <w:sz w:val="24"/>
                <w:szCs w:val="24"/>
                <w:lang w:val="en-US" w:eastAsia="en-US" w:bidi="ar-SA"/>
              </w:rPr>
            </w:pPr>
            <w:r>
              <w:rPr>
                <w:rFonts w:eastAsia="Calibri" w:cs="Times New Roman" w:ascii="Times New Roman" w:hAnsi="Times New Roman"/>
                <w:b w:val="false"/>
                <w:bCs w:val="false"/>
                <w:i/>
                <w:kern w:val="0"/>
                <w:sz w:val="24"/>
                <w:szCs w:val="24"/>
                <w:lang w:val="en-US" w:eastAsia="en-US" w:bidi="ar-SA"/>
              </w:rPr>
              <w:t>Thompson v. Schulz</w:t>
            </w:r>
            <w:r>
              <w:rPr>
                <w:rFonts w:eastAsia="Calibri" w:cs="Times New Roman" w:ascii="Times New Roman" w:hAnsi="Times New Roman"/>
                <w:b w:val="false"/>
                <w:bCs w:val="false"/>
                <w:i w:val="false"/>
                <w:kern w:val="0"/>
                <w:sz w:val="24"/>
                <w:szCs w:val="24"/>
                <w:lang w:val="en-US" w:eastAsia="en-US" w:bidi="ar-SA"/>
              </w:rPr>
              <w:t>, 240 S.W.2d 252, 255–56 (Tenn. Ct. App. 1949).</w:t>
            </w:r>
          </w:p>
        </w:tc>
        <w:tc>
          <w:tcPr>
            <w:tcW w:w="2904" w:type="dxa"/>
            <w:tcBorders/>
          </w:tcPr>
          <w:p>
            <w:pPr>
              <w:pStyle w:val="ListParagraph"/>
              <w:widowControl w:val="false"/>
              <w:suppressAutoHyphens w:val="true"/>
              <w:spacing w:before="0" w:after="200"/>
              <w:ind w:left="0" w:hanging="0"/>
              <w:jc w:val="left"/>
              <w:rPr>
                <w:rFonts w:ascii="Times New Roman" w:hAnsi="Times New Roman"/>
                <w:sz w:val="22"/>
                <w:szCs w:val="24"/>
              </w:rPr>
            </w:pPr>
            <w:r>
              <w:rPr>
                <w:rFonts w:eastAsia="Calibri" w:cs="Times New Roman" w:ascii="Times New Roman" w:hAnsi="Times New Roman"/>
                <w:b w:val="false"/>
                <w:bCs w:val="false"/>
                <w:i w:val="false"/>
                <w:kern w:val="0"/>
                <w:sz w:val="22"/>
                <w:szCs w:val="24"/>
                <w:lang w:val="en-US" w:eastAsia="en-US" w:bidi="ar-SA"/>
              </w:rPr>
              <w:t xml:space="preserve">Thompson owned an old interurban street car. Schulz agreed to construct and addition to it, a room along its side. </w:t>
            </w:r>
            <w:r>
              <w:rPr>
                <w:rFonts w:eastAsia="Calibri" w:cs="Times New Roman" w:ascii="Times New Roman" w:hAnsi="Times New Roman"/>
                <w:b w:val="false"/>
                <w:bCs w:val="false"/>
                <w:i w:val="false"/>
                <w:kern w:val="0"/>
                <w:sz w:val="22"/>
                <w:szCs w:val="24"/>
                <w:lang w:val="en-US" w:eastAsia="en-US" w:bidi="ar-SA"/>
              </w:rPr>
              <w:t xml:space="preserve">Schulz could not pay his laborers and suppliers, these suppliers and laborers began to notify Thompson of their claims for liens on his property. Thus, Thompson swore out a criminal warrant charging Schulz with a violation of Code 7944a by misappropriating the $520 he paid Schulz under the contract. Thompson had no reasonable ground to believe that Schulz was guilty of the felony charged. The court found that malice need not be ill will but may be any motive other than good faith. A verdict was awarded for the plaintiff. </w:t>
            </w:r>
          </w:p>
        </w:tc>
        <w:tc>
          <w:tcPr>
            <w:tcW w:w="2841" w:type="dxa"/>
            <w:tcBorders/>
          </w:tcPr>
          <w:p>
            <w:pPr>
              <w:pStyle w:val="ListParagraph"/>
              <w:widowControl w:val="false"/>
              <w:suppressAutoHyphens w:val="true"/>
              <w:spacing w:before="0" w:after="200"/>
              <w:ind w:left="0" w:hanging="0"/>
              <w:jc w:val="left"/>
              <w:rPr>
                <w:rFonts w:ascii="Times New Roman" w:hAnsi="Times New Roman"/>
                <w:b w:val="false"/>
                <w:b w:val="false"/>
                <w:bCs w:val="false"/>
                <w:sz w:val="24"/>
                <w:szCs w:val="24"/>
              </w:rPr>
            </w:pPr>
            <w:r>
              <w:rPr>
                <w:rFonts w:ascii="Times New Roman" w:hAnsi="Times New Roman"/>
                <w:b w:val="false"/>
                <w:bCs w:val="false"/>
                <w:sz w:val="24"/>
                <w:szCs w:val="24"/>
              </w:rPr>
              <w:t>Rule Statement</w:t>
            </w:r>
          </w:p>
        </w:tc>
      </w:tr>
    </w:tbl>
    <w:p>
      <w:pPr>
        <w:pStyle w:val="Normal"/>
        <w:spacing w:before="0" w:after="200"/>
        <w:rPr>
          <w:rFonts w:ascii="Times New Roman" w:hAnsi="Times New Roman"/>
          <w:b/>
          <w:b/>
          <w:sz w:val="28"/>
          <w:szCs w:val="28"/>
        </w:rPr>
      </w:pPr>
      <w:r>
        <w:rPr>
          <w:rFonts w:ascii="Times New Roman" w:hAnsi="Times New Roman"/>
          <w:b/>
          <w:sz w:val="28"/>
          <w:szCs w:val="28"/>
        </w:rPr>
        <w:tab/>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nthropic-sans">
    <w:altName w:val="system-ui"/>
    <w:charset w:val="01"/>
    <w:family w:val="auto"/>
    <w:pitch w:val="default"/>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0643"/>
    <w:pPr>
      <w:widowControl/>
      <w:suppressAutoHyphens w:val="true"/>
      <w:bidi w:val="0"/>
      <w:spacing w:lineRule="auto" w:line="276" w:before="0" w:after="200"/>
      <w:jc w:val="left"/>
    </w:pPr>
    <w:rPr>
      <w:rFonts w:ascii="Calibri" w:hAnsi="Calibri" w:eastAsia="Calibri"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6419c7"/>
    <w:pPr>
      <w:ind w:left="720"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b62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55F1566C90444DA95190D80944321B" ma:contentTypeVersion="13" ma:contentTypeDescription="Create a new document." ma:contentTypeScope="" ma:versionID="ae4be2303c69ae92ed0ace33973dab81">
  <xsd:schema xmlns:xsd="http://www.w3.org/2001/XMLSchema" xmlns:xs="http://www.w3.org/2001/XMLSchema" xmlns:p="http://schemas.microsoft.com/office/2006/metadata/properties" xmlns:ns3="fa9ac6ae-8848-4781-8d91-7fafea72f5be" xmlns:ns4="1bdabcf1-1112-432f-be14-5a8ac83ab1b7" targetNamespace="http://schemas.microsoft.com/office/2006/metadata/properties" ma:root="true" ma:fieldsID="164c941e6c84598f9a7f20190bdc2bfb" ns3:_="" ns4:_="">
    <xsd:import namespace="fa9ac6ae-8848-4781-8d91-7fafea72f5be"/>
    <xsd:import namespace="1bdabcf1-1112-432f-be14-5a8ac83ab1b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ac6ae-8848-4781-8d91-7fafea72f5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dabcf1-1112-432f-be14-5a8ac83ab1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FBC340-113C-4A83-94CC-DD17AE10D5A2}">
  <ds:schemaRefs>
    <ds:schemaRef ds:uri="http://schemas.microsoft.com/sharepoint/v3/contenttype/forms"/>
  </ds:schemaRefs>
</ds:datastoreItem>
</file>

<file path=customXml/itemProps2.xml><?xml version="1.0" encoding="utf-8"?>
<ds:datastoreItem xmlns:ds="http://schemas.openxmlformats.org/officeDocument/2006/customXml" ds:itemID="{AF7EABE4-1DCB-476A-B462-29D0C6FFE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9ac6ae-8848-4781-8d91-7fafea72f5be"/>
    <ds:schemaRef ds:uri="1bdabcf1-1112-432f-be14-5a8ac83ab1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5EDE77-18E6-457A-B689-8AEEBD0C95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Application>LibreOffice/7.3.7.2$Linux_X86_64 LibreOffice_project/30$Build-2</Application>
  <AppVersion>15.0000</AppVersion>
  <DocSecurity>4</DocSecurity>
  <Pages>5</Pages>
  <Words>1095</Words>
  <Characters>5688</Characters>
  <CharactersWithSpaces>6750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2026-10-15T18:54:00Z</dcterms:created>
  <dc:creator>Selina</dc:creator>
  <dc:description/>
  <dc:language>en-US</dc:language>
  <cp:lastModifiedBy/>
  <dcterms:modified xsi:type="dcterms:W3CDTF">2026-10-22T20:13:52Z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0x0101003B55F1566C90444DA95190D80944321B</vt:lpwstr>
  </property>
</Properties>
</file>