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709eff0b567911d997e0acd5cbb90d3f_Targe" w:displacedByCustomXml="next"/>
    <w:bookmarkEnd w:id="0" w:displacedByCustomXml="next"/>
    <w:bookmarkStart w:id="1" w:name="co_document_1" w:displacedByCustomXml="next"/>
    <w:sdt>
      <w:sdtPr>
        <w:rPr>
          <w:kern w:val="2"/>
          <w:sz w:val="2"/>
          <w:szCs w:val="24"/>
        </w:rPr>
        <w:id w:val="-540287696"/>
        <w:docPartObj>
          <w:docPartGallery w:val="Cover Pages"/>
          <w:docPartUnique/>
        </w:docPartObj>
      </w:sdtPr>
      <w:sdtEndPr>
        <w:rPr>
          <w:rFonts w:ascii="Arial" w:hAnsi="Arial"/>
          <w:b/>
          <w:color w:val="555555"/>
          <w:sz w:val="18"/>
        </w:rPr>
      </w:sdtEndPr>
      <w:sdtContent>
        <w:p w14:paraId="036F48A5" w14:textId="5837CDFD" w:rsidR="000A4B4F" w:rsidRDefault="000A4B4F">
          <w:pPr>
            <w:pStyle w:val="NoSpacing"/>
            <w:rPr>
              <w:sz w:val="2"/>
            </w:rPr>
          </w:pPr>
        </w:p>
        <w:p w14:paraId="5F429497" w14:textId="4C9BA880" w:rsidR="000A4B4F" w:rsidRDefault="000A4B4F">
          <w:r>
            <w:rPr>
              <w:noProof/>
            </w:rPr>
            <mc:AlternateContent>
              <mc:Choice Requires="wps">
                <w:drawing>
                  <wp:anchor distT="0" distB="0" distL="114300" distR="114300" simplePos="0" relativeHeight="251661312" behindDoc="0" locked="0" layoutInCell="1" allowOverlap="1" wp14:anchorId="141E8C8A" wp14:editId="43FB7A05">
                    <wp:simplePos x="0" y="0"/>
                    <wp:positionH relativeFrom="page">
                      <wp:align>center</wp:align>
                    </wp:positionH>
                    <wp:positionV relativeFrom="margin">
                      <wp:align>top</wp:align>
                    </wp:positionV>
                    <wp:extent cx="5946140" cy="4244975"/>
                    <wp:effectExtent l="0" t="0" r="0" b="0"/>
                    <wp:wrapNone/>
                    <wp:docPr id="447766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424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F133B7" w14:textId="117CE59C" w:rsidR="000A4B4F" w:rsidRPr="000A4B4F" w:rsidRDefault="000A4B4F" w:rsidP="000A4B4F">
                                <w:pPr>
                                  <w:pStyle w:val="NoSpacing"/>
                                  <w:rPr>
                                    <w:rFonts w:asciiTheme="majorHAnsi" w:eastAsiaTheme="majorEastAsia" w:hAnsiTheme="majorHAnsi" w:cstheme="majorBidi"/>
                                    <w:caps/>
                                    <w:color w:val="2C7FCE" w:themeColor="text2" w:themeTint="99"/>
                                    <w:sz w:val="68"/>
                                    <w:szCs w:val="68"/>
                                  </w:rPr>
                                </w:pPr>
                              </w:p>
                              <w:p w14:paraId="5E7621E1" w14:textId="30921988" w:rsidR="000A4B4F" w:rsidRDefault="000A4B4F" w:rsidP="000A4B4F">
                                <w:pPr>
                                  <w:spacing w:after="0"/>
                                </w:pPr>
                                <w:r>
                                  <w:t>To: Associate</w:t>
                                </w:r>
                              </w:p>
                              <w:p w14:paraId="3C006CB4" w14:textId="64A664CE" w:rsidR="000A4B4F" w:rsidRDefault="000A4B4F" w:rsidP="000A4B4F">
                                <w:pPr>
                                  <w:spacing w:after="0"/>
                                </w:pPr>
                                <w:r>
                                  <w:t>From: Lizbeth Casco</w:t>
                                </w:r>
                              </w:p>
                              <w:p w14:paraId="1AF4FB3F" w14:textId="2EADF8B6" w:rsidR="000A4B4F" w:rsidRDefault="000A4B4F" w:rsidP="000A4B4F">
                                <w:pPr>
                                  <w:spacing w:after="0"/>
                                </w:pPr>
                                <w:r>
                                  <w:t>Date: September 1</w:t>
                                </w:r>
                                <w:r w:rsidR="00E65523">
                                  <w:t>5</w:t>
                                </w:r>
                                <w:r>
                                  <w:t>, 2026</w:t>
                                </w:r>
                              </w:p>
                              <w:p w14:paraId="030C3E02" w14:textId="60074317" w:rsidR="000A4B4F" w:rsidRDefault="000A4B4F" w:rsidP="000A4B4F">
                                <w:pPr>
                                  <w:spacing w:after="0"/>
                                </w:pPr>
                                <w:r>
                                  <w:t>Subject: New Case to Consider for the Memo Discussion</w:t>
                                </w:r>
                              </w:p>
                              <w:p w14:paraId="07B3824F" w14:textId="77777777" w:rsidR="000A4B4F" w:rsidRDefault="000A4B4F" w:rsidP="000A4B4F">
                                <w:pPr>
                                  <w:spacing w:after="0"/>
                                </w:pPr>
                              </w:p>
                              <w:p w14:paraId="0C9AD14B" w14:textId="625E54BA" w:rsidR="000A4B4F" w:rsidRDefault="000A4B4F" w:rsidP="000A4B4F">
                                <w:r>
                                  <w:t>Hi Associate,</w:t>
                                </w:r>
                              </w:p>
                              <w:p w14:paraId="22554C63" w14:textId="235EE66C" w:rsidR="000A4B4F" w:rsidRDefault="000A4B4F" w:rsidP="000A4B4F">
                                <w:r>
                                  <w:t>Thank you for all your work on the memo so far;</w:t>
                                </w:r>
                                <w:r w:rsidR="00EE4228">
                                  <w:t xml:space="preserve"> </w:t>
                                </w:r>
                                <w:r>
                                  <w:t>I appreciate the effort you've put in.</w:t>
                                </w:r>
                              </w:p>
                              <w:p w14:paraId="2FCACC38" w14:textId="3B9A5EB4" w:rsidR="000A4B4F" w:rsidRDefault="000A4B4F" w:rsidP="000A4B4F">
                                <w:r>
                                  <w:t xml:space="preserve">I came across a case I think could be useful as you continue drafting the discussion section: </w:t>
                                </w:r>
                                <w:r w:rsidRPr="000A4B4F">
                                  <w:rPr>
                                    <w:i/>
                                    <w:iCs/>
                                  </w:rPr>
                                  <w:t>Edick v. Poznanski</w:t>
                                </w:r>
                                <w:r>
                                  <w:t xml:space="preserve">, 6 F. Supp. 2d 666, 670 (W.D. Mich. 1998). It's not binding authority, but it may offer some persuasive </w:t>
                                </w:r>
                                <w:proofErr w:type="gramStart"/>
                                <w:r>
                                  <w:t>value</w:t>
                                </w:r>
                                <w:proofErr w:type="gramEnd"/>
                                <w:r>
                                  <w:t xml:space="preserve"> so I wanted to flag it for you to review and consider incorporating.</w:t>
                                </w:r>
                              </w:p>
                              <w:p w14:paraId="0AE4199D" w14:textId="2C2FF928" w:rsidR="000A4B4F" w:rsidRDefault="000A4B4F" w:rsidP="000A4B4F">
                                <w:r>
                                  <w:t>Let me know if you have any questions.</w:t>
                                </w:r>
                              </w:p>
                              <w:p w14:paraId="7283657C" w14:textId="77777777" w:rsidR="000A4B4F" w:rsidRDefault="000A4B4F" w:rsidP="000A4B4F">
                                <w:r>
                                  <w:t>Best,</w:t>
                                </w:r>
                              </w:p>
                              <w:p w14:paraId="6759D4A9" w14:textId="35D92D13" w:rsidR="000A4B4F" w:rsidRDefault="000A4B4F" w:rsidP="000A4B4F">
                                <w:r>
                                  <w:t>Lizbeth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page">
                      <wp14:pctHeight>0</wp14:pctHeight>
                    </wp14:sizeRelV>
                  </wp:anchor>
                </w:drawing>
              </mc:Choice>
              <mc:Fallback>
                <w:pict>
                  <v:shapetype w14:anchorId="141E8C8A" id="_x0000_t202" coordsize="21600,21600" o:spt="202" path="m,l,21600r21600,l21600,xe">
                    <v:stroke joinstyle="miter"/>
                    <v:path gradientshapeok="t" o:connecttype="rect"/>
                  </v:shapetype>
                  <v:shape id="Text Box 5" o:spid="_x0000_s1026" type="#_x0000_t202" style="position:absolute;margin-left:0;margin-top:0;width:468.2pt;height:334.25pt;z-index:251661312;visibility:visible;mso-wrap-style:square;mso-width-percent:765;mso-height-percent:0;mso-wrap-distance-left:9pt;mso-wrap-distance-top:0;mso-wrap-distance-right:9pt;mso-wrap-distance-bottom:0;mso-position-horizontal:center;mso-position-horizontal-relative:page;mso-position-vertical:top;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" filled="f" stroked="f" strokeweight=".5pt">
                    <v:textbox style="mso-fit-shape-to-text:t">
                      <w:txbxContent>
                        <w:p w14:paraId="53F133B7" w14:textId="117CE59C" w:rsidR="000A4B4F" w:rsidRPr="000A4B4F" w:rsidRDefault="000A4B4F" w:rsidP="000A4B4F">
                          <w:pPr>
                            <w:pStyle w:val="NoSpacing"/>
                            <w:rPr>
                              <w:rFonts w:asciiTheme="majorHAnsi" w:eastAsiaTheme="majorEastAsia" w:hAnsiTheme="majorHAnsi" w:cstheme="majorBidi"/>
                              <w:caps/>
                              <w:color w:val="2C7FCE" w:themeColor="text2" w:themeTint="99"/>
                              <w:sz w:val="68"/>
                              <w:szCs w:val="68"/>
                            </w:rPr>
                          </w:pPr>
                        </w:p>
                        <w:p w14:paraId="5E7621E1" w14:textId="30921988" w:rsidR="000A4B4F" w:rsidRDefault="000A4B4F" w:rsidP="000A4B4F">
                          <w:pPr>
                            <w:spacing w:after="0"/>
                          </w:pPr>
                          <w:r>
                            <w:t>To: Associate</w:t>
                          </w:r>
                        </w:p>
                        <w:p w14:paraId="3C006CB4" w14:textId="64A664CE" w:rsidR="000A4B4F" w:rsidRDefault="000A4B4F" w:rsidP="000A4B4F">
                          <w:pPr>
                            <w:spacing w:after="0"/>
                          </w:pPr>
                          <w:r>
                            <w:t>From: Lizbeth Casco</w:t>
                          </w:r>
                        </w:p>
                        <w:p w14:paraId="1AF4FB3F" w14:textId="2EADF8B6" w:rsidR="000A4B4F" w:rsidRDefault="000A4B4F" w:rsidP="000A4B4F">
                          <w:pPr>
                            <w:spacing w:after="0"/>
                          </w:pPr>
                          <w:r>
                            <w:t>Date: September 1</w:t>
                          </w:r>
                          <w:r w:rsidR="00E65523">
                            <w:t>5</w:t>
                          </w:r>
                          <w:r>
                            <w:t>, 2026</w:t>
                          </w:r>
                        </w:p>
                        <w:p w14:paraId="030C3E02" w14:textId="60074317" w:rsidR="000A4B4F" w:rsidRDefault="000A4B4F" w:rsidP="000A4B4F">
                          <w:pPr>
                            <w:spacing w:after="0"/>
                          </w:pPr>
                          <w:r>
                            <w:t>Subject: New Case to Consider for the Memo Discussion</w:t>
                          </w:r>
                        </w:p>
                        <w:p w14:paraId="07B3824F" w14:textId="77777777" w:rsidR="000A4B4F" w:rsidRDefault="000A4B4F" w:rsidP="000A4B4F">
                          <w:pPr>
                            <w:spacing w:after="0"/>
                          </w:pPr>
                        </w:p>
                        <w:p w14:paraId="0C9AD14B" w14:textId="625E54BA" w:rsidR="000A4B4F" w:rsidRDefault="000A4B4F" w:rsidP="000A4B4F">
                          <w:r>
                            <w:t>Hi Associate,</w:t>
                          </w:r>
                        </w:p>
                        <w:p w14:paraId="22554C63" w14:textId="235EE66C" w:rsidR="000A4B4F" w:rsidRDefault="000A4B4F" w:rsidP="000A4B4F">
                          <w:r>
                            <w:t>Thank you for all your work on the memo so far;</w:t>
                          </w:r>
                          <w:r w:rsidR="00EE4228">
                            <w:t xml:space="preserve"> </w:t>
                          </w:r>
                          <w:r>
                            <w:t>I appreciate the effort you've put in.</w:t>
                          </w:r>
                        </w:p>
                        <w:p w14:paraId="2FCACC38" w14:textId="3B9A5EB4" w:rsidR="000A4B4F" w:rsidRDefault="000A4B4F" w:rsidP="000A4B4F">
                          <w:r>
                            <w:t xml:space="preserve">I came across a case I think could be useful as you continue drafting the discussion section: </w:t>
                          </w:r>
                          <w:r w:rsidRPr="000A4B4F">
                            <w:rPr>
                              <w:i/>
                              <w:iCs/>
                            </w:rPr>
                            <w:t>Edick v. Poznanski</w:t>
                          </w:r>
                          <w:r>
                            <w:t xml:space="preserve">, 6 F. Supp. 2d 666, 670 (W.D. Mich. 1998). It's not binding authority, but it may offer some persuasive </w:t>
                          </w:r>
                          <w:proofErr w:type="gramStart"/>
                          <w:r>
                            <w:t>value</w:t>
                          </w:r>
                          <w:proofErr w:type="gramEnd"/>
                          <w:r>
                            <w:t xml:space="preserve"> so I wanted to flag it for you to review and consider incorporating.</w:t>
                          </w:r>
                        </w:p>
                        <w:p w14:paraId="0AE4199D" w14:textId="2C2FF928" w:rsidR="000A4B4F" w:rsidRDefault="000A4B4F" w:rsidP="000A4B4F">
                          <w:r>
                            <w:t>Let me know if you have any questions.</w:t>
                          </w:r>
                        </w:p>
                        <w:p w14:paraId="7283657C" w14:textId="77777777" w:rsidR="000A4B4F" w:rsidRDefault="000A4B4F" w:rsidP="000A4B4F">
                          <w:r>
                            <w:t>Best,</w:t>
                          </w:r>
                        </w:p>
                        <w:p w14:paraId="6759D4A9" w14:textId="35D92D13" w:rsidR="000A4B4F" w:rsidRDefault="000A4B4F" w:rsidP="000A4B4F">
                          <w:r>
                            <w:t>Lizbeth</w:t>
                          </w:r>
                        </w:p>
                      </w:txbxContent>
                    </v:textbox>
                    <w10:wrap anchorx="page" anchory="margin"/>
                  </v:shape>
                </w:pict>
              </mc:Fallback>
            </mc:AlternateContent>
          </w:r>
          <w:r>
            <w:rPr>
              <w:noProof/>
            </w:rPr>
            <mc:AlternateContent>
              <mc:Choice Requires="wps">
                <w:drawing>
                  <wp:anchor distT="0" distB="0" distL="114300" distR="114300" simplePos="0" relativeHeight="251659264" behindDoc="0" locked="0" layoutInCell="1" allowOverlap="1" wp14:anchorId="627B75F4" wp14:editId="0A9C25B2">
                    <wp:simplePos x="0" y="0"/>
                    <wp:positionH relativeFrom="page">
                      <wp:align>center</wp:align>
                    </wp:positionH>
                    <wp:positionV relativeFrom="margin">
                      <wp:align>bottom</wp:align>
                    </wp:positionV>
                    <wp:extent cx="5946140" cy="278765"/>
                    <wp:effectExtent l="0" t="0" r="0" b="0"/>
                    <wp:wrapNone/>
                    <wp:docPr id="21200574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78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230226" w14:textId="2B3ECADA" w:rsidR="000A4B4F" w:rsidRDefault="00EA2753" w:rsidP="000A4B4F">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0A4B4F">
                                      <w:rPr>
                                        <w:color w:val="156082" w:themeColor="accent1"/>
                                        <w:sz w:val="36"/>
                                        <w:szCs w:val="3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27B75F4" id="Text Box 1" o:spid="_x0000_s1027" type="#_x0000_t202" style="position:absolute;margin-left:0;margin-top:0;width:468.2pt;height:21.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" filled="f" stroked="f" strokeweight=".5pt">
                    <v:textbox style="mso-fit-shape-to-text:t" inset="0,0,0,0">
                      <w:txbxContent>
                        <w:p w14:paraId="59230226" w14:textId="2B3ECADA" w:rsidR="000A4B4F" w:rsidRDefault="00EA2753" w:rsidP="000A4B4F">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0A4B4F">
                                <w:rPr>
                                  <w:color w:val="156082" w:themeColor="accent1"/>
                                  <w:sz w:val="36"/>
                                  <w:szCs w:val="36"/>
                                </w:rPr>
                                <w:t xml:space="preserve">     </w:t>
                              </w:r>
                            </w:sdtContent>
                          </w:sdt>
                        </w:p>
                      </w:txbxContent>
                    </v:textbox>
                    <w10:wrap anchorx="page" anchory="margin"/>
                  </v:shape>
                </w:pict>
              </mc:Fallback>
            </mc:AlternateContent>
          </w:r>
        </w:p>
        <w:p w14:paraId="4BB09E27" w14:textId="1F7EA2C9" w:rsidR="000A4B4F" w:rsidRDefault="000A4B4F">
          <w:pPr>
            <w:rPr>
              <w:rFonts w:ascii="Arial" w:hAnsi="Arial"/>
              <w:b/>
              <w:color w:val="555555"/>
              <w:sz w:val="18"/>
            </w:rPr>
          </w:pPr>
          <w:r>
            <w:rPr>
              <w:rFonts w:ascii="Arial" w:hAnsi="Arial"/>
              <w:b/>
              <w:color w:val="555555"/>
              <w:sz w:val="18"/>
            </w:rPr>
            <w:br w:type="page"/>
          </w:r>
        </w:p>
      </w:sdtContent>
    </w:sdt>
    <w:p w14:paraId="44F7F1CF" w14:textId="77777777" w:rsidR="00D00D35" w:rsidRDefault="00D00D35">
      <w:pPr>
        <w:pBdr>
          <w:top w:val="none" w:sz="0" w:space="4" w:color="auto"/>
        </w:pBdr>
        <w:spacing w:after="0" w:line="275" w:lineRule="atLeast"/>
        <w:jc w:val="both"/>
      </w:pPr>
    </w:p>
    <w:bookmarkEnd w:id="1"/>
    <w:p w14:paraId="51B0153C" w14:textId="77777777" w:rsidR="00D00D35" w:rsidRDefault="001566AC">
      <w:pPr>
        <w:spacing w:after="0" w:line="275" w:lineRule="atLeast"/>
        <w:jc w:val="center"/>
      </w:pPr>
      <w:r>
        <w:rPr>
          <w:rFonts w:ascii="Georgia" w:hAnsi="Georgia"/>
          <w:color w:val="1F1F1F"/>
          <w:sz w:val="20"/>
        </w:rPr>
        <w:t>6 F.Supp.2d 666</w:t>
      </w:r>
    </w:p>
    <w:p w14:paraId="6B2B7B2E" w14:textId="77777777" w:rsidR="00D00D35" w:rsidRDefault="001566AC">
      <w:pPr>
        <w:spacing w:after="0" w:line="275" w:lineRule="atLeast"/>
        <w:jc w:val="center"/>
      </w:pPr>
      <w:r>
        <w:rPr>
          <w:rFonts w:ascii="Georgia" w:hAnsi="Georgia"/>
          <w:color w:val="1F1F1F"/>
          <w:sz w:val="20"/>
        </w:rPr>
        <w:t>United States District Court,</w:t>
      </w:r>
    </w:p>
    <w:p w14:paraId="7E21927C" w14:textId="77777777" w:rsidR="00D00D35" w:rsidRDefault="001566AC">
      <w:pPr>
        <w:spacing w:after="0" w:line="275" w:lineRule="atLeast"/>
        <w:jc w:val="center"/>
      </w:pPr>
      <w:r>
        <w:rPr>
          <w:rFonts w:ascii="Georgia" w:hAnsi="Georgia"/>
          <w:color w:val="1F1F1F"/>
          <w:sz w:val="20"/>
        </w:rPr>
        <w:t>W.D. Michigan,</w:t>
      </w:r>
    </w:p>
    <w:p w14:paraId="68FDAC22" w14:textId="77777777" w:rsidR="00D00D35" w:rsidRDefault="001566AC">
      <w:pPr>
        <w:spacing w:after="0" w:line="275" w:lineRule="atLeast"/>
        <w:jc w:val="center"/>
      </w:pPr>
      <w:r>
        <w:rPr>
          <w:rFonts w:ascii="Georgia" w:hAnsi="Georgia"/>
          <w:color w:val="1F1F1F"/>
          <w:sz w:val="20"/>
        </w:rPr>
        <w:t>Southern Division.</w:t>
      </w:r>
    </w:p>
    <w:p w14:paraId="66C195C0" w14:textId="77777777" w:rsidR="00D00D35" w:rsidRDefault="001566AC">
      <w:pPr>
        <w:spacing w:before="240" w:after="0" w:line="312" w:lineRule="auto"/>
        <w:ind w:left="120" w:right="120"/>
        <w:jc w:val="center"/>
      </w:pPr>
      <w:r>
        <w:rPr>
          <w:rFonts w:ascii="Georgia" w:hAnsi="Georgia"/>
          <w:color w:val="212121"/>
        </w:rPr>
        <w:t>David G. EDICK, Plaintiff,</w:t>
      </w:r>
    </w:p>
    <w:p w14:paraId="2B9ADB31" w14:textId="77777777" w:rsidR="00D00D35" w:rsidRDefault="001566AC">
      <w:pPr>
        <w:spacing w:after="0" w:line="312" w:lineRule="auto"/>
        <w:ind w:left="120" w:right="120"/>
        <w:jc w:val="center"/>
      </w:pPr>
      <w:r>
        <w:rPr>
          <w:rFonts w:ascii="Georgia" w:hAnsi="Georgia"/>
          <w:color w:val="212121"/>
        </w:rPr>
        <w:t>v.</w:t>
      </w:r>
    </w:p>
    <w:p w14:paraId="6ED7A49D" w14:textId="77777777" w:rsidR="00D00D35" w:rsidRDefault="001566AC">
      <w:pPr>
        <w:spacing w:after="0" w:line="312" w:lineRule="auto"/>
        <w:ind w:left="120" w:right="120"/>
        <w:jc w:val="center"/>
      </w:pPr>
      <w:r>
        <w:rPr>
          <w:rFonts w:ascii="Georgia" w:hAnsi="Georgia"/>
          <w:color w:val="212121"/>
        </w:rPr>
        <w:t>Dr. Elva POZNANSKI, Defendant.</w:t>
      </w:r>
    </w:p>
    <w:p w14:paraId="61D3159E" w14:textId="77777777" w:rsidR="00D00D35" w:rsidRDefault="001566AC">
      <w:pPr>
        <w:pBdr>
          <w:left w:val="none" w:sz="0" w:space="8" w:color="auto"/>
        </w:pBdr>
        <w:spacing w:before="240" w:after="0" w:line="275" w:lineRule="atLeast"/>
        <w:ind w:left="150"/>
        <w:jc w:val="center"/>
      </w:pPr>
      <w:r>
        <w:rPr>
          <w:rFonts w:ascii="Georgia" w:hAnsi="Georgia"/>
          <w:color w:val="1F1F1F"/>
          <w:sz w:val="20"/>
        </w:rPr>
        <w:t>No. 5:97 CV 52.</w:t>
      </w:r>
    </w:p>
    <w:p w14:paraId="79F12E87" w14:textId="77777777" w:rsidR="00D00D35" w:rsidRDefault="001566AC">
      <w:pPr>
        <w:pBdr>
          <w:left w:val="none" w:sz="0" w:space="8" w:color="auto"/>
        </w:pBdr>
        <w:spacing w:after="0" w:line="275" w:lineRule="atLeast"/>
        <w:ind w:left="150"/>
        <w:jc w:val="center"/>
      </w:pPr>
      <w:r>
        <w:rPr>
          <w:rFonts w:ascii="Georgia" w:hAnsi="Georgia"/>
          <w:color w:val="1F1F1F"/>
          <w:sz w:val="20"/>
        </w:rPr>
        <w:t>|</w:t>
      </w:r>
    </w:p>
    <w:p w14:paraId="3492F2F8" w14:textId="77777777" w:rsidR="00D00D35" w:rsidRDefault="001566AC">
      <w:pPr>
        <w:pBdr>
          <w:left w:val="none" w:sz="0" w:space="8" w:color="auto"/>
        </w:pBdr>
        <w:spacing w:after="0" w:line="275" w:lineRule="atLeast"/>
        <w:ind w:left="150"/>
        <w:jc w:val="center"/>
      </w:pPr>
      <w:r>
        <w:rPr>
          <w:rFonts w:ascii="Georgia" w:hAnsi="Georgia"/>
          <w:color w:val="1F1F1F"/>
          <w:sz w:val="20"/>
        </w:rPr>
        <w:t>Feb. 24, 1998.</w:t>
      </w:r>
    </w:p>
    <w:p w14:paraId="047FECBD" w14:textId="77777777" w:rsidR="00D00D35" w:rsidRDefault="001566AC">
      <w:pPr>
        <w:keepNext/>
        <w:keepLines/>
        <w:spacing w:before="600" w:after="0" w:line="275" w:lineRule="atLeast"/>
        <w:jc w:val="both"/>
      </w:pPr>
      <w:bookmarkStart w:id="2" w:name="co_synopsis_1"/>
      <w:r>
        <w:rPr>
          <w:rFonts w:ascii="Times New Roman" w:hAnsi="Times New Roman"/>
          <w:b/>
          <w:color w:val="212121"/>
          <w:sz w:val="20"/>
        </w:rPr>
        <w:t>Synopsis</w:t>
      </w:r>
    </w:p>
    <w:bookmarkEnd w:id="2"/>
    <w:p w14:paraId="3AA9BD91" w14:textId="77777777" w:rsidR="00D00D35" w:rsidRDefault="001566AC">
      <w:pPr>
        <w:spacing w:after="0" w:line="275" w:lineRule="atLeast"/>
        <w:jc w:val="both"/>
      </w:pPr>
      <w:r>
        <w:rPr>
          <w:rFonts w:ascii="Times New Roman" w:hAnsi="Times New Roman"/>
          <w:color w:val="1F1F1F"/>
          <w:sz w:val="20"/>
        </w:rPr>
        <w:t xml:space="preserve">Michigan </w:t>
      </w:r>
      <w:proofErr w:type="gramStart"/>
      <w:r>
        <w:rPr>
          <w:rFonts w:ascii="Times New Roman" w:hAnsi="Times New Roman"/>
          <w:color w:val="1F1F1F"/>
          <w:sz w:val="20"/>
        </w:rPr>
        <w:t>citizen</w:t>
      </w:r>
      <w:proofErr w:type="gramEnd"/>
      <w:r>
        <w:rPr>
          <w:rFonts w:ascii="Times New Roman" w:hAnsi="Times New Roman"/>
          <w:color w:val="1F1F1F"/>
          <w:sz w:val="20"/>
        </w:rPr>
        <w:t xml:space="preserve"> brought action against </w:t>
      </w:r>
      <w:proofErr w:type="gramStart"/>
      <w:r>
        <w:rPr>
          <w:rFonts w:ascii="Times New Roman" w:hAnsi="Times New Roman"/>
          <w:color w:val="1F1F1F"/>
          <w:sz w:val="20"/>
        </w:rPr>
        <w:t>psychiatrist</w:t>
      </w:r>
      <w:proofErr w:type="gramEnd"/>
      <w:r>
        <w:rPr>
          <w:rFonts w:ascii="Times New Roman" w:hAnsi="Times New Roman"/>
          <w:color w:val="1F1F1F"/>
          <w:sz w:val="20"/>
        </w:rPr>
        <w:t xml:space="preserve">, alleging jurisdiction based on diversity of citizenship. Psychiatrist moved to dismiss for lack of jurisdiction. The District Court, </w:t>
      </w:r>
      <w:hyperlink r:id="rId6">
        <w:r>
          <w:rPr>
            <w:rFonts w:ascii="Times New Roman" w:hAnsi="Times New Roman"/>
            <w:color w:val="1F1F1F"/>
            <w:sz w:val="20"/>
          </w:rPr>
          <w:t>Enslen</w:t>
        </w:r>
      </w:hyperlink>
      <w:r>
        <w:rPr>
          <w:rFonts w:ascii="Times New Roman" w:hAnsi="Times New Roman"/>
          <w:color w:val="1F1F1F"/>
          <w:sz w:val="20"/>
        </w:rPr>
        <w:t>, Chief Judge, held that diversity jurisdiction did not exist, even though psychiatrist maintained a residence in Illinois, as she maintained another home in Michigan and took actions indicating intent to change domicile to Michigan.</w:t>
      </w:r>
    </w:p>
    <w:p w14:paraId="1CDA3247" w14:textId="77777777" w:rsidR="00D00D35" w:rsidRDefault="001566AC">
      <w:pPr>
        <w:spacing w:after="0" w:line="275" w:lineRule="atLeast"/>
        <w:jc w:val="both"/>
      </w:pPr>
      <w:r>
        <w:rPr>
          <w:rFonts w:ascii="Times New Roman" w:hAnsi="Times New Roman"/>
          <w:color w:val="1F1F1F"/>
          <w:sz w:val="20"/>
        </w:rPr>
        <w:t> </w:t>
      </w:r>
    </w:p>
    <w:p w14:paraId="79C79605" w14:textId="77777777" w:rsidR="00D00D35" w:rsidRDefault="001566AC">
      <w:pPr>
        <w:spacing w:after="0" w:line="275" w:lineRule="atLeast"/>
        <w:jc w:val="both"/>
      </w:pPr>
      <w:r>
        <w:rPr>
          <w:rFonts w:ascii="Times New Roman" w:hAnsi="Times New Roman"/>
          <w:color w:val="1F1F1F"/>
          <w:sz w:val="20"/>
        </w:rPr>
        <w:t>Motion granted.</w:t>
      </w:r>
    </w:p>
    <w:p w14:paraId="78D341E9" w14:textId="77777777" w:rsidR="00D00D35" w:rsidRDefault="001566AC">
      <w:pPr>
        <w:spacing w:after="0" w:line="275" w:lineRule="atLeast"/>
        <w:jc w:val="both"/>
      </w:pPr>
      <w:r>
        <w:rPr>
          <w:rFonts w:ascii="Times New Roman" w:hAnsi="Times New Roman"/>
          <w:color w:val="1F1F1F"/>
          <w:sz w:val="20"/>
        </w:rPr>
        <w:t> </w:t>
      </w:r>
    </w:p>
    <w:p w14:paraId="5B9490D6" w14:textId="77777777" w:rsidR="00D00D35" w:rsidRDefault="001566AC">
      <w:pPr>
        <w:spacing w:after="0" w:line="275" w:lineRule="atLeast"/>
        <w:jc w:val="both"/>
      </w:pPr>
      <w:r>
        <w:rPr>
          <w:rFonts w:ascii="Times New Roman" w:hAnsi="Times New Roman"/>
          <w:b/>
          <w:color w:val="1F1F1F"/>
          <w:sz w:val="20"/>
        </w:rPr>
        <w:t>Procedural Posture(s):</w:t>
      </w:r>
      <w:r>
        <w:rPr>
          <w:rFonts w:ascii="Times New Roman" w:hAnsi="Times New Roman"/>
          <w:color w:val="1F1F1F"/>
          <w:sz w:val="20"/>
        </w:rPr>
        <w:t xml:space="preserve"> Motion to Dismiss.</w:t>
      </w:r>
    </w:p>
    <w:p w14:paraId="6D85520F" w14:textId="77777777" w:rsidR="00D00D35" w:rsidRDefault="001566AC">
      <w:pPr>
        <w:keepNext/>
        <w:keepLines/>
        <w:spacing w:before="200" w:after="0" w:line="275" w:lineRule="atLeast"/>
        <w:jc w:val="both"/>
      </w:pPr>
      <w:bookmarkStart w:id="3" w:name="co_attorneysAndLawFirms_1"/>
      <w:r>
        <w:rPr>
          <w:rFonts w:ascii="Times New Roman" w:hAnsi="Times New Roman"/>
          <w:b/>
          <w:color w:val="212121"/>
          <w:sz w:val="20"/>
        </w:rPr>
        <w:t>Attorneys and Law Firms</w:t>
      </w:r>
    </w:p>
    <w:p w14:paraId="2EA9EE01" w14:textId="77777777" w:rsidR="00D00D35" w:rsidRDefault="001566AC">
      <w:pPr>
        <w:spacing w:before="200" w:after="0" w:line="275" w:lineRule="atLeast"/>
        <w:jc w:val="both"/>
      </w:pPr>
      <w:bookmarkStart w:id="4" w:name="co_pp_sp_4637_667_1"/>
      <w:bookmarkEnd w:id="3"/>
      <w:r>
        <w:rPr>
          <w:rFonts w:ascii="Times New Roman" w:hAnsi="Times New Roman"/>
          <w:b/>
          <w:color w:val="000000"/>
          <w:sz w:val="20"/>
        </w:rPr>
        <w:t>*667</w:t>
      </w:r>
      <w:bookmarkEnd w:id="4"/>
      <w:r>
        <w:rPr>
          <w:rFonts w:ascii="Times New Roman" w:hAnsi="Times New Roman"/>
          <w:color w:val="1F1F1F"/>
          <w:sz w:val="20"/>
        </w:rPr>
        <w:t xml:space="preserve"> </w:t>
      </w:r>
      <w:hyperlink r:id="rId7">
        <w:r>
          <w:rPr>
            <w:rFonts w:ascii="Times New Roman" w:hAnsi="Times New Roman"/>
            <w:color w:val="1F1F1F"/>
            <w:sz w:val="20"/>
          </w:rPr>
          <w:t>Shari L. Heddon</w:t>
        </w:r>
      </w:hyperlink>
      <w:r>
        <w:rPr>
          <w:rFonts w:ascii="Times New Roman" w:hAnsi="Times New Roman"/>
          <w:color w:val="1F1F1F"/>
          <w:sz w:val="20"/>
        </w:rPr>
        <w:t xml:space="preserve">, Burchfield, Park &amp; Heddon, Brighton, MI, </w:t>
      </w:r>
      <w:hyperlink r:id="rId8">
        <w:r>
          <w:rPr>
            <w:rFonts w:ascii="Times New Roman" w:hAnsi="Times New Roman"/>
            <w:color w:val="1F1F1F"/>
            <w:sz w:val="20"/>
          </w:rPr>
          <w:t>David G. Edick</w:t>
        </w:r>
      </w:hyperlink>
      <w:r>
        <w:rPr>
          <w:rFonts w:ascii="Times New Roman" w:hAnsi="Times New Roman"/>
          <w:color w:val="1F1F1F"/>
          <w:sz w:val="20"/>
        </w:rPr>
        <w:t>, Asst. Atty. General, East Lansing, MI, for Plaintiff.</w:t>
      </w:r>
    </w:p>
    <w:p w14:paraId="481C6D36" w14:textId="77777777" w:rsidR="00D00D35" w:rsidRDefault="001566AC">
      <w:pPr>
        <w:spacing w:before="200" w:after="0" w:line="275" w:lineRule="atLeast"/>
        <w:jc w:val="both"/>
      </w:pPr>
      <w:hyperlink r:id="rId9">
        <w:r>
          <w:rPr>
            <w:rFonts w:ascii="Times New Roman" w:hAnsi="Times New Roman"/>
            <w:color w:val="1F1F1F"/>
            <w:sz w:val="20"/>
          </w:rPr>
          <w:t>James L. Dalton, Jr.</w:t>
        </w:r>
      </w:hyperlink>
      <w:r>
        <w:rPr>
          <w:rFonts w:ascii="Times New Roman" w:hAnsi="Times New Roman"/>
          <w:color w:val="1F1F1F"/>
          <w:sz w:val="20"/>
        </w:rPr>
        <w:t xml:space="preserve">, Willingham &amp; Cote, PC, East Lansing, MI, </w:t>
      </w:r>
      <w:hyperlink r:id="rId10">
        <w:r>
          <w:rPr>
            <w:rFonts w:ascii="Times New Roman" w:hAnsi="Times New Roman"/>
            <w:color w:val="1F1F1F"/>
            <w:sz w:val="20"/>
          </w:rPr>
          <w:t>Richard P. Condit</w:t>
        </w:r>
      </w:hyperlink>
      <w:r>
        <w:rPr>
          <w:rFonts w:ascii="Times New Roman" w:hAnsi="Times New Roman"/>
          <w:color w:val="1F1F1F"/>
          <w:sz w:val="20"/>
        </w:rPr>
        <w:t>, Condit, McGarry &amp; Schloff, PC, Bloomfield Hills, MI, for Defendant.</w:t>
      </w:r>
    </w:p>
    <w:p w14:paraId="05968A16" w14:textId="77777777" w:rsidR="00D00D35" w:rsidRDefault="001566AC">
      <w:pPr>
        <w:spacing w:before="800" w:after="0" w:line="275" w:lineRule="atLeast"/>
        <w:jc w:val="both"/>
      </w:pPr>
      <w:bookmarkStart w:id="5" w:name="co_anchor_If0309775952711ea80afece792"/>
      <w:bookmarkStart w:id="6" w:name="co_anchor_If0309775952711ea80afece79915"/>
      <w:bookmarkStart w:id="7" w:name="co_anchor_If0309773952711ea80afece79915"/>
      <w:bookmarkStart w:id="8" w:name="co_opinion_1"/>
      <w:r>
        <w:rPr>
          <w:rFonts w:ascii="Times New Roman" w:hAnsi="Times New Roman"/>
          <w:b/>
          <w:i/>
          <w:color w:val="1F1F1F"/>
          <w:sz w:val="20"/>
        </w:rPr>
        <w:t>OPINION</w:t>
      </w:r>
    </w:p>
    <w:bookmarkEnd w:id="5"/>
    <w:bookmarkEnd w:id="6"/>
    <w:bookmarkEnd w:id="7"/>
    <w:bookmarkEnd w:id="8"/>
    <w:p w14:paraId="7B3C1CD2" w14:textId="77777777" w:rsidR="00D00D35" w:rsidRDefault="001566AC">
      <w:pPr>
        <w:spacing w:before="400" w:after="0" w:line="275" w:lineRule="atLeast"/>
        <w:jc w:val="both"/>
      </w:pPr>
      <w:r>
        <w:fldChar w:fldCharType="begin"/>
      </w:r>
      <w:r>
        <w:instrText>HYPERLINK "https://www.westlaw.com/Link/Document/FullText?findType=h&amp;pubNum=176284&amp;cite=0237073201&amp;originatingDoc=I709eff0b567911d997e0acd5cbb90d3f&amp;refType=RQ&amp;originationContext=document&amp;vr=3.0&amp;rs=cblt1.0&amp;transitionType=DocumentItem&amp;contextData=(sc.Default)" \h</w:instrText>
      </w:r>
      <w:r>
        <w:fldChar w:fldCharType="separate"/>
      </w:r>
      <w:r>
        <w:rPr>
          <w:rFonts w:ascii="Times New Roman" w:hAnsi="Times New Roman"/>
          <w:color w:val="1F1F1F"/>
          <w:sz w:val="20"/>
        </w:rPr>
        <w:t>ENSLEN</w:t>
      </w:r>
      <w:r>
        <w:fldChar w:fldCharType="end"/>
      </w:r>
      <w:r>
        <w:rPr>
          <w:rFonts w:ascii="Times New Roman" w:hAnsi="Times New Roman"/>
          <w:color w:val="1F1F1F"/>
          <w:sz w:val="20"/>
        </w:rPr>
        <w:t>, Chief Judge.</w:t>
      </w:r>
    </w:p>
    <w:p w14:paraId="4C2A9249" w14:textId="77777777" w:rsidR="00D00D35" w:rsidRDefault="001566AC">
      <w:pPr>
        <w:spacing w:before="200" w:after="0" w:line="275" w:lineRule="atLeast"/>
        <w:jc w:val="both"/>
      </w:pPr>
      <w:r>
        <w:rPr>
          <w:rFonts w:ascii="Times New Roman" w:hAnsi="Times New Roman"/>
          <w:color w:val="1F1F1F"/>
          <w:sz w:val="20"/>
        </w:rPr>
        <w:t>This matter is before the Court on Defendant Poznanski's Motion to Dismiss, filed July 3, 1997 (</w:t>
      </w:r>
      <w:proofErr w:type="spellStart"/>
      <w:proofErr w:type="gramStart"/>
      <w:r>
        <w:rPr>
          <w:rFonts w:ascii="Times New Roman" w:hAnsi="Times New Roman"/>
          <w:color w:val="1F1F1F"/>
          <w:sz w:val="20"/>
        </w:rPr>
        <w:t>Dkt</w:t>
      </w:r>
      <w:proofErr w:type="spellEnd"/>
      <w:r>
        <w:rPr>
          <w:rFonts w:ascii="Times New Roman" w:hAnsi="Times New Roman"/>
          <w:color w:val="1F1F1F"/>
          <w:sz w:val="20"/>
        </w:rPr>
        <w:t>.#</w:t>
      </w:r>
      <w:proofErr w:type="gramEnd"/>
      <w:r>
        <w:rPr>
          <w:rFonts w:ascii="Times New Roman" w:hAnsi="Times New Roman"/>
          <w:color w:val="1F1F1F"/>
          <w:sz w:val="20"/>
        </w:rPr>
        <w:t xml:space="preserve"> 17), pursuant to </w:t>
      </w:r>
      <w:hyperlink r:id="rId11">
        <w:r>
          <w:rPr>
            <w:rFonts w:ascii="Times New Roman" w:hAnsi="Times New Roman"/>
            <w:color w:val="1F1F1F"/>
            <w:sz w:val="20"/>
          </w:rPr>
          <w:t>Federal Rule of Civil Procedure 12(b)(1)</w:t>
        </w:r>
      </w:hyperlink>
      <w:r>
        <w:rPr>
          <w:rFonts w:ascii="Times New Roman" w:hAnsi="Times New Roman"/>
          <w:color w:val="1F1F1F"/>
          <w:sz w:val="20"/>
        </w:rPr>
        <w:t>. Defendant claims that this Court lacks jurisdiction over the subject matter because Defendant is not of diverse citizenship from Plaintiff. For the following reasons, Defendant's motion is granted.</w:t>
      </w:r>
    </w:p>
    <w:p w14:paraId="183AC6E0" w14:textId="77777777" w:rsidR="00D00D35" w:rsidRDefault="001566AC">
      <w:pPr>
        <w:spacing w:after="0" w:line="275" w:lineRule="atLeast"/>
        <w:jc w:val="both"/>
      </w:pPr>
      <w:r>
        <w:rPr>
          <w:rFonts w:ascii="Times New Roman" w:hAnsi="Times New Roman"/>
          <w:color w:val="1F1F1F"/>
          <w:sz w:val="20"/>
        </w:rPr>
        <w:t> </w:t>
      </w:r>
    </w:p>
    <w:p w14:paraId="21EC3660" w14:textId="77777777" w:rsidR="00D00D35" w:rsidRDefault="001566AC">
      <w:pPr>
        <w:spacing w:before="600" w:after="0" w:line="275" w:lineRule="atLeast"/>
        <w:jc w:val="both"/>
      </w:pPr>
      <w:bookmarkStart w:id="9" w:name="co_anchor_If0309776952711ea80afece792"/>
      <w:bookmarkStart w:id="10" w:name="co_anchor_If0309776952711ea80afece79915"/>
      <w:r>
        <w:rPr>
          <w:rFonts w:ascii="Times New Roman" w:hAnsi="Times New Roman"/>
          <w:b/>
          <w:color w:val="1F1F1F"/>
          <w:sz w:val="20"/>
        </w:rPr>
        <w:t>FACTS</w:t>
      </w:r>
    </w:p>
    <w:bookmarkEnd w:id="9"/>
    <w:bookmarkEnd w:id="10"/>
    <w:p w14:paraId="7DEEC0C9" w14:textId="77777777" w:rsidR="00D00D35" w:rsidRDefault="001566AC">
      <w:pPr>
        <w:spacing w:before="200" w:after="0" w:line="275" w:lineRule="atLeast"/>
        <w:jc w:val="both"/>
      </w:pPr>
      <w:r>
        <w:rPr>
          <w:rFonts w:ascii="Times New Roman" w:hAnsi="Times New Roman"/>
          <w:color w:val="1F1F1F"/>
          <w:sz w:val="20"/>
        </w:rPr>
        <w:t xml:space="preserve">On April 15, 1997, Plaintiff filed a complaint in this Court against Defendant alleging conspiracy to intentionally inflict emotional distress, defamation, and abuse of process. Plaintiff alleged jurisdiction based on diversity of citizenship, pursuant to </w:t>
      </w:r>
      <w:hyperlink r:id="rId12">
        <w:r>
          <w:rPr>
            <w:rFonts w:ascii="Times New Roman" w:hAnsi="Times New Roman"/>
            <w:color w:val="1F1F1F"/>
            <w:sz w:val="20"/>
          </w:rPr>
          <w:t>28 U.S.C. § 1332</w:t>
        </w:r>
      </w:hyperlink>
      <w:r>
        <w:rPr>
          <w:rFonts w:ascii="Times New Roman" w:hAnsi="Times New Roman"/>
          <w:color w:val="1F1F1F"/>
          <w:sz w:val="20"/>
        </w:rPr>
        <w:t xml:space="preserve">. Plaintiff stated that he was a citizen of Michigan and that Defendant was a citizen of Illinois at the time the complaint was filed. Defendant affirmatively denied that she was a citizen of </w:t>
      </w:r>
      <w:proofErr w:type="gramStart"/>
      <w:r>
        <w:rPr>
          <w:rFonts w:ascii="Times New Roman" w:hAnsi="Times New Roman"/>
          <w:color w:val="1F1F1F"/>
          <w:sz w:val="20"/>
        </w:rPr>
        <w:t>Illinois, and</w:t>
      </w:r>
      <w:proofErr w:type="gramEnd"/>
      <w:r>
        <w:rPr>
          <w:rFonts w:ascii="Times New Roman" w:hAnsi="Times New Roman"/>
          <w:color w:val="1F1F1F"/>
          <w:sz w:val="20"/>
        </w:rPr>
        <w:t xml:space="preserve"> stated that she was a citizen of Michigan when the complaint was filed.</w:t>
      </w:r>
    </w:p>
    <w:p w14:paraId="4B66DCE6" w14:textId="77777777" w:rsidR="00D00D35" w:rsidRDefault="001566AC">
      <w:pPr>
        <w:spacing w:after="0" w:line="275" w:lineRule="atLeast"/>
        <w:jc w:val="both"/>
      </w:pPr>
      <w:r>
        <w:rPr>
          <w:rFonts w:ascii="Times New Roman" w:hAnsi="Times New Roman"/>
          <w:color w:val="1F1F1F"/>
          <w:sz w:val="20"/>
        </w:rPr>
        <w:t> </w:t>
      </w:r>
    </w:p>
    <w:p w14:paraId="44354363" w14:textId="77777777" w:rsidR="00D00D35" w:rsidRDefault="001566AC">
      <w:pPr>
        <w:spacing w:after="0" w:line="275" w:lineRule="atLeast"/>
        <w:jc w:val="both"/>
      </w:pPr>
      <w:r>
        <w:rPr>
          <w:rFonts w:ascii="Times New Roman" w:hAnsi="Times New Roman"/>
          <w:color w:val="1F1F1F"/>
          <w:sz w:val="20"/>
        </w:rPr>
        <w:t xml:space="preserve">Defendant is a </w:t>
      </w:r>
      <w:proofErr w:type="gramStart"/>
      <w:r>
        <w:rPr>
          <w:rFonts w:ascii="Times New Roman" w:hAnsi="Times New Roman"/>
          <w:color w:val="1F1F1F"/>
          <w:sz w:val="20"/>
        </w:rPr>
        <w:t>board certified</w:t>
      </w:r>
      <w:proofErr w:type="gramEnd"/>
      <w:r>
        <w:rPr>
          <w:rFonts w:ascii="Times New Roman" w:hAnsi="Times New Roman"/>
          <w:color w:val="1F1F1F"/>
          <w:sz w:val="20"/>
        </w:rPr>
        <w:t xml:space="preserve"> psychiatrist, licensed in Michigan and Illinois, who has practiced in the specialty of child and adolescent psychiatry since 1962. Since 1984 Defendant has served as a professor in the Department of Psychiatry at Rush University Medical College in Chicago, Illinois and has served as Section Chief of the Child and Adolescent Psychiatry Department at Rush–Presbyterian–St. Luke's Medical Center in Chicago, Illinois.</w:t>
      </w:r>
    </w:p>
    <w:p w14:paraId="4A671304" w14:textId="77777777" w:rsidR="00D00D35" w:rsidRDefault="001566AC">
      <w:pPr>
        <w:spacing w:after="0" w:line="275" w:lineRule="atLeast"/>
        <w:jc w:val="both"/>
      </w:pPr>
      <w:r>
        <w:rPr>
          <w:rFonts w:ascii="Times New Roman" w:hAnsi="Times New Roman"/>
          <w:color w:val="1F1F1F"/>
          <w:sz w:val="20"/>
        </w:rPr>
        <w:t> </w:t>
      </w:r>
    </w:p>
    <w:p w14:paraId="6F51696D" w14:textId="77777777" w:rsidR="00D00D35" w:rsidRDefault="001566AC">
      <w:pPr>
        <w:spacing w:after="0" w:line="275" w:lineRule="atLeast"/>
        <w:jc w:val="both"/>
      </w:pPr>
      <w:r>
        <w:rPr>
          <w:rFonts w:ascii="Times New Roman" w:hAnsi="Times New Roman"/>
          <w:color w:val="1F1F1F"/>
          <w:sz w:val="20"/>
        </w:rPr>
        <w:t xml:space="preserve">Defendant first moved to Chicago in 1979. In 1985, Defendant purchased a condominium in Chicago. Defendant then purchased property in 1988 in New Buffalo, Michigan. In 1990, Defendant started building a house on the New Buffalo property. After the New Buffalo house was completed in 1991, Defendant began to use the house on weekends and live in Chicago during the work week. In approximately 1994, Defendant stated she formed an intention to change her domicile from Chicago, Illinois to New Buffalo, Michigan. Defendant began to scale back her work hours in preparation </w:t>
      </w:r>
      <w:proofErr w:type="gramStart"/>
      <w:r>
        <w:rPr>
          <w:rFonts w:ascii="Times New Roman" w:hAnsi="Times New Roman"/>
          <w:color w:val="1F1F1F"/>
          <w:sz w:val="20"/>
        </w:rPr>
        <w:t>of</w:t>
      </w:r>
      <w:proofErr w:type="gramEnd"/>
      <w:r>
        <w:rPr>
          <w:rFonts w:ascii="Times New Roman" w:hAnsi="Times New Roman"/>
          <w:color w:val="1F1F1F"/>
          <w:sz w:val="20"/>
        </w:rPr>
        <w:t xml:space="preserve"> her retirement </w:t>
      </w:r>
      <w:proofErr w:type="gramStart"/>
      <w:r>
        <w:rPr>
          <w:rFonts w:ascii="Times New Roman" w:hAnsi="Times New Roman"/>
          <w:color w:val="1F1F1F"/>
          <w:sz w:val="20"/>
        </w:rPr>
        <w:t>to</w:t>
      </w:r>
      <w:proofErr w:type="gramEnd"/>
      <w:r>
        <w:rPr>
          <w:rFonts w:ascii="Times New Roman" w:hAnsi="Times New Roman"/>
          <w:color w:val="1F1F1F"/>
          <w:sz w:val="20"/>
        </w:rPr>
        <w:t xml:space="preserve"> New Buffalo.</w:t>
      </w:r>
    </w:p>
    <w:p w14:paraId="214666CC" w14:textId="77777777" w:rsidR="00D00D35" w:rsidRDefault="001566AC">
      <w:pPr>
        <w:spacing w:after="0" w:line="275" w:lineRule="atLeast"/>
        <w:jc w:val="both"/>
      </w:pPr>
      <w:r>
        <w:rPr>
          <w:rFonts w:ascii="Times New Roman" w:hAnsi="Times New Roman"/>
          <w:color w:val="1F1F1F"/>
          <w:sz w:val="20"/>
        </w:rPr>
        <w:t> </w:t>
      </w:r>
    </w:p>
    <w:p w14:paraId="24E25EAD" w14:textId="77777777" w:rsidR="00D00D35" w:rsidRDefault="001566AC">
      <w:pPr>
        <w:spacing w:after="0" w:line="275" w:lineRule="atLeast"/>
        <w:jc w:val="both"/>
      </w:pPr>
      <w:r>
        <w:rPr>
          <w:rFonts w:ascii="Times New Roman" w:hAnsi="Times New Roman"/>
          <w:color w:val="1F1F1F"/>
          <w:sz w:val="20"/>
        </w:rPr>
        <w:t xml:space="preserve">In 1996, Defendant obtained a Michigan driver's license, registered her car in Michigan, purchased Michigan insurance for her car, began voting in Michigan, and claimed the Michigan homestead exemption for the Michigan property. </w:t>
      </w:r>
      <w:r>
        <w:rPr>
          <w:rFonts w:ascii="Times New Roman" w:hAnsi="Times New Roman"/>
          <w:color w:val="1F1F1F"/>
          <w:sz w:val="20"/>
        </w:rPr>
        <w:lastRenderedPageBreak/>
        <w:t xml:space="preserve">Her normal routine involved commuting to Chicago at the beginning of each week, working four days in Chicago while staying in her Chicago condominium, and then commuting back to her </w:t>
      </w:r>
      <w:bookmarkStart w:id="11" w:name="co_pp_sp_4637_668_1"/>
      <w:r>
        <w:rPr>
          <w:rFonts w:ascii="Times New Roman" w:hAnsi="Times New Roman"/>
          <w:b/>
          <w:color w:val="000000"/>
          <w:sz w:val="20"/>
        </w:rPr>
        <w:t>*668</w:t>
      </w:r>
      <w:bookmarkEnd w:id="11"/>
      <w:r>
        <w:rPr>
          <w:rFonts w:ascii="Times New Roman" w:hAnsi="Times New Roman"/>
          <w:color w:val="1F1F1F"/>
          <w:sz w:val="20"/>
        </w:rPr>
        <w:t xml:space="preserve"> residence in New Buffalo. Defendant continues to maintain her only bank account in Chicago, receive mail at her Chicago address, and obtain professional services from the same doctors and accountants in the Chicago area. In addition, Defendant filed 1996's Federal, State, and City of Chicago taxes using her Chicago address, and is a registered agent for two different Illinois companies. Defendant no longer has any family in Michigan since her two children now live in the Chicago area.</w:t>
      </w:r>
    </w:p>
    <w:p w14:paraId="1B56E007" w14:textId="77777777" w:rsidR="00D00D35" w:rsidRDefault="001566AC">
      <w:pPr>
        <w:spacing w:after="0" w:line="275" w:lineRule="atLeast"/>
        <w:jc w:val="both"/>
      </w:pPr>
      <w:r>
        <w:rPr>
          <w:rFonts w:ascii="Times New Roman" w:hAnsi="Times New Roman"/>
          <w:color w:val="1F1F1F"/>
          <w:sz w:val="20"/>
        </w:rPr>
        <w:t> </w:t>
      </w:r>
    </w:p>
    <w:p w14:paraId="6EDD2376" w14:textId="77777777" w:rsidR="00D00D35" w:rsidRDefault="001566AC">
      <w:pPr>
        <w:spacing w:before="600" w:after="0" w:line="275" w:lineRule="atLeast"/>
        <w:jc w:val="both"/>
      </w:pPr>
      <w:bookmarkStart w:id="12" w:name="co_anchor_If0309777952711ea80afece792"/>
      <w:bookmarkStart w:id="13" w:name="co_anchor_If0309777952711ea80afece79915"/>
      <w:r>
        <w:rPr>
          <w:rFonts w:ascii="Times New Roman" w:hAnsi="Times New Roman"/>
          <w:b/>
          <w:color w:val="1F1F1F"/>
          <w:sz w:val="20"/>
        </w:rPr>
        <w:t>DISCUSSION</w:t>
      </w:r>
    </w:p>
    <w:p w14:paraId="34A66B8A" w14:textId="77777777" w:rsidR="00D00D35" w:rsidRDefault="001566AC">
      <w:pPr>
        <w:spacing w:before="600" w:after="0" w:line="275" w:lineRule="atLeast"/>
        <w:jc w:val="both"/>
      </w:pPr>
      <w:bookmarkStart w:id="14" w:name="co_anchor_If0309777952711ea80afece793"/>
      <w:bookmarkEnd w:id="12"/>
      <w:bookmarkEnd w:id="13"/>
      <w:r>
        <w:rPr>
          <w:rFonts w:ascii="Times New Roman" w:hAnsi="Times New Roman"/>
          <w:b/>
          <w:color w:val="1F1F1F"/>
          <w:sz w:val="20"/>
        </w:rPr>
        <w:t xml:space="preserve">A. </w:t>
      </w:r>
      <w:hyperlink r:id="rId13">
        <w:r>
          <w:rPr>
            <w:rFonts w:ascii="Times New Roman" w:hAnsi="Times New Roman"/>
            <w:b/>
            <w:color w:val="1F1F1F"/>
            <w:sz w:val="20"/>
          </w:rPr>
          <w:t>Rule 12(b)(1)</w:t>
        </w:r>
      </w:hyperlink>
      <w:r>
        <w:rPr>
          <w:rFonts w:ascii="Times New Roman" w:hAnsi="Times New Roman"/>
          <w:b/>
          <w:color w:val="1F1F1F"/>
          <w:sz w:val="20"/>
        </w:rPr>
        <w:t xml:space="preserve"> Standard</w:t>
      </w:r>
    </w:p>
    <w:bookmarkEnd w:id="14"/>
    <w:p w14:paraId="6F7868C4" w14:textId="77777777" w:rsidR="00D00D35" w:rsidRDefault="001566AC">
      <w:pPr>
        <w:spacing w:after="0" w:line="275" w:lineRule="atLeast"/>
        <w:jc w:val="both"/>
      </w:pPr>
      <w:r>
        <w:rPr>
          <w:rFonts w:ascii="Times New Roman" w:hAnsi="Times New Roman"/>
          <w:color w:val="1F1F1F"/>
          <w:sz w:val="20"/>
        </w:rPr>
        <w:t xml:space="preserve">Defendant seeks dismissal under </w:t>
      </w:r>
      <w:hyperlink r:id="rId14">
        <w:r>
          <w:rPr>
            <w:rFonts w:ascii="Times New Roman" w:hAnsi="Times New Roman"/>
            <w:color w:val="1F1F1F"/>
            <w:sz w:val="20"/>
          </w:rPr>
          <w:t>Federal Rule of Civil Procedure 12(b)(1)</w:t>
        </w:r>
      </w:hyperlink>
      <w:r>
        <w:rPr>
          <w:rFonts w:ascii="Times New Roman" w:hAnsi="Times New Roman"/>
          <w:color w:val="1F1F1F"/>
          <w:sz w:val="20"/>
        </w:rPr>
        <w:t xml:space="preserve"> for failure to establish jurisdiction. A </w:t>
      </w:r>
      <w:hyperlink r:id="rId15">
        <w:r>
          <w:rPr>
            <w:rFonts w:ascii="Times New Roman" w:hAnsi="Times New Roman"/>
            <w:color w:val="1F1F1F"/>
            <w:sz w:val="20"/>
          </w:rPr>
          <w:t>Rule 12(b)(1)</w:t>
        </w:r>
      </w:hyperlink>
      <w:r>
        <w:rPr>
          <w:rFonts w:ascii="Times New Roman" w:hAnsi="Times New Roman"/>
          <w:color w:val="1F1F1F"/>
          <w:sz w:val="20"/>
        </w:rPr>
        <w:t xml:space="preserve"> motion to dismiss based upon subject matter jurisdiction generally comes in two varieties. A facial attack on the subject matter jurisdiction alleged by the complaint merely questions the sufficiency of the pleading. </w:t>
      </w:r>
      <w:hyperlink r:id="rId16" w:anchor="co_pp_sp_350_325">
        <w:r>
          <w:rPr>
            <w:rFonts w:ascii="Times New Roman" w:hAnsi="Times New Roman"/>
            <w:i/>
            <w:color w:val="1F1F1F"/>
            <w:sz w:val="20"/>
          </w:rPr>
          <w:t xml:space="preserve">Ohio </w:t>
        </w:r>
        <w:proofErr w:type="spellStart"/>
        <w:r>
          <w:rPr>
            <w:rFonts w:ascii="Times New Roman" w:hAnsi="Times New Roman"/>
            <w:i/>
            <w:color w:val="1F1F1F"/>
            <w:sz w:val="20"/>
          </w:rPr>
          <w:t>Nat'l</w:t>
        </w:r>
        <w:proofErr w:type="spellEnd"/>
        <w:r>
          <w:rPr>
            <w:rFonts w:ascii="Times New Roman" w:hAnsi="Times New Roman"/>
            <w:i/>
            <w:color w:val="1F1F1F"/>
            <w:sz w:val="20"/>
          </w:rPr>
          <w:t xml:space="preserve"> Life Ins. Co. v. United States,</w:t>
        </w:r>
        <w:r>
          <w:rPr>
            <w:rFonts w:ascii="Times New Roman" w:hAnsi="Times New Roman"/>
            <w:color w:val="1F1F1F"/>
            <w:sz w:val="20"/>
          </w:rPr>
          <w:t xml:space="preserve"> 922 F.2d 320, 325 (6th Cir.1990)</w:t>
        </w:r>
      </w:hyperlink>
      <w:r>
        <w:rPr>
          <w:rFonts w:ascii="Times New Roman" w:hAnsi="Times New Roman"/>
          <w:color w:val="1F1F1F"/>
          <w:sz w:val="20"/>
        </w:rPr>
        <w:t xml:space="preserve">. In reviewing such a facial attack, the Court takes the allegations in the complaint as true. </w:t>
      </w:r>
      <w:r>
        <w:rPr>
          <w:rFonts w:ascii="Times New Roman" w:hAnsi="Times New Roman"/>
          <w:i/>
          <w:color w:val="1F1F1F"/>
          <w:sz w:val="20"/>
        </w:rPr>
        <w:t>Id.</w:t>
      </w:r>
      <w:r>
        <w:rPr>
          <w:rFonts w:ascii="Times New Roman" w:hAnsi="Times New Roman"/>
          <w:color w:val="1F1F1F"/>
          <w:sz w:val="20"/>
        </w:rPr>
        <w:t xml:space="preserve"> On the other hand, when the Court reviews a complaint under a factual attack, as here, no presumptive truthfulness applies to the factual allegations. </w:t>
      </w:r>
      <w:r>
        <w:rPr>
          <w:rFonts w:ascii="Times New Roman" w:hAnsi="Times New Roman"/>
          <w:i/>
          <w:color w:val="1F1F1F"/>
          <w:sz w:val="20"/>
        </w:rPr>
        <w:t>Id.</w:t>
      </w:r>
      <w:r>
        <w:rPr>
          <w:rFonts w:ascii="Times New Roman" w:hAnsi="Times New Roman"/>
          <w:color w:val="1F1F1F"/>
          <w:sz w:val="20"/>
        </w:rPr>
        <w:t xml:space="preserve"> Such a factual attack on subject matter jurisdiction commonly has been referred to as a “speaking motion.” </w:t>
      </w:r>
      <w:r>
        <w:rPr>
          <w:rFonts w:ascii="Times New Roman" w:hAnsi="Times New Roman"/>
          <w:i/>
          <w:color w:val="1F1F1F"/>
          <w:sz w:val="20"/>
        </w:rPr>
        <w:t>Id.; see also</w:t>
      </w:r>
      <w:r>
        <w:rPr>
          <w:rFonts w:ascii="Times New Roman" w:hAnsi="Times New Roman"/>
          <w:color w:val="1F1F1F"/>
          <w:sz w:val="20"/>
        </w:rPr>
        <w:t xml:space="preserve"> </w:t>
      </w:r>
      <w:hyperlink r:id="rId17">
        <w:r>
          <w:rPr>
            <w:rFonts w:ascii="Times New Roman" w:hAnsi="Times New Roman"/>
            <w:color w:val="1F1F1F"/>
            <w:sz w:val="20"/>
          </w:rPr>
          <w:t>C. Wright &amp; A. Miller, Federal Practice and Procedure § 1364, at 662–64 (West 1969)</w:t>
        </w:r>
      </w:hyperlink>
      <w:r>
        <w:rPr>
          <w:rFonts w:ascii="Times New Roman" w:hAnsi="Times New Roman"/>
          <w:color w:val="1F1F1F"/>
          <w:sz w:val="20"/>
        </w:rPr>
        <w:t xml:space="preserve">. When facts presented to the Court give rise to a factual controversy, the Court must therefore weigh the conflicting evidence to arrive at the factual predicate that subject matter jurisdiction exists or does not exist. </w:t>
      </w:r>
      <w:hyperlink r:id="rId18" w:anchor="co_pp_sp_350_325">
        <w:r>
          <w:rPr>
            <w:rFonts w:ascii="Times New Roman" w:hAnsi="Times New Roman"/>
            <w:i/>
            <w:color w:val="1F1F1F"/>
            <w:sz w:val="20"/>
          </w:rPr>
          <w:t xml:space="preserve">Ohio </w:t>
        </w:r>
        <w:proofErr w:type="spellStart"/>
        <w:r>
          <w:rPr>
            <w:rFonts w:ascii="Times New Roman" w:hAnsi="Times New Roman"/>
            <w:i/>
            <w:color w:val="1F1F1F"/>
            <w:sz w:val="20"/>
          </w:rPr>
          <w:t>Nat'l</w:t>
        </w:r>
        <w:proofErr w:type="spellEnd"/>
        <w:r>
          <w:rPr>
            <w:rFonts w:ascii="Times New Roman" w:hAnsi="Times New Roman"/>
            <w:i/>
            <w:color w:val="1F1F1F"/>
            <w:sz w:val="20"/>
          </w:rPr>
          <w:t>,</w:t>
        </w:r>
        <w:r>
          <w:rPr>
            <w:rFonts w:ascii="Times New Roman" w:hAnsi="Times New Roman"/>
            <w:color w:val="1F1F1F"/>
            <w:sz w:val="20"/>
          </w:rPr>
          <w:t xml:space="preserve"> 922 F.2d at 325.</w:t>
        </w:r>
      </w:hyperlink>
      <w:r>
        <w:rPr>
          <w:rFonts w:ascii="Times New Roman" w:hAnsi="Times New Roman"/>
          <w:color w:val="1F1F1F"/>
          <w:sz w:val="20"/>
        </w:rPr>
        <w:t xml:space="preserve"> In reviewing these “speaking motions,” the Court has wide discretion to allow affidavits, documents and even a limited evidentiary hearing to resolve disputed jurisdictional facts. </w:t>
      </w:r>
      <w:r>
        <w:rPr>
          <w:rFonts w:ascii="Times New Roman" w:hAnsi="Times New Roman"/>
          <w:i/>
          <w:color w:val="1F1F1F"/>
          <w:sz w:val="20"/>
        </w:rPr>
        <w:t>Id.</w:t>
      </w:r>
    </w:p>
    <w:p w14:paraId="79582D06" w14:textId="77777777" w:rsidR="00D00D35" w:rsidRDefault="001566AC">
      <w:pPr>
        <w:spacing w:after="0" w:line="275" w:lineRule="atLeast"/>
        <w:jc w:val="both"/>
      </w:pPr>
      <w:r>
        <w:rPr>
          <w:rFonts w:ascii="Times New Roman" w:hAnsi="Times New Roman"/>
          <w:color w:val="1F1F1F"/>
          <w:sz w:val="20"/>
        </w:rPr>
        <w:t> </w:t>
      </w:r>
    </w:p>
    <w:p w14:paraId="46C428E7" w14:textId="77777777" w:rsidR="00D00D35" w:rsidRDefault="001566AC">
      <w:pPr>
        <w:spacing w:after="0" w:line="275" w:lineRule="atLeast"/>
        <w:jc w:val="both"/>
      </w:pPr>
      <w:r>
        <w:rPr>
          <w:rFonts w:ascii="Times New Roman" w:hAnsi="Times New Roman"/>
          <w:color w:val="1F1F1F"/>
          <w:sz w:val="20"/>
        </w:rPr>
        <w:t xml:space="preserve">Should the plaintiff allege facts from which jurisdiction may be inferred, the motion must be denied so long as the defendant has not submitted contradictory evidence. </w:t>
      </w:r>
      <w:hyperlink r:id="rId19">
        <w:r>
          <w:rPr>
            <w:rFonts w:ascii="Times New Roman" w:hAnsi="Times New Roman"/>
            <w:i/>
            <w:color w:val="1F1F1F"/>
            <w:sz w:val="20"/>
          </w:rPr>
          <w:t>Mountain Fuel Supply Co. v. Johnson,</w:t>
        </w:r>
        <w:r>
          <w:rPr>
            <w:rFonts w:ascii="Times New Roman" w:hAnsi="Times New Roman"/>
            <w:color w:val="1F1F1F"/>
            <w:sz w:val="20"/>
          </w:rPr>
          <w:t xml:space="preserve"> 586 F.2d 1375 (10th </w:t>
        </w:r>
        <w:r>
          <w:rPr>
            <w:rFonts w:ascii="Times New Roman" w:hAnsi="Times New Roman"/>
            <w:color w:val="1F1F1F"/>
            <w:sz w:val="20"/>
          </w:rPr>
          <w:t>Cir.1978)</w:t>
        </w:r>
      </w:hyperlink>
      <w:r>
        <w:rPr>
          <w:rFonts w:ascii="Times New Roman" w:hAnsi="Times New Roman"/>
          <w:color w:val="1F1F1F"/>
          <w:sz w:val="20"/>
        </w:rPr>
        <w:t xml:space="preserve">. If there are genuine issues of material facts at issue, a decision must be made on the factual questions before the motion is decided. </w:t>
      </w:r>
      <w:hyperlink r:id="rId20" w:anchor="co_pp_sp_350_436">
        <w:r>
          <w:rPr>
            <w:rFonts w:ascii="Times New Roman" w:hAnsi="Times New Roman"/>
            <w:i/>
            <w:color w:val="1F1F1F"/>
            <w:sz w:val="20"/>
          </w:rPr>
          <w:t>Commodities Export Company v. U.S. Customs Service,</w:t>
        </w:r>
        <w:r>
          <w:rPr>
            <w:rFonts w:ascii="Times New Roman" w:hAnsi="Times New Roman"/>
            <w:color w:val="1F1F1F"/>
            <w:sz w:val="20"/>
          </w:rPr>
          <w:t xml:space="preserve"> 888 F.2d 431, 436 (6th Cir.1989)</w:t>
        </w:r>
      </w:hyperlink>
      <w:r>
        <w:rPr>
          <w:rFonts w:ascii="Times New Roman" w:hAnsi="Times New Roman"/>
          <w:color w:val="1F1F1F"/>
          <w:sz w:val="20"/>
        </w:rPr>
        <w:t xml:space="preserve">. If, as in the instant case, “the facts are relatively simple [and] substantially uncontroverted, and the law is not complex” the Court may rule on a 12(b)(1) motion without pausing to make findings on disputed issues of fact. </w:t>
      </w:r>
      <w:r>
        <w:rPr>
          <w:rFonts w:ascii="Times New Roman" w:hAnsi="Times New Roman"/>
          <w:i/>
          <w:color w:val="1F1F1F"/>
          <w:sz w:val="20"/>
        </w:rPr>
        <w:t>Id.</w:t>
      </w:r>
    </w:p>
    <w:p w14:paraId="6E620B25" w14:textId="77777777" w:rsidR="00D00D35" w:rsidRDefault="001566AC">
      <w:pPr>
        <w:spacing w:after="0" w:line="275" w:lineRule="atLeast"/>
        <w:jc w:val="both"/>
      </w:pPr>
      <w:r>
        <w:rPr>
          <w:rFonts w:ascii="Times New Roman" w:hAnsi="Times New Roman"/>
          <w:color w:val="1F1F1F"/>
          <w:sz w:val="20"/>
        </w:rPr>
        <w:t> </w:t>
      </w:r>
    </w:p>
    <w:p w14:paraId="4252737E" w14:textId="77777777" w:rsidR="00D00D35" w:rsidRDefault="001566AC">
      <w:pPr>
        <w:spacing w:before="400" w:after="0" w:line="275" w:lineRule="atLeast"/>
        <w:jc w:val="both"/>
      </w:pPr>
      <w:bookmarkStart w:id="15" w:name="co_anchor_If0309778952711ea80afece792"/>
      <w:bookmarkStart w:id="16" w:name="co_anchor_If0309778952711ea80afece79915"/>
      <w:r>
        <w:rPr>
          <w:rFonts w:ascii="Times New Roman" w:hAnsi="Times New Roman"/>
          <w:b/>
          <w:color w:val="1F1F1F"/>
          <w:sz w:val="20"/>
        </w:rPr>
        <w:t>B. Diversity Jurisdiction</w:t>
      </w:r>
    </w:p>
    <w:bookmarkEnd w:id="15"/>
    <w:bookmarkEnd w:id="16"/>
    <w:p w14:paraId="702575B9" w14:textId="77777777" w:rsidR="00D00D35" w:rsidRDefault="001566AC">
      <w:pPr>
        <w:spacing w:after="0" w:line="275" w:lineRule="atLeast"/>
        <w:jc w:val="both"/>
      </w:pPr>
      <w:r>
        <w:fldChar w:fldCharType="begin"/>
      </w:r>
      <w:r>
        <w:instrText>HYPERLINK "https://www.westlaw.com/Link/Document/FullText?findType=L&amp;pubNum=1004365&amp;cite=USFRCPR8&amp;originatingDoc=I709eff0b567911d997e0acd5cbb90d3f&amp;refType=LQ&amp;originationContext=document&amp;vr=3.0&amp;rs=cblt1.0&amp;transitionType=DocumentItem&amp;contextData=(sc.Default)" \h</w:instrText>
      </w:r>
      <w:r>
        <w:fldChar w:fldCharType="separate"/>
      </w:r>
      <w:r>
        <w:rPr>
          <w:rFonts w:ascii="Times New Roman" w:hAnsi="Times New Roman"/>
          <w:color w:val="1F1F1F"/>
          <w:sz w:val="20"/>
        </w:rPr>
        <w:t>Federal Rule of Civil Procedure 8(a)</w:t>
      </w:r>
      <w:r>
        <w:fldChar w:fldCharType="end"/>
      </w:r>
      <w:r>
        <w:rPr>
          <w:rFonts w:ascii="Times New Roman" w:hAnsi="Times New Roman"/>
          <w:color w:val="1F1F1F"/>
          <w:sz w:val="20"/>
        </w:rPr>
        <w:t xml:space="preserve"> requires that a “pleading which sets forth a claim for relief ... shall contain (1) a short and plain statement of the grounds upon which the court's jurisdiction depends....” Facts establishing jurisdiction “must be disclosed on the face of the complaint, unaided by the answer.” </w:t>
      </w:r>
      <w:hyperlink r:id="rId21">
        <w:r>
          <w:rPr>
            <w:rFonts w:ascii="Times New Roman" w:hAnsi="Times New Roman"/>
            <w:i/>
            <w:color w:val="1F1F1F"/>
            <w:sz w:val="20"/>
          </w:rPr>
          <w:t xml:space="preserve">Gully v. First </w:t>
        </w:r>
        <w:proofErr w:type="spellStart"/>
        <w:r>
          <w:rPr>
            <w:rFonts w:ascii="Times New Roman" w:hAnsi="Times New Roman"/>
            <w:i/>
            <w:color w:val="1F1F1F"/>
            <w:sz w:val="20"/>
          </w:rPr>
          <w:t>Nat'l</w:t>
        </w:r>
        <w:proofErr w:type="spellEnd"/>
        <w:r>
          <w:rPr>
            <w:rFonts w:ascii="Times New Roman" w:hAnsi="Times New Roman"/>
            <w:i/>
            <w:color w:val="1F1F1F"/>
            <w:sz w:val="20"/>
          </w:rPr>
          <w:t xml:space="preserve"> Bank,</w:t>
        </w:r>
        <w:r>
          <w:rPr>
            <w:rFonts w:ascii="Times New Roman" w:hAnsi="Times New Roman"/>
            <w:color w:val="1F1F1F"/>
            <w:sz w:val="20"/>
          </w:rPr>
          <w:t xml:space="preserve"> 299 U.S. 109, 113, 57 </w:t>
        </w:r>
        <w:proofErr w:type="spellStart"/>
        <w:r>
          <w:rPr>
            <w:rFonts w:ascii="Times New Roman" w:hAnsi="Times New Roman"/>
            <w:color w:val="1F1F1F"/>
            <w:sz w:val="20"/>
          </w:rPr>
          <w:t>S.Ct</w:t>
        </w:r>
        <w:proofErr w:type="spellEnd"/>
        <w:r>
          <w:rPr>
            <w:rFonts w:ascii="Times New Roman" w:hAnsi="Times New Roman"/>
            <w:color w:val="1F1F1F"/>
            <w:sz w:val="20"/>
          </w:rPr>
          <w:t xml:space="preserve">. 96, 81 </w:t>
        </w:r>
        <w:proofErr w:type="spellStart"/>
        <w:r>
          <w:rPr>
            <w:rFonts w:ascii="Times New Roman" w:hAnsi="Times New Roman"/>
            <w:color w:val="1F1F1F"/>
            <w:sz w:val="20"/>
          </w:rPr>
          <w:t>L.Ed</w:t>
        </w:r>
        <w:proofErr w:type="spellEnd"/>
        <w:r>
          <w:rPr>
            <w:rFonts w:ascii="Times New Roman" w:hAnsi="Times New Roman"/>
            <w:color w:val="1F1F1F"/>
            <w:sz w:val="20"/>
          </w:rPr>
          <w:t>. 70 (1936)</w:t>
        </w:r>
      </w:hyperlink>
      <w:r>
        <w:rPr>
          <w:rFonts w:ascii="Times New Roman" w:hAnsi="Times New Roman"/>
          <w:color w:val="1F1F1F"/>
          <w:sz w:val="20"/>
        </w:rPr>
        <w:t xml:space="preserve">; </w:t>
      </w:r>
      <w:hyperlink r:id="rId22" w:anchor="co_pp_sp_506_258">
        <w:r>
          <w:rPr>
            <w:rFonts w:ascii="Times New Roman" w:hAnsi="Times New Roman"/>
            <w:i/>
            <w:color w:val="1F1F1F"/>
            <w:sz w:val="20"/>
          </w:rPr>
          <w:t>Ford v. Hamilton Investments, Inc.,</w:t>
        </w:r>
        <w:r>
          <w:rPr>
            <w:rFonts w:ascii="Times New Roman" w:hAnsi="Times New Roman"/>
            <w:color w:val="1F1F1F"/>
            <w:sz w:val="20"/>
          </w:rPr>
          <w:t xml:space="preserve"> 29 F.3d 255, 258 (6th Cir.1994)</w:t>
        </w:r>
      </w:hyperlink>
      <w:r>
        <w:rPr>
          <w:rFonts w:ascii="Times New Roman" w:hAnsi="Times New Roman"/>
          <w:color w:val="1F1F1F"/>
          <w:sz w:val="20"/>
        </w:rPr>
        <w:t>.</w:t>
      </w:r>
    </w:p>
    <w:p w14:paraId="682228F3" w14:textId="77777777" w:rsidR="00D00D35" w:rsidRDefault="001566AC">
      <w:pPr>
        <w:spacing w:after="0" w:line="275" w:lineRule="atLeast"/>
        <w:jc w:val="both"/>
      </w:pPr>
      <w:r>
        <w:rPr>
          <w:rFonts w:ascii="Times New Roman" w:hAnsi="Times New Roman"/>
          <w:color w:val="1F1F1F"/>
          <w:sz w:val="20"/>
        </w:rPr>
        <w:t> </w:t>
      </w:r>
    </w:p>
    <w:p w14:paraId="0189DE1A" w14:textId="77777777" w:rsidR="00D00D35" w:rsidRDefault="001566AC">
      <w:pPr>
        <w:spacing w:after="0" w:line="275" w:lineRule="atLeast"/>
        <w:jc w:val="both"/>
      </w:pPr>
      <w:r>
        <w:rPr>
          <w:rFonts w:ascii="Times New Roman" w:hAnsi="Times New Roman"/>
          <w:color w:val="1F1F1F"/>
          <w:sz w:val="20"/>
        </w:rPr>
        <w:t xml:space="preserve">To establish a diversity action, Plaintiff must show that the amount in controversy exceeds $75,000, and that diversity of citizenship exists. </w:t>
      </w:r>
      <w:hyperlink r:id="rId23">
        <w:r>
          <w:rPr>
            <w:rFonts w:ascii="Times New Roman" w:hAnsi="Times New Roman"/>
            <w:color w:val="1F1F1F"/>
            <w:sz w:val="20"/>
          </w:rPr>
          <w:t>28 U.S.C. § 1332</w:t>
        </w:r>
      </w:hyperlink>
      <w:r>
        <w:rPr>
          <w:rFonts w:ascii="Times New Roman" w:hAnsi="Times New Roman"/>
          <w:color w:val="1F1F1F"/>
          <w:sz w:val="20"/>
        </w:rPr>
        <w:t xml:space="preserve">. The diversity of citizenship must be complete such that all parties on one side of the controversy are of diverse citizenship from all parties on the other side at the time the complaint is filed. </w:t>
      </w:r>
      <w:hyperlink r:id="rId24">
        <w:r>
          <w:rPr>
            <w:rFonts w:ascii="Times New Roman" w:hAnsi="Times New Roman"/>
            <w:i/>
            <w:color w:val="1F1F1F"/>
            <w:sz w:val="20"/>
          </w:rPr>
          <w:t>Newman–Green, Inc. v. Alfonzo–Larrain,</w:t>
        </w:r>
        <w:r>
          <w:rPr>
            <w:rFonts w:ascii="Times New Roman" w:hAnsi="Times New Roman"/>
            <w:color w:val="1F1F1F"/>
            <w:sz w:val="20"/>
          </w:rPr>
          <w:t xml:space="preserve"> 490 U.S. 826, 828–31, 109 </w:t>
        </w:r>
        <w:proofErr w:type="spellStart"/>
        <w:r>
          <w:rPr>
            <w:rFonts w:ascii="Times New Roman" w:hAnsi="Times New Roman"/>
            <w:color w:val="1F1F1F"/>
            <w:sz w:val="20"/>
          </w:rPr>
          <w:t>S.Ct</w:t>
        </w:r>
        <w:proofErr w:type="spellEnd"/>
        <w:r>
          <w:rPr>
            <w:rFonts w:ascii="Times New Roman" w:hAnsi="Times New Roman"/>
            <w:color w:val="1F1F1F"/>
            <w:sz w:val="20"/>
          </w:rPr>
          <w:t>. 2218, 104 L.Ed.2d 893 (1989)</w:t>
        </w:r>
      </w:hyperlink>
      <w:r>
        <w:rPr>
          <w:rFonts w:ascii="Times New Roman" w:hAnsi="Times New Roman"/>
          <w:color w:val="1F1F1F"/>
          <w:sz w:val="20"/>
        </w:rPr>
        <w:t xml:space="preserve">. Once Plaintiff's allegations of diversity of citizenship are challenged by Defendant, Plaintiff must prove by a preponderance of the evidence that diversity does in fact exist. </w:t>
      </w:r>
      <w:hyperlink r:id="rId25">
        <w:r>
          <w:rPr>
            <w:rFonts w:ascii="Times New Roman" w:hAnsi="Times New Roman"/>
            <w:i/>
            <w:color w:val="1F1F1F"/>
            <w:sz w:val="20"/>
          </w:rPr>
          <w:t>McNutt v. General Motors Acceptance Corp.,</w:t>
        </w:r>
        <w:r>
          <w:rPr>
            <w:rFonts w:ascii="Times New Roman" w:hAnsi="Times New Roman"/>
            <w:color w:val="1F1F1F"/>
            <w:sz w:val="20"/>
          </w:rPr>
          <w:t xml:space="preserve"> 298 U.S. 178, 189, 56 </w:t>
        </w:r>
        <w:proofErr w:type="spellStart"/>
        <w:r>
          <w:rPr>
            <w:rFonts w:ascii="Times New Roman" w:hAnsi="Times New Roman"/>
            <w:color w:val="1F1F1F"/>
            <w:sz w:val="20"/>
          </w:rPr>
          <w:t>S.Ct</w:t>
        </w:r>
        <w:proofErr w:type="spellEnd"/>
        <w:r>
          <w:rPr>
            <w:rFonts w:ascii="Times New Roman" w:hAnsi="Times New Roman"/>
            <w:color w:val="1F1F1F"/>
            <w:sz w:val="20"/>
          </w:rPr>
          <w:t xml:space="preserve">. 780, 80 </w:t>
        </w:r>
        <w:proofErr w:type="spellStart"/>
        <w:r>
          <w:rPr>
            <w:rFonts w:ascii="Times New Roman" w:hAnsi="Times New Roman"/>
            <w:color w:val="1F1F1F"/>
            <w:sz w:val="20"/>
          </w:rPr>
          <w:t>L.Ed</w:t>
        </w:r>
        <w:proofErr w:type="spellEnd"/>
        <w:r>
          <w:rPr>
            <w:rFonts w:ascii="Times New Roman" w:hAnsi="Times New Roman"/>
            <w:color w:val="1F1F1F"/>
            <w:sz w:val="20"/>
          </w:rPr>
          <w:t>. 1135 (1936)</w:t>
        </w:r>
      </w:hyperlink>
      <w:r>
        <w:rPr>
          <w:rFonts w:ascii="Times New Roman" w:hAnsi="Times New Roman"/>
          <w:color w:val="1F1F1F"/>
          <w:sz w:val="20"/>
        </w:rPr>
        <w:t xml:space="preserve">; </w:t>
      </w:r>
      <w:hyperlink r:id="rId26" w:anchor="co_pp_sp_345_260">
        <w:r>
          <w:rPr>
            <w:rFonts w:ascii="Times New Roman" w:hAnsi="Times New Roman"/>
            <w:i/>
            <w:color w:val="1F1F1F"/>
            <w:sz w:val="20"/>
          </w:rPr>
          <w:t>Crosby v. America Online,</w:t>
        </w:r>
        <w:r>
          <w:rPr>
            <w:rFonts w:ascii="Times New Roman" w:hAnsi="Times New Roman"/>
            <w:color w:val="1F1F1F"/>
            <w:sz w:val="20"/>
          </w:rPr>
          <w:t xml:space="preserve"> 967 </w:t>
        </w:r>
        <w:proofErr w:type="spellStart"/>
        <w:r>
          <w:rPr>
            <w:rFonts w:ascii="Times New Roman" w:hAnsi="Times New Roman"/>
            <w:color w:val="1F1F1F"/>
            <w:sz w:val="20"/>
          </w:rPr>
          <w:t>F.Supp</w:t>
        </w:r>
        <w:proofErr w:type="spellEnd"/>
        <w:r>
          <w:rPr>
            <w:rFonts w:ascii="Times New Roman" w:hAnsi="Times New Roman"/>
            <w:color w:val="1F1F1F"/>
            <w:sz w:val="20"/>
          </w:rPr>
          <w:t>. 257, 260 (</w:t>
        </w:r>
        <w:proofErr w:type="spellStart"/>
        <w:r>
          <w:rPr>
            <w:rFonts w:ascii="Times New Roman" w:hAnsi="Times New Roman"/>
            <w:color w:val="1F1F1F"/>
            <w:sz w:val="20"/>
          </w:rPr>
          <w:t>N.D.Ohio</w:t>
        </w:r>
        <w:proofErr w:type="spellEnd"/>
        <w:r>
          <w:rPr>
            <w:rFonts w:ascii="Times New Roman" w:hAnsi="Times New Roman"/>
            <w:color w:val="1F1F1F"/>
            <w:sz w:val="20"/>
          </w:rPr>
          <w:t xml:space="preserve"> 1997)</w:t>
        </w:r>
      </w:hyperlink>
      <w:r>
        <w:rPr>
          <w:rFonts w:ascii="Times New Roman" w:hAnsi="Times New Roman"/>
          <w:color w:val="1F1F1F"/>
          <w:sz w:val="20"/>
        </w:rPr>
        <w:t xml:space="preserve">; </w:t>
      </w:r>
      <w:r>
        <w:rPr>
          <w:rFonts w:ascii="Times New Roman" w:hAnsi="Times New Roman"/>
          <w:i/>
          <w:color w:val="1F1F1F"/>
          <w:sz w:val="20"/>
        </w:rPr>
        <w:t xml:space="preserve">see also </w:t>
      </w:r>
      <w:hyperlink r:id="rId27" w:anchor="co_pp_sp_350_158">
        <w:r>
          <w:rPr>
            <w:rFonts w:ascii="Times New Roman" w:hAnsi="Times New Roman"/>
            <w:i/>
            <w:color w:val="1F1F1F"/>
            <w:sz w:val="20"/>
          </w:rPr>
          <w:t>Gafford v. General Electric Co.,</w:t>
        </w:r>
        <w:r>
          <w:rPr>
            <w:rFonts w:ascii="Times New Roman" w:hAnsi="Times New Roman"/>
            <w:color w:val="1F1F1F"/>
            <w:sz w:val="20"/>
          </w:rPr>
          <w:t xml:space="preserve"> 997 F.2d 150, 158 (6th Cir.1993)</w:t>
        </w:r>
      </w:hyperlink>
      <w:r>
        <w:rPr>
          <w:rFonts w:ascii="Times New Roman" w:hAnsi="Times New Roman"/>
          <w:color w:val="1F1F1F"/>
          <w:sz w:val="20"/>
        </w:rPr>
        <w:t>.</w:t>
      </w:r>
    </w:p>
    <w:p w14:paraId="211A4D89" w14:textId="77777777" w:rsidR="00D00D35" w:rsidRDefault="001566AC">
      <w:pPr>
        <w:spacing w:after="0" w:line="275" w:lineRule="atLeast"/>
        <w:jc w:val="both"/>
      </w:pPr>
      <w:r>
        <w:rPr>
          <w:rFonts w:ascii="Times New Roman" w:hAnsi="Times New Roman"/>
          <w:color w:val="1F1F1F"/>
          <w:sz w:val="20"/>
        </w:rPr>
        <w:t> </w:t>
      </w:r>
    </w:p>
    <w:p w14:paraId="091D3C31" w14:textId="77777777" w:rsidR="00D00D35" w:rsidRDefault="001566AC">
      <w:pPr>
        <w:spacing w:after="0" w:line="275" w:lineRule="atLeast"/>
        <w:jc w:val="both"/>
      </w:pPr>
      <w:r>
        <w:rPr>
          <w:rFonts w:ascii="Times New Roman" w:hAnsi="Times New Roman"/>
          <w:color w:val="1F1F1F"/>
          <w:sz w:val="20"/>
        </w:rPr>
        <w:t xml:space="preserve">For purposes of diversity jurisdiction, a person is a citizen of the state in which he or she is domiciled. </w:t>
      </w:r>
      <w:hyperlink r:id="rId28" w:anchor="co_pp_sp_506_41">
        <w:r>
          <w:rPr>
            <w:rFonts w:ascii="Times New Roman" w:hAnsi="Times New Roman"/>
            <w:i/>
            <w:color w:val="1F1F1F"/>
            <w:sz w:val="20"/>
          </w:rPr>
          <w:t>Certain Interested Underwriters at Lloyd's v. Layne,</w:t>
        </w:r>
        <w:r>
          <w:rPr>
            <w:rFonts w:ascii="Times New Roman" w:hAnsi="Times New Roman"/>
            <w:color w:val="1F1F1F"/>
            <w:sz w:val="20"/>
          </w:rPr>
          <w:t xml:space="preserve"> 26 F.3d 39, 41 (6th Cir.1994)</w:t>
        </w:r>
      </w:hyperlink>
      <w:r>
        <w:rPr>
          <w:rFonts w:ascii="Times New Roman" w:hAnsi="Times New Roman"/>
          <w:color w:val="1F1F1F"/>
          <w:sz w:val="20"/>
        </w:rPr>
        <w:t xml:space="preserve">; </w:t>
      </w:r>
      <w:hyperlink r:id="rId29" w:anchor="co_pp_sp_350_1120">
        <w:r>
          <w:rPr>
            <w:rFonts w:ascii="Times New Roman" w:hAnsi="Times New Roman"/>
            <w:i/>
            <w:color w:val="1F1F1F"/>
            <w:sz w:val="20"/>
          </w:rPr>
          <w:t>Stifel v. Hopkins,</w:t>
        </w:r>
        <w:r>
          <w:rPr>
            <w:rFonts w:ascii="Times New Roman" w:hAnsi="Times New Roman"/>
            <w:color w:val="1F1F1F"/>
            <w:sz w:val="20"/>
          </w:rPr>
          <w:t xml:space="preserve"> 477 F.2d 1116, 1120 (6th Cir.1973)</w:t>
        </w:r>
      </w:hyperlink>
      <w:r>
        <w:rPr>
          <w:rFonts w:ascii="Times New Roman" w:hAnsi="Times New Roman"/>
          <w:color w:val="1F1F1F"/>
          <w:sz w:val="20"/>
        </w:rPr>
        <w:t xml:space="preserve">. Domicile is established </w:t>
      </w:r>
      <w:proofErr w:type="gramStart"/>
      <w:r>
        <w:rPr>
          <w:rFonts w:ascii="Times New Roman" w:hAnsi="Times New Roman"/>
          <w:color w:val="1F1F1F"/>
          <w:sz w:val="20"/>
        </w:rPr>
        <w:t>by</w:t>
      </w:r>
      <w:proofErr w:type="gramEnd"/>
      <w:r>
        <w:rPr>
          <w:rFonts w:ascii="Times New Roman" w:hAnsi="Times New Roman"/>
          <w:color w:val="1F1F1F"/>
          <w:sz w:val="20"/>
        </w:rPr>
        <w:t xml:space="preserve"> an intent to remain in a particular state permanently, or at least indefinitely. </w:t>
      </w:r>
      <w:hyperlink r:id="rId30" w:anchor="co_pp_sp_350_1120">
        <w:r>
          <w:rPr>
            <w:rFonts w:ascii="Times New Roman" w:hAnsi="Times New Roman"/>
            <w:i/>
            <w:color w:val="1F1F1F"/>
            <w:sz w:val="20"/>
          </w:rPr>
          <w:t>Stifel,</w:t>
        </w:r>
        <w:r>
          <w:rPr>
            <w:rFonts w:ascii="Times New Roman" w:hAnsi="Times New Roman"/>
            <w:color w:val="1F1F1F"/>
            <w:sz w:val="20"/>
          </w:rPr>
          <w:t xml:space="preserve"> 477 F.2d at 1120.</w:t>
        </w:r>
      </w:hyperlink>
      <w:r>
        <w:rPr>
          <w:rFonts w:ascii="Times New Roman" w:hAnsi="Times New Roman"/>
          <w:color w:val="1F1F1F"/>
          <w:sz w:val="20"/>
        </w:rPr>
        <w:t xml:space="preserve"> Domicile is not lost </w:t>
      </w:r>
      <w:bookmarkStart w:id="17" w:name="co_pp_sp_4637_669_1"/>
      <w:r>
        <w:rPr>
          <w:rFonts w:ascii="Times New Roman" w:hAnsi="Times New Roman"/>
          <w:b/>
          <w:color w:val="000000"/>
          <w:sz w:val="20"/>
        </w:rPr>
        <w:t>*669</w:t>
      </w:r>
      <w:bookmarkEnd w:id="17"/>
      <w:r>
        <w:rPr>
          <w:rFonts w:ascii="Times New Roman" w:hAnsi="Times New Roman"/>
          <w:color w:val="1F1F1F"/>
          <w:sz w:val="20"/>
        </w:rPr>
        <w:t xml:space="preserve"> by protracted absence from home, where the intention to return remains. </w:t>
      </w:r>
      <w:r>
        <w:rPr>
          <w:rFonts w:ascii="Times New Roman" w:hAnsi="Times New Roman"/>
          <w:i/>
          <w:color w:val="1F1F1F"/>
          <w:sz w:val="20"/>
        </w:rPr>
        <w:t>Id.</w:t>
      </w:r>
    </w:p>
    <w:p w14:paraId="419AE45A" w14:textId="77777777" w:rsidR="00D00D35" w:rsidRDefault="001566AC">
      <w:pPr>
        <w:spacing w:after="0" w:line="275" w:lineRule="atLeast"/>
        <w:jc w:val="both"/>
      </w:pPr>
      <w:r>
        <w:rPr>
          <w:rFonts w:ascii="Times New Roman" w:hAnsi="Times New Roman"/>
          <w:color w:val="1F1F1F"/>
          <w:sz w:val="20"/>
        </w:rPr>
        <w:t> </w:t>
      </w:r>
    </w:p>
    <w:p w14:paraId="6E3729E5" w14:textId="77777777" w:rsidR="00D00D35" w:rsidRDefault="001566AC">
      <w:pPr>
        <w:spacing w:after="0" w:line="275" w:lineRule="atLeast"/>
        <w:jc w:val="both"/>
      </w:pPr>
      <w:r>
        <w:rPr>
          <w:rFonts w:ascii="Times New Roman" w:hAnsi="Times New Roman"/>
          <w:color w:val="1F1F1F"/>
          <w:sz w:val="20"/>
        </w:rPr>
        <w:lastRenderedPageBreak/>
        <w:t xml:space="preserve">To ascertain intent, the Court must examine the entire course of Defendant's conduct </w:t>
      </w:r>
      <w:proofErr w:type="gramStart"/>
      <w:r>
        <w:rPr>
          <w:rFonts w:ascii="Times New Roman" w:hAnsi="Times New Roman"/>
          <w:color w:val="1F1F1F"/>
          <w:sz w:val="20"/>
        </w:rPr>
        <w:t>in order to</w:t>
      </w:r>
      <w:proofErr w:type="gramEnd"/>
      <w:r>
        <w:rPr>
          <w:rFonts w:ascii="Times New Roman" w:hAnsi="Times New Roman"/>
          <w:color w:val="1F1F1F"/>
          <w:sz w:val="20"/>
        </w:rPr>
        <w:t xml:space="preserve"> draw the necessary inferences as to the relevant intent. </w:t>
      </w:r>
      <w:hyperlink r:id="rId31" w:anchor="co_pp_sp_345_951">
        <w:r>
          <w:rPr>
            <w:rFonts w:ascii="Times New Roman" w:hAnsi="Times New Roman"/>
            <w:i/>
            <w:color w:val="1F1F1F"/>
            <w:sz w:val="20"/>
          </w:rPr>
          <w:t>Hicks v. Brophy,</w:t>
        </w:r>
        <w:r>
          <w:rPr>
            <w:rFonts w:ascii="Times New Roman" w:hAnsi="Times New Roman"/>
            <w:color w:val="1F1F1F"/>
            <w:sz w:val="20"/>
          </w:rPr>
          <w:t xml:space="preserve"> 839 </w:t>
        </w:r>
        <w:proofErr w:type="spellStart"/>
        <w:r>
          <w:rPr>
            <w:rFonts w:ascii="Times New Roman" w:hAnsi="Times New Roman"/>
            <w:color w:val="1F1F1F"/>
            <w:sz w:val="20"/>
          </w:rPr>
          <w:t>F.Supp</w:t>
        </w:r>
        <w:proofErr w:type="spellEnd"/>
        <w:r>
          <w:rPr>
            <w:rFonts w:ascii="Times New Roman" w:hAnsi="Times New Roman"/>
            <w:color w:val="1F1F1F"/>
            <w:sz w:val="20"/>
          </w:rPr>
          <w:t>. 948, 951 (D.C.Conn.1993)</w:t>
        </w:r>
      </w:hyperlink>
      <w:r>
        <w:rPr>
          <w:rFonts w:ascii="Times New Roman" w:hAnsi="Times New Roman"/>
          <w:color w:val="1F1F1F"/>
          <w:sz w:val="20"/>
        </w:rPr>
        <w:t xml:space="preserve"> (citing </w:t>
      </w:r>
      <w:hyperlink r:id="rId32" w:anchor="co_pp_sp_345_41">
        <w:r>
          <w:rPr>
            <w:rFonts w:ascii="Times New Roman" w:hAnsi="Times New Roman"/>
            <w:i/>
            <w:color w:val="1F1F1F"/>
            <w:sz w:val="20"/>
          </w:rPr>
          <w:t>Brignoli v. Balch, Hardy &amp; Scheinman, Inc.,</w:t>
        </w:r>
        <w:r>
          <w:rPr>
            <w:rFonts w:ascii="Times New Roman" w:hAnsi="Times New Roman"/>
            <w:color w:val="1F1F1F"/>
            <w:sz w:val="20"/>
          </w:rPr>
          <w:t xml:space="preserve"> 696 </w:t>
        </w:r>
        <w:proofErr w:type="spellStart"/>
        <w:r>
          <w:rPr>
            <w:rFonts w:ascii="Times New Roman" w:hAnsi="Times New Roman"/>
            <w:color w:val="1F1F1F"/>
            <w:sz w:val="20"/>
          </w:rPr>
          <w:t>F.Supp</w:t>
        </w:r>
        <w:proofErr w:type="spellEnd"/>
        <w:r>
          <w:rPr>
            <w:rFonts w:ascii="Times New Roman" w:hAnsi="Times New Roman"/>
            <w:color w:val="1F1F1F"/>
            <w:sz w:val="20"/>
          </w:rPr>
          <w:t>. 37, 41 (S.D.N.Y.1988)</w:t>
        </w:r>
      </w:hyperlink>
      <w:r>
        <w:rPr>
          <w:rFonts w:ascii="Times New Roman" w:hAnsi="Times New Roman"/>
          <w:color w:val="1F1F1F"/>
          <w:sz w:val="20"/>
        </w:rPr>
        <w:t xml:space="preserve">). In ascertaining Defendant's intent, her entire course of conduct may be </w:t>
      </w:r>
      <w:proofErr w:type="gramStart"/>
      <w:r>
        <w:rPr>
          <w:rFonts w:ascii="Times New Roman" w:hAnsi="Times New Roman"/>
          <w:color w:val="1F1F1F"/>
          <w:sz w:val="20"/>
        </w:rPr>
        <w:t>taken into account</w:t>
      </w:r>
      <w:proofErr w:type="gramEnd"/>
      <w:r>
        <w:rPr>
          <w:rFonts w:ascii="Times New Roman" w:hAnsi="Times New Roman"/>
          <w:color w:val="1F1F1F"/>
          <w:sz w:val="20"/>
        </w:rPr>
        <w:t xml:space="preserve">. </w:t>
      </w:r>
      <w:r>
        <w:rPr>
          <w:rFonts w:ascii="Times New Roman" w:hAnsi="Times New Roman"/>
          <w:i/>
          <w:color w:val="1F1F1F"/>
          <w:sz w:val="20"/>
        </w:rPr>
        <w:t>Id.</w:t>
      </w:r>
      <w:r>
        <w:rPr>
          <w:rFonts w:ascii="Times New Roman" w:hAnsi="Times New Roman"/>
          <w:color w:val="1F1F1F"/>
          <w:sz w:val="20"/>
        </w:rPr>
        <w:t xml:space="preserve"> Defendant's own statements concerning her intentions are relevant, but they are of slight weight when they come into conflict with other facts that tend to disclose a contrary intent. </w:t>
      </w:r>
      <w:r>
        <w:rPr>
          <w:rFonts w:ascii="Times New Roman" w:hAnsi="Times New Roman"/>
          <w:i/>
          <w:color w:val="1F1F1F"/>
          <w:sz w:val="20"/>
        </w:rPr>
        <w:t xml:space="preserve">Id.; </w:t>
      </w:r>
      <w:hyperlink r:id="rId33" w:anchor="co_pp_sp_345_1227">
        <w:r>
          <w:rPr>
            <w:rFonts w:ascii="Times New Roman" w:hAnsi="Times New Roman"/>
            <w:i/>
            <w:color w:val="1F1F1F"/>
            <w:sz w:val="20"/>
          </w:rPr>
          <w:t>National Artists Management Co., Inc. v. Weaving,</w:t>
        </w:r>
        <w:r>
          <w:rPr>
            <w:rFonts w:ascii="Times New Roman" w:hAnsi="Times New Roman"/>
            <w:color w:val="1F1F1F"/>
            <w:sz w:val="20"/>
          </w:rPr>
          <w:t xml:space="preserve"> 769 </w:t>
        </w:r>
        <w:proofErr w:type="spellStart"/>
        <w:r>
          <w:rPr>
            <w:rFonts w:ascii="Times New Roman" w:hAnsi="Times New Roman"/>
            <w:color w:val="1F1F1F"/>
            <w:sz w:val="20"/>
          </w:rPr>
          <w:t>F.Supp</w:t>
        </w:r>
        <w:proofErr w:type="spellEnd"/>
        <w:r>
          <w:rPr>
            <w:rFonts w:ascii="Times New Roman" w:hAnsi="Times New Roman"/>
            <w:color w:val="1F1F1F"/>
            <w:sz w:val="20"/>
          </w:rPr>
          <w:t>. 1224, 1227–28 (S.D.N.Y.1991)</w:t>
        </w:r>
      </w:hyperlink>
      <w:r>
        <w:rPr>
          <w:rFonts w:ascii="Times New Roman" w:hAnsi="Times New Roman"/>
          <w:color w:val="1F1F1F"/>
          <w:sz w:val="20"/>
        </w:rPr>
        <w:t xml:space="preserve"> (citing </w:t>
      </w:r>
      <w:hyperlink r:id="rId34" w:anchor="co_pp_sp_345_1074">
        <w:r>
          <w:rPr>
            <w:rFonts w:ascii="Times New Roman" w:hAnsi="Times New Roman"/>
            <w:i/>
            <w:color w:val="1F1F1F"/>
            <w:sz w:val="20"/>
          </w:rPr>
          <w:t>Bevilaqua v. Bernstein,</w:t>
        </w:r>
        <w:r>
          <w:rPr>
            <w:rFonts w:ascii="Times New Roman" w:hAnsi="Times New Roman"/>
            <w:color w:val="1F1F1F"/>
            <w:sz w:val="20"/>
          </w:rPr>
          <w:t xml:space="preserve"> 642 </w:t>
        </w:r>
        <w:proofErr w:type="spellStart"/>
        <w:r>
          <w:rPr>
            <w:rFonts w:ascii="Times New Roman" w:hAnsi="Times New Roman"/>
            <w:color w:val="1F1F1F"/>
            <w:sz w:val="20"/>
          </w:rPr>
          <w:t>F.Supp</w:t>
        </w:r>
        <w:proofErr w:type="spellEnd"/>
        <w:r>
          <w:rPr>
            <w:rFonts w:ascii="Times New Roman" w:hAnsi="Times New Roman"/>
            <w:color w:val="1F1F1F"/>
            <w:sz w:val="20"/>
          </w:rPr>
          <w:t>. 1072, 1074 (S.D.N.Y.1986)</w:t>
        </w:r>
      </w:hyperlink>
      <w:r>
        <w:rPr>
          <w:rFonts w:ascii="Times New Roman" w:hAnsi="Times New Roman"/>
          <w:color w:val="1F1F1F"/>
          <w:sz w:val="20"/>
        </w:rPr>
        <w:t>).</w:t>
      </w:r>
    </w:p>
    <w:p w14:paraId="554F2C94" w14:textId="77777777" w:rsidR="00D00D35" w:rsidRDefault="001566AC">
      <w:pPr>
        <w:spacing w:after="0" w:line="275" w:lineRule="atLeast"/>
        <w:jc w:val="both"/>
      </w:pPr>
      <w:r>
        <w:rPr>
          <w:rFonts w:ascii="Times New Roman" w:hAnsi="Times New Roman"/>
          <w:color w:val="1F1F1F"/>
          <w:sz w:val="20"/>
        </w:rPr>
        <w:t> </w:t>
      </w:r>
    </w:p>
    <w:p w14:paraId="596E034E" w14:textId="77777777" w:rsidR="00D00D35" w:rsidRDefault="001566AC">
      <w:pPr>
        <w:spacing w:after="0" w:line="275" w:lineRule="atLeast"/>
        <w:jc w:val="both"/>
      </w:pPr>
      <w:r>
        <w:rPr>
          <w:rFonts w:ascii="Times New Roman" w:hAnsi="Times New Roman"/>
          <w:color w:val="1F1F1F"/>
          <w:sz w:val="20"/>
        </w:rPr>
        <w:t xml:space="preserve">In sum, the Court must use a “totality of the evidence” approach, and no single factor is conclusive. </w:t>
      </w:r>
      <w:hyperlink r:id="rId35" w:anchor="co_pp_sp_345_951">
        <w:r>
          <w:rPr>
            <w:rFonts w:ascii="Times New Roman" w:hAnsi="Times New Roman"/>
            <w:i/>
            <w:color w:val="1F1F1F"/>
            <w:sz w:val="20"/>
          </w:rPr>
          <w:t>Hicks,</w:t>
        </w:r>
        <w:r>
          <w:rPr>
            <w:rFonts w:ascii="Times New Roman" w:hAnsi="Times New Roman"/>
            <w:color w:val="1F1F1F"/>
            <w:sz w:val="20"/>
          </w:rPr>
          <w:t xml:space="preserve"> 839 </w:t>
        </w:r>
        <w:proofErr w:type="spellStart"/>
        <w:r>
          <w:rPr>
            <w:rFonts w:ascii="Times New Roman" w:hAnsi="Times New Roman"/>
            <w:color w:val="1F1F1F"/>
            <w:sz w:val="20"/>
          </w:rPr>
          <w:t>F.Supp</w:t>
        </w:r>
        <w:proofErr w:type="spellEnd"/>
        <w:r>
          <w:rPr>
            <w:rFonts w:ascii="Times New Roman" w:hAnsi="Times New Roman"/>
            <w:color w:val="1F1F1F"/>
            <w:sz w:val="20"/>
          </w:rPr>
          <w:t>. at 951;</w:t>
        </w:r>
      </w:hyperlink>
      <w:r>
        <w:rPr>
          <w:rFonts w:ascii="Times New Roman" w:hAnsi="Times New Roman"/>
          <w:color w:val="1F1F1F"/>
          <w:sz w:val="20"/>
        </w:rPr>
        <w:t xml:space="preserve"> </w:t>
      </w:r>
      <w:hyperlink r:id="rId36" w:anchor="co_pp_sp_345_1227">
        <w:r>
          <w:rPr>
            <w:rFonts w:ascii="Times New Roman" w:hAnsi="Times New Roman"/>
            <w:i/>
            <w:color w:val="1F1F1F"/>
            <w:sz w:val="20"/>
          </w:rPr>
          <w:t>National Artists,</w:t>
        </w:r>
        <w:r>
          <w:rPr>
            <w:rFonts w:ascii="Times New Roman" w:hAnsi="Times New Roman"/>
            <w:color w:val="1F1F1F"/>
            <w:sz w:val="20"/>
          </w:rPr>
          <w:t xml:space="preserve"> 769 </w:t>
        </w:r>
        <w:proofErr w:type="spellStart"/>
        <w:r>
          <w:rPr>
            <w:rFonts w:ascii="Times New Roman" w:hAnsi="Times New Roman"/>
            <w:color w:val="1F1F1F"/>
            <w:sz w:val="20"/>
          </w:rPr>
          <w:t>F.Supp</w:t>
        </w:r>
        <w:proofErr w:type="spellEnd"/>
        <w:r>
          <w:rPr>
            <w:rFonts w:ascii="Times New Roman" w:hAnsi="Times New Roman"/>
            <w:color w:val="1F1F1F"/>
            <w:sz w:val="20"/>
          </w:rPr>
          <w:t>. at 1227–28.</w:t>
        </w:r>
      </w:hyperlink>
      <w:r>
        <w:rPr>
          <w:rFonts w:ascii="Times New Roman" w:hAnsi="Times New Roman"/>
          <w:color w:val="1F1F1F"/>
          <w:sz w:val="20"/>
        </w:rPr>
        <w:t xml:space="preserve"> Place of residence is prima facie evidence of domicile. </w:t>
      </w:r>
      <w:hyperlink r:id="rId37" w:anchor="co_pp_sp_506_520">
        <w:r>
          <w:rPr>
            <w:rFonts w:ascii="Times New Roman" w:hAnsi="Times New Roman"/>
            <w:i/>
            <w:color w:val="1F1F1F"/>
            <w:sz w:val="20"/>
          </w:rPr>
          <w:t>State Farm Mut. Auto. Ins. Co. v. Dyer,</w:t>
        </w:r>
        <w:r>
          <w:rPr>
            <w:rFonts w:ascii="Times New Roman" w:hAnsi="Times New Roman"/>
            <w:color w:val="1F1F1F"/>
            <w:sz w:val="20"/>
          </w:rPr>
          <w:t xml:space="preserve"> 19 F.3d 514, 520 (10th Cir.1994)</w:t>
        </w:r>
      </w:hyperlink>
      <w:r>
        <w:rPr>
          <w:rFonts w:ascii="Times New Roman" w:hAnsi="Times New Roman"/>
          <w:color w:val="1F1F1F"/>
          <w:sz w:val="20"/>
        </w:rPr>
        <w:t xml:space="preserve">. However, if a defendant has more than one residence, he or she may only have one domicile at any one time. </w:t>
      </w:r>
      <w:hyperlink r:id="rId38">
        <w:r>
          <w:rPr>
            <w:rFonts w:ascii="Times New Roman" w:hAnsi="Times New Roman"/>
            <w:i/>
            <w:color w:val="1F1F1F"/>
            <w:sz w:val="20"/>
          </w:rPr>
          <w:t xml:space="preserve">Williamson v. </w:t>
        </w:r>
        <w:proofErr w:type="spellStart"/>
        <w:r>
          <w:rPr>
            <w:rFonts w:ascii="Times New Roman" w:hAnsi="Times New Roman"/>
            <w:i/>
            <w:color w:val="1F1F1F"/>
            <w:sz w:val="20"/>
          </w:rPr>
          <w:t>Osenton</w:t>
        </w:r>
        <w:proofErr w:type="spellEnd"/>
        <w:r>
          <w:rPr>
            <w:rFonts w:ascii="Times New Roman" w:hAnsi="Times New Roman"/>
            <w:i/>
            <w:color w:val="1F1F1F"/>
            <w:sz w:val="20"/>
          </w:rPr>
          <w:t>,</w:t>
        </w:r>
        <w:r>
          <w:rPr>
            <w:rFonts w:ascii="Times New Roman" w:hAnsi="Times New Roman"/>
            <w:color w:val="1F1F1F"/>
            <w:sz w:val="20"/>
          </w:rPr>
          <w:t xml:space="preserve"> 232 U.S. 619, 34 </w:t>
        </w:r>
        <w:proofErr w:type="spellStart"/>
        <w:r>
          <w:rPr>
            <w:rFonts w:ascii="Times New Roman" w:hAnsi="Times New Roman"/>
            <w:color w:val="1F1F1F"/>
            <w:sz w:val="20"/>
          </w:rPr>
          <w:t>S.Ct</w:t>
        </w:r>
        <w:proofErr w:type="spellEnd"/>
        <w:r>
          <w:rPr>
            <w:rFonts w:ascii="Times New Roman" w:hAnsi="Times New Roman"/>
            <w:color w:val="1F1F1F"/>
            <w:sz w:val="20"/>
          </w:rPr>
          <w:t xml:space="preserve">. 442, 58 </w:t>
        </w:r>
        <w:proofErr w:type="spellStart"/>
        <w:r>
          <w:rPr>
            <w:rFonts w:ascii="Times New Roman" w:hAnsi="Times New Roman"/>
            <w:color w:val="1F1F1F"/>
            <w:sz w:val="20"/>
          </w:rPr>
          <w:t>L.Ed</w:t>
        </w:r>
        <w:proofErr w:type="spellEnd"/>
        <w:r>
          <w:rPr>
            <w:rFonts w:ascii="Times New Roman" w:hAnsi="Times New Roman"/>
            <w:color w:val="1F1F1F"/>
            <w:sz w:val="20"/>
          </w:rPr>
          <w:t>. 758 (1914)</w:t>
        </w:r>
      </w:hyperlink>
      <w:r>
        <w:rPr>
          <w:rFonts w:ascii="Times New Roman" w:hAnsi="Times New Roman"/>
          <w:color w:val="1F1F1F"/>
          <w:sz w:val="20"/>
        </w:rPr>
        <w:t xml:space="preserve">. Additional factors used to determine domicile include the place where civil and political rights are exercised, taxes paid, real and personal property (such as automobiles) located, driver's and other licenses obtained, bank accounts maintained, and places of business or employment. </w:t>
      </w:r>
      <w:hyperlink r:id="rId39" w:anchor="co_pp_sp_345_951">
        <w:r>
          <w:rPr>
            <w:rFonts w:ascii="Times New Roman" w:hAnsi="Times New Roman"/>
            <w:i/>
            <w:color w:val="1F1F1F"/>
            <w:sz w:val="20"/>
          </w:rPr>
          <w:t>Hicks,</w:t>
        </w:r>
        <w:r>
          <w:rPr>
            <w:rFonts w:ascii="Times New Roman" w:hAnsi="Times New Roman"/>
            <w:color w:val="1F1F1F"/>
            <w:sz w:val="20"/>
          </w:rPr>
          <w:t xml:space="preserve"> 839 </w:t>
        </w:r>
        <w:proofErr w:type="spellStart"/>
        <w:r>
          <w:rPr>
            <w:rFonts w:ascii="Times New Roman" w:hAnsi="Times New Roman"/>
            <w:color w:val="1F1F1F"/>
            <w:sz w:val="20"/>
          </w:rPr>
          <w:t>F.Supp</w:t>
        </w:r>
        <w:proofErr w:type="spellEnd"/>
        <w:r>
          <w:rPr>
            <w:rFonts w:ascii="Times New Roman" w:hAnsi="Times New Roman"/>
            <w:color w:val="1F1F1F"/>
            <w:sz w:val="20"/>
          </w:rPr>
          <w:t>. at 951;</w:t>
        </w:r>
      </w:hyperlink>
      <w:r>
        <w:rPr>
          <w:rFonts w:ascii="Times New Roman" w:hAnsi="Times New Roman"/>
          <w:color w:val="1F1F1F"/>
          <w:sz w:val="20"/>
        </w:rPr>
        <w:t xml:space="preserve"> </w:t>
      </w:r>
      <w:hyperlink r:id="rId40" w:anchor="co_pp_sp_345_1227">
        <w:r>
          <w:rPr>
            <w:rFonts w:ascii="Times New Roman" w:hAnsi="Times New Roman"/>
            <w:i/>
            <w:color w:val="1F1F1F"/>
            <w:sz w:val="20"/>
          </w:rPr>
          <w:t>National Artists,</w:t>
        </w:r>
        <w:r>
          <w:rPr>
            <w:rFonts w:ascii="Times New Roman" w:hAnsi="Times New Roman"/>
            <w:color w:val="1F1F1F"/>
            <w:sz w:val="20"/>
          </w:rPr>
          <w:t xml:space="preserve"> 769 </w:t>
        </w:r>
        <w:proofErr w:type="spellStart"/>
        <w:r>
          <w:rPr>
            <w:rFonts w:ascii="Times New Roman" w:hAnsi="Times New Roman"/>
            <w:color w:val="1F1F1F"/>
            <w:sz w:val="20"/>
          </w:rPr>
          <w:t>F.Supp</w:t>
        </w:r>
        <w:proofErr w:type="spellEnd"/>
        <w:r>
          <w:rPr>
            <w:rFonts w:ascii="Times New Roman" w:hAnsi="Times New Roman"/>
            <w:color w:val="1F1F1F"/>
            <w:sz w:val="20"/>
          </w:rPr>
          <w:t xml:space="preserve">. at 1227–28; </w:t>
        </w:r>
      </w:hyperlink>
      <w:r>
        <w:rPr>
          <w:rFonts w:ascii="Times New Roman" w:hAnsi="Times New Roman"/>
          <w:color w:val="1F1F1F"/>
          <w:sz w:val="20"/>
        </w:rPr>
        <w:t xml:space="preserve"> 1 Moore's Federal Practice ¶ 0.74[3.3] (1991 &amp; Supp.1993). Other factors are also relevant, such as whether the person owns or rents his place of residence, how permanent the residence appears, and the location of a person's physician, lawyer, accountant, dentist, stockbroker, etc. </w:t>
      </w:r>
      <w:hyperlink r:id="rId41" w:anchor="co_pp_sp_345_951">
        <w:r>
          <w:rPr>
            <w:rFonts w:ascii="Times New Roman" w:hAnsi="Times New Roman"/>
            <w:i/>
            <w:color w:val="1F1F1F"/>
            <w:sz w:val="20"/>
          </w:rPr>
          <w:t>Hicks,</w:t>
        </w:r>
        <w:r>
          <w:rPr>
            <w:rFonts w:ascii="Times New Roman" w:hAnsi="Times New Roman"/>
            <w:color w:val="1F1F1F"/>
            <w:sz w:val="20"/>
          </w:rPr>
          <w:t xml:space="preserve"> 839 </w:t>
        </w:r>
        <w:proofErr w:type="spellStart"/>
        <w:r>
          <w:rPr>
            <w:rFonts w:ascii="Times New Roman" w:hAnsi="Times New Roman"/>
            <w:color w:val="1F1F1F"/>
            <w:sz w:val="20"/>
          </w:rPr>
          <w:t>F.Supp</w:t>
        </w:r>
        <w:proofErr w:type="spellEnd"/>
        <w:r>
          <w:rPr>
            <w:rFonts w:ascii="Times New Roman" w:hAnsi="Times New Roman"/>
            <w:color w:val="1F1F1F"/>
            <w:sz w:val="20"/>
          </w:rPr>
          <w:t>. at 951;</w:t>
        </w:r>
      </w:hyperlink>
      <w:r>
        <w:rPr>
          <w:rFonts w:ascii="Times New Roman" w:hAnsi="Times New Roman"/>
          <w:color w:val="1F1F1F"/>
          <w:sz w:val="20"/>
        </w:rPr>
        <w:t xml:space="preserve"> </w:t>
      </w:r>
      <w:hyperlink r:id="rId42" w:anchor="co_pp_sp_345_1227">
        <w:r>
          <w:rPr>
            <w:rFonts w:ascii="Times New Roman" w:hAnsi="Times New Roman"/>
            <w:i/>
            <w:color w:val="1F1F1F"/>
            <w:sz w:val="20"/>
          </w:rPr>
          <w:t>National Artists,</w:t>
        </w:r>
        <w:r>
          <w:rPr>
            <w:rFonts w:ascii="Times New Roman" w:hAnsi="Times New Roman"/>
            <w:color w:val="1F1F1F"/>
            <w:sz w:val="20"/>
          </w:rPr>
          <w:t xml:space="preserve"> 769 </w:t>
        </w:r>
        <w:proofErr w:type="spellStart"/>
        <w:r>
          <w:rPr>
            <w:rFonts w:ascii="Times New Roman" w:hAnsi="Times New Roman"/>
            <w:color w:val="1F1F1F"/>
            <w:sz w:val="20"/>
          </w:rPr>
          <w:t>F.Supp</w:t>
        </w:r>
        <w:proofErr w:type="spellEnd"/>
        <w:r>
          <w:rPr>
            <w:rFonts w:ascii="Times New Roman" w:hAnsi="Times New Roman"/>
            <w:color w:val="1F1F1F"/>
            <w:sz w:val="20"/>
          </w:rPr>
          <w:t>. at 1227–28</w:t>
        </w:r>
      </w:hyperlink>
      <w:r>
        <w:rPr>
          <w:rFonts w:ascii="Times New Roman" w:hAnsi="Times New Roman"/>
          <w:color w:val="1F1F1F"/>
          <w:sz w:val="20"/>
        </w:rPr>
        <w:t xml:space="preserve"> (citing </w:t>
      </w:r>
      <w:hyperlink r:id="rId43" w:anchor="co_pp_sp_345_41">
        <w:r>
          <w:rPr>
            <w:rFonts w:ascii="Times New Roman" w:hAnsi="Times New Roman"/>
            <w:i/>
            <w:color w:val="1F1F1F"/>
            <w:sz w:val="20"/>
          </w:rPr>
          <w:t>Brignoli,</w:t>
        </w:r>
        <w:r>
          <w:rPr>
            <w:rFonts w:ascii="Times New Roman" w:hAnsi="Times New Roman"/>
            <w:color w:val="1F1F1F"/>
            <w:sz w:val="20"/>
          </w:rPr>
          <w:t xml:space="preserve"> 696 </w:t>
        </w:r>
        <w:proofErr w:type="spellStart"/>
        <w:r>
          <w:rPr>
            <w:rFonts w:ascii="Times New Roman" w:hAnsi="Times New Roman"/>
            <w:color w:val="1F1F1F"/>
            <w:sz w:val="20"/>
          </w:rPr>
          <w:t>F.Supp</w:t>
        </w:r>
        <w:proofErr w:type="spellEnd"/>
        <w:r>
          <w:rPr>
            <w:rFonts w:ascii="Times New Roman" w:hAnsi="Times New Roman"/>
            <w:color w:val="1F1F1F"/>
            <w:sz w:val="20"/>
          </w:rPr>
          <w:t>. at 41</w:t>
        </w:r>
      </w:hyperlink>
      <w:r>
        <w:rPr>
          <w:rFonts w:ascii="Times New Roman" w:hAnsi="Times New Roman"/>
          <w:color w:val="1F1F1F"/>
          <w:sz w:val="20"/>
        </w:rPr>
        <w:t xml:space="preserve"> and </w:t>
      </w:r>
      <w:hyperlink r:id="rId44" w:anchor="co_pp_sp_345_600">
        <w:r>
          <w:rPr>
            <w:rFonts w:ascii="Times New Roman" w:hAnsi="Times New Roman"/>
            <w:i/>
            <w:color w:val="1F1F1F"/>
            <w:sz w:val="20"/>
          </w:rPr>
          <w:t>Willis v. Westin Hotel Co.,</w:t>
        </w:r>
        <w:r>
          <w:rPr>
            <w:rFonts w:ascii="Times New Roman" w:hAnsi="Times New Roman"/>
            <w:color w:val="1F1F1F"/>
            <w:sz w:val="20"/>
          </w:rPr>
          <w:t xml:space="preserve"> 651 </w:t>
        </w:r>
        <w:proofErr w:type="spellStart"/>
        <w:r>
          <w:rPr>
            <w:rFonts w:ascii="Times New Roman" w:hAnsi="Times New Roman"/>
            <w:color w:val="1F1F1F"/>
            <w:sz w:val="20"/>
          </w:rPr>
          <w:t>F.Supp</w:t>
        </w:r>
        <w:proofErr w:type="spellEnd"/>
        <w:r>
          <w:rPr>
            <w:rFonts w:ascii="Times New Roman" w:hAnsi="Times New Roman"/>
            <w:color w:val="1F1F1F"/>
            <w:sz w:val="20"/>
          </w:rPr>
          <w:t>. 598, 600 (S.D.N.Y.1986)</w:t>
        </w:r>
      </w:hyperlink>
      <w:r>
        <w:rPr>
          <w:rFonts w:ascii="Times New Roman" w:hAnsi="Times New Roman"/>
          <w:color w:val="1F1F1F"/>
          <w:sz w:val="20"/>
        </w:rPr>
        <w:t>).</w:t>
      </w:r>
    </w:p>
    <w:p w14:paraId="6C81A37F" w14:textId="77777777" w:rsidR="00D00D35" w:rsidRDefault="001566AC">
      <w:pPr>
        <w:spacing w:after="0" w:line="275" w:lineRule="atLeast"/>
        <w:jc w:val="both"/>
      </w:pPr>
      <w:r>
        <w:rPr>
          <w:rFonts w:ascii="Times New Roman" w:hAnsi="Times New Roman"/>
          <w:color w:val="1F1F1F"/>
          <w:sz w:val="20"/>
        </w:rPr>
        <w:t> </w:t>
      </w:r>
    </w:p>
    <w:p w14:paraId="446A2903" w14:textId="77777777" w:rsidR="00D00D35" w:rsidRDefault="001566AC">
      <w:pPr>
        <w:spacing w:before="400" w:after="0" w:line="275" w:lineRule="atLeast"/>
        <w:jc w:val="both"/>
      </w:pPr>
      <w:bookmarkStart w:id="18" w:name="co_anchor_If0309779952711ea80afece792"/>
      <w:bookmarkStart w:id="19" w:name="co_anchor_If0309779952711ea80afece79915"/>
      <w:r>
        <w:rPr>
          <w:rFonts w:ascii="Times New Roman" w:hAnsi="Times New Roman"/>
          <w:b/>
          <w:color w:val="1F1F1F"/>
          <w:sz w:val="20"/>
        </w:rPr>
        <w:t>C. Defendant's Citizenship</w:t>
      </w:r>
    </w:p>
    <w:bookmarkEnd w:id="18"/>
    <w:bookmarkEnd w:id="19"/>
    <w:p w14:paraId="37B424E4" w14:textId="77777777" w:rsidR="00D00D35" w:rsidRDefault="001566AC">
      <w:pPr>
        <w:spacing w:after="0" w:line="275" w:lineRule="atLeast"/>
        <w:jc w:val="both"/>
      </w:pPr>
      <w:r>
        <w:rPr>
          <w:rFonts w:ascii="Times New Roman" w:hAnsi="Times New Roman"/>
          <w:color w:val="1F1F1F"/>
          <w:sz w:val="20"/>
        </w:rPr>
        <w:t xml:space="preserve">In this case, Defendant maintains two </w:t>
      </w:r>
      <w:proofErr w:type="gramStart"/>
      <w:r>
        <w:rPr>
          <w:rFonts w:ascii="Times New Roman" w:hAnsi="Times New Roman"/>
          <w:color w:val="1F1F1F"/>
          <w:sz w:val="20"/>
        </w:rPr>
        <w:t>residences</w:t>
      </w:r>
      <w:proofErr w:type="gramEnd"/>
      <w:r>
        <w:rPr>
          <w:rFonts w:ascii="Times New Roman" w:hAnsi="Times New Roman"/>
          <w:color w:val="1F1F1F"/>
          <w:sz w:val="20"/>
        </w:rPr>
        <w:t xml:space="preserve"> namely, a residence in Chicago and a residence in New Buffalo. Defendant continues to maintain her only bank account in Chicago, receive mail at her Chicago address, and obtain professional services from the same doctors and accountants in the Chicago area. In addition, Defendant filed 1996's </w:t>
      </w:r>
      <w:r>
        <w:rPr>
          <w:rFonts w:ascii="Times New Roman" w:hAnsi="Times New Roman"/>
          <w:color w:val="1F1F1F"/>
          <w:sz w:val="20"/>
        </w:rPr>
        <w:t xml:space="preserve">Federal, State, and City of Chicago taxes using her Chicago address, and is a registered agent for two different Illinois companies. Further, Defendant no longer has any family in </w:t>
      </w:r>
      <w:proofErr w:type="gramStart"/>
      <w:r>
        <w:rPr>
          <w:rFonts w:ascii="Times New Roman" w:hAnsi="Times New Roman"/>
          <w:color w:val="1F1F1F"/>
          <w:sz w:val="20"/>
        </w:rPr>
        <w:t>Michigan</w:t>
      </w:r>
      <w:proofErr w:type="gramEnd"/>
      <w:r>
        <w:rPr>
          <w:rFonts w:ascii="Times New Roman" w:hAnsi="Times New Roman"/>
          <w:color w:val="1F1F1F"/>
          <w:sz w:val="20"/>
        </w:rPr>
        <w:t xml:space="preserve"> and her two children now live in the Chicago area. Plaintiff argues that Defendant's continued residence in Chicago establishes diversity.</w:t>
      </w:r>
    </w:p>
    <w:p w14:paraId="14F81FA3" w14:textId="77777777" w:rsidR="00D00D35" w:rsidRDefault="001566AC">
      <w:pPr>
        <w:spacing w:after="0" w:line="275" w:lineRule="atLeast"/>
        <w:jc w:val="both"/>
      </w:pPr>
      <w:r>
        <w:rPr>
          <w:rFonts w:ascii="Times New Roman" w:hAnsi="Times New Roman"/>
          <w:color w:val="1F1F1F"/>
          <w:sz w:val="20"/>
        </w:rPr>
        <w:t> </w:t>
      </w:r>
    </w:p>
    <w:p w14:paraId="0DE27DC5" w14:textId="77777777" w:rsidR="00D00D35" w:rsidRDefault="001566AC">
      <w:pPr>
        <w:spacing w:after="0" w:line="275" w:lineRule="atLeast"/>
        <w:jc w:val="both"/>
      </w:pPr>
      <w:r>
        <w:rPr>
          <w:rFonts w:ascii="Times New Roman" w:hAnsi="Times New Roman"/>
          <w:color w:val="1F1F1F"/>
          <w:sz w:val="20"/>
        </w:rPr>
        <w:t xml:space="preserve">To support his claim of diversity, Plaintiff cites </w:t>
      </w:r>
      <w:hyperlink r:id="rId45">
        <w:r>
          <w:rPr>
            <w:rFonts w:ascii="Times New Roman" w:hAnsi="Times New Roman"/>
            <w:i/>
            <w:color w:val="1F1F1F"/>
            <w:sz w:val="20"/>
          </w:rPr>
          <w:t>Galva Foundry Co. v. Heiden,</w:t>
        </w:r>
        <w:r>
          <w:rPr>
            <w:rFonts w:ascii="Times New Roman" w:hAnsi="Times New Roman"/>
            <w:color w:val="1F1F1F"/>
            <w:sz w:val="20"/>
          </w:rPr>
          <w:t xml:space="preserve"> 924 F.2d 729 (7th Cir.1991)</w:t>
        </w:r>
      </w:hyperlink>
      <w:r>
        <w:rPr>
          <w:rFonts w:ascii="Times New Roman" w:hAnsi="Times New Roman"/>
          <w:color w:val="1F1F1F"/>
          <w:sz w:val="20"/>
        </w:rPr>
        <w:t xml:space="preserve">. In </w:t>
      </w:r>
      <w:r>
        <w:rPr>
          <w:rFonts w:ascii="Times New Roman" w:hAnsi="Times New Roman"/>
          <w:i/>
          <w:color w:val="1F1F1F"/>
          <w:sz w:val="20"/>
        </w:rPr>
        <w:t>Galva,</w:t>
      </w:r>
      <w:r>
        <w:rPr>
          <w:rFonts w:ascii="Times New Roman" w:hAnsi="Times New Roman"/>
          <w:color w:val="1F1F1F"/>
          <w:sz w:val="20"/>
        </w:rPr>
        <w:t xml:space="preserve"> the defendant maintained a residence in both Illinois and Florida. The defendant's Florida residence was nothing more than a vacation home and he spent most of the year in Illinois. Thus, the Seventh Circuit held that Illinois was the defendant's domicile.</w:t>
      </w:r>
    </w:p>
    <w:p w14:paraId="44FFA1F8" w14:textId="77777777" w:rsidR="00D00D35" w:rsidRDefault="001566AC">
      <w:pPr>
        <w:spacing w:after="0" w:line="275" w:lineRule="atLeast"/>
        <w:jc w:val="both"/>
      </w:pPr>
      <w:r>
        <w:rPr>
          <w:rFonts w:ascii="Times New Roman" w:hAnsi="Times New Roman"/>
          <w:color w:val="1F1F1F"/>
          <w:sz w:val="20"/>
        </w:rPr>
        <w:t> </w:t>
      </w:r>
    </w:p>
    <w:p w14:paraId="1DF571CD" w14:textId="77777777" w:rsidR="00D00D35" w:rsidRDefault="001566AC">
      <w:pPr>
        <w:spacing w:after="0" w:line="275" w:lineRule="atLeast"/>
        <w:jc w:val="both"/>
      </w:pPr>
      <w:r>
        <w:rPr>
          <w:rFonts w:ascii="Times New Roman" w:hAnsi="Times New Roman"/>
          <w:color w:val="1F1F1F"/>
          <w:sz w:val="20"/>
        </w:rPr>
        <w:t xml:space="preserve">Here, Defendant's New Buffalo home was not simply a vacation home. Defendant's normal routine involved commuting to Chicago at the beginning of each week, working four days in Chicago while staying in her Chicago condominium, and then commuting back to her residence in New Buffalo. Moreover, an allegation of residence in establishing diversity of citizenship alone is insufficient, since residence is not tantamount to citizenship. </w:t>
      </w:r>
      <w:hyperlink r:id="rId46" w:anchor="co_pp_sp_350_412">
        <w:r>
          <w:rPr>
            <w:rFonts w:ascii="Times New Roman" w:hAnsi="Times New Roman"/>
            <w:i/>
            <w:color w:val="1F1F1F"/>
            <w:sz w:val="20"/>
          </w:rPr>
          <w:t>Nadler v. American Motors Sales Corp.,</w:t>
        </w:r>
        <w:r>
          <w:rPr>
            <w:rFonts w:ascii="Times New Roman" w:hAnsi="Times New Roman"/>
            <w:color w:val="1F1F1F"/>
            <w:sz w:val="20"/>
          </w:rPr>
          <w:t xml:space="preserve"> 764 F.2d 409, 412–13 (5th Cir.1985)</w:t>
        </w:r>
      </w:hyperlink>
      <w:r>
        <w:rPr>
          <w:rFonts w:ascii="Times New Roman" w:hAnsi="Times New Roman"/>
          <w:color w:val="1F1F1F"/>
          <w:sz w:val="20"/>
        </w:rPr>
        <w:t xml:space="preserve">. Diversity of citizenship rather than diversity of residence, is necessary to confer jurisdiction upon the District Court. </w:t>
      </w:r>
      <w:r>
        <w:rPr>
          <w:rFonts w:ascii="Times New Roman" w:hAnsi="Times New Roman"/>
          <w:i/>
          <w:color w:val="1F1F1F"/>
          <w:sz w:val="20"/>
        </w:rPr>
        <w:t xml:space="preserve">See </w:t>
      </w:r>
      <w:hyperlink r:id="rId47" w:anchor="co_pp_sp_350_1009">
        <w:r>
          <w:rPr>
            <w:rFonts w:ascii="Times New Roman" w:hAnsi="Times New Roman"/>
            <w:i/>
            <w:color w:val="1F1F1F"/>
            <w:sz w:val="20"/>
          </w:rPr>
          <w:t>Kaiser v. Loomis,</w:t>
        </w:r>
        <w:r>
          <w:rPr>
            <w:rFonts w:ascii="Times New Roman" w:hAnsi="Times New Roman"/>
            <w:color w:val="1F1F1F"/>
            <w:sz w:val="20"/>
          </w:rPr>
          <w:t xml:space="preserve"> 391 F.2d 1007, 1009 (6th Cir.1968)</w:t>
        </w:r>
      </w:hyperlink>
      <w:r>
        <w:rPr>
          <w:rFonts w:ascii="Times New Roman" w:hAnsi="Times New Roman"/>
          <w:color w:val="1F1F1F"/>
          <w:sz w:val="20"/>
        </w:rPr>
        <w:t>.</w:t>
      </w:r>
    </w:p>
    <w:p w14:paraId="6C1B7C9E" w14:textId="77777777" w:rsidR="00D00D35" w:rsidRDefault="001566AC">
      <w:pPr>
        <w:spacing w:after="0" w:line="275" w:lineRule="atLeast"/>
        <w:jc w:val="both"/>
      </w:pPr>
      <w:r>
        <w:rPr>
          <w:rFonts w:ascii="Times New Roman" w:hAnsi="Times New Roman"/>
          <w:color w:val="1F1F1F"/>
          <w:sz w:val="20"/>
        </w:rPr>
        <w:t> </w:t>
      </w:r>
    </w:p>
    <w:p w14:paraId="7588AD9C" w14:textId="77777777" w:rsidR="00D00D35" w:rsidRDefault="001566AC">
      <w:pPr>
        <w:spacing w:after="0" w:line="275" w:lineRule="atLeast"/>
        <w:jc w:val="both"/>
      </w:pPr>
      <w:r>
        <w:rPr>
          <w:rFonts w:ascii="Times New Roman" w:hAnsi="Times New Roman"/>
          <w:color w:val="1F1F1F"/>
          <w:sz w:val="20"/>
        </w:rPr>
        <w:t xml:space="preserve">Defendant stated that her intent was to change her citizenship or domicile from Illinois to Michigan in 1994. Defendant's intent was manifested in her actions to obtain a Michigan driver's license, register her car in Michigan, purchase Michigan insurance for her car, begin voting in Michigan, and claim the Michigan homestead exemption for the </w:t>
      </w:r>
      <w:bookmarkStart w:id="20" w:name="co_pp_sp_4637_670_1"/>
      <w:r>
        <w:rPr>
          <w:rFonts w:ascii="Times New Roman" w:hAnsi="Times New Roman"/>
          <w:b/>
          <w:color w:val="000000"/>
          <w:sz w:val="20"/>
        </w:rPr>
        <w:t>*670</w:t>
      </w:r>
      <w:bookmarkEnd w:id="20"/>
      <w:r>
        <w:rPr>
          <w:rFonts w:ascii="Times New Roman" w:hAnsi="Times New Roman"/>
          <w:color w:val="1F1F1F"/>
          <w:sz w:val="20"/>
        </w:rPr>
        <w:t xml:space="preserve"> Michigan property. Defendant further manifested her intent by cutting back the amount of time she spent in Chicago working and increasing the time she spent in New Buffalo. Defendant's primary connection with Illinois is her business relationships. Accordingly, Plaintiff fails to show by a preponderance of the evidence that Plaintiff and Defendant are of diverse citizenship, and the complaint fails under </w:t>
      </w:r>
      <w:hyperlink r:id="rId48">
        <w:r>
          <w:rPr>
            <w:rFonts w:ascii="Times New Roman" w:hAnsi="Times New Roman"/>
            <w:color w:val="1F1F1F"/>
            <w:sz w:val="20"/>
          </w:rPr>
          <w:t>Rule 12(b)(1)</w:t>
        </w:r>
      </w:hyperlink>
      <w:r>
        <w:rPr>
          <w:rFonts w:ascii="Times New Roman" w:hAnsi="Times New Roman"/>
          <w:color w:val="1F1F1F"/>
          <w:sz w:val="20"/>
        </w:rPr>
        <w:t>.</w:t>
      </w:r>
    </w:p>
    <w:p w14:paraId="17792F63" w14:textId="77777777" w:rsidR="00D00D35" w:rsidRDefault="001566AC">
      <w:pPr>
        <w:spacing w:after="0" w:line="275" w:lineRule="atLeast"/>
        <w:jc w:val="both"/>
      </w:pPr>
      <w:r>
        <w:rPr>
          <w:rFonts w:ascii="Times New Roman" w:hAnsi="Times New Roman"/>
          <w:color w:val="1F1F1F"/>
          <w:sz w:val="20"/>
        </w:rPr>
        <w:t> </w:t>
      </w:r>
    </w:p>
    <w:p w14:paraId="1F1BAA3B" w14:textId="77777777" w:rsidR="00D00D35" w:rsidRDefault="001566AC">
      <w:pPr>
        <w:spacing w:before="600" w:after="0" w:line="275" w:lineRule="atLeast"/>
        <w:jc w:val="both"/>
      </w:pPr>
      <w:bookmarkStart w:id="21" w:name="co_anchor_If030977a952711ea80afece792"/>
      <w:bookmarkStart w:id="22" w:name="co_anchor_If030977a952711ea80afece79915"/>
      <w:r>
        <w:rPr>
          <w:rFonts w:ascii="Times New Roman" w:hAnsi="Times New Roman"/>
          <w:b/>
          <w:color w:val="1F1F1F"/>
          <w:sz w:val="20"/>
        </w:rPr>
        <w:t>CONCLUSION</w:t>
      </w:r>
    </w:p>
    <w:bookmarkEnd w:id="21"/>
    <w:bookmarkEnd w:id="22"/>
    <w:p w14:paraId="035E54EE" w14:textId="77777777" w:rsidR="00D00D35" w:rsidRDefault="001566AC">
      <w:pPr>
        <w:spacing w:before="200" w:after="0" w:line="275" w:lineRule="atLeast"/>
        <w:jc w:val="both"/>
      </w:pPr>
      <w:r>
        <w:rPr>
          <w:rFonts w:ascii="Times New Roman" w:hAnsi="Times New Roman"/>
          <w:color w:val="1F1F1F"/>
          <w:sz w:val="20"/>
        </w:rPr>
        <w:lastRenderedPageBreak/>
        <w:t>For the aforesaid reasons, Defendant's motion will be granted.</w:t>
      </w:r>
    </w:p>
    <w:p w14:paraId="54ECEA7A" w14:textId="77777777" w:rsidR="00D00D35" w:rsidRDefault="001566AC">
      <w:pPr>
        <w:spacing w:after="0" w:line="275" w:lineRule="atLeast"/>
        <w:jc w:val="both"/>
      </w:pPr>
      <w:r>
        <w:rPr>
          <w:rFonts w:ascii="Times New Roman" w:hAnsi="Times New Roman"/>
          <w:color w:val="1F1F1F"/>
          <w:sz w:val="20"/>
        </w:rPr>
        <w:t> </w:t>
      </w:r>
    </w:p>
    <w:p w14:paraId="1FEC371E" w14:textId="77777777" w:rsidR="00D00D35" w:rsidRDefault="001566AC">
      <w:pPr>
        <w:keepNext/>
        <w:keepLines/>
        <w:spacing w:before="200" w:after="0" w:line="275" w:lineRule="atLeast"/>
        <w:jc w:val="both"/>
      </w:pPr>
      <w:bookmarkStart w:id="23" w:name="co_allCitations_1"/>
      <w:r>
        <w:rPr>
          <w:rFonts w:ascii="Times New Roman" w:hAnsi="Times New Roman"/>
          <w:b/>
          <w:color w:val="212121"/>
          <w:sz w:val="20"/>
        </w:rPr>
        <w:t>All Citations</w:t>
      </w:r>
    </w:p>
    <w:bookmarkEnd w:id="23"/>
    <w:p w14:paraId="440B49D9" w14:textId="77777777" w:rsidR="00D00D35" w:rsidRDefault="001566AC">
      <w:pPr>
        <w:spacing w:before="200" w:after="0" w:line="275" w:lineRule="atLeast"/>
        <w:jc w:val="both"/>
      </w:pPr>
      <w:r>
        <w:rPr>
          <w:rFonts w:ascii="Times New Roman" w:hAnsi="Times New Roman"/>
          <w:color w:val="1F1F1F"/>
          <w:sz w:val="20"/>
        </w:rPr>
        <w:t>6 F.Supp.2d 666</w:t>
      </w:r>
    </w:p>
    <w:p w14:paraId="001CDC68" w14:textId="77777777" w:rsidR="00D00D35" w:rsidRDefault="00D00D35">
      <w:pPr>
        <w:sectPr w:rsidR="00D00D35" w:rsidSect="000A4B4F">
          <w:headerReference w:type="even" r:id="rId49"/>
          <w:headerReference w:type="default" r:id="rId50"/>
          <w:footerReference w:type="even" r:id="rId51"/>
          <w:footerReference w:type="default" r:id="rId52"/>
          <w:pgSz w:w="12240" w:h="15840"/>
          <w:pgMar w:top="1800" w:right="1080" w:bottom="1080" w:left="1080" w:header="0" w:footer="0" w:gutter="0"/>
          <w:pgNumType w:start="0"/>
          <w:cols w:num="2" w:space="240"/>
          <w:titlePg/>
          <w:docGrid w:linePitch="326"/>
        </w:sectPr>
      </w:pPr>
    </w:p>
    <w:p w14:paraId="6E403BB3" w14:textId="77777777" w:rsidR="00D00D35" w:rsidRDefault="00D00D35">
      <w:pPr>
        <w:spacing w:after="0" w:line="240" w:lineRule="auto"/>
      </w:pPr>
    </w:p>
    <w:tbl>
      <w:tblPr>
        <w:tblW w:w="0" w:type="auto"/>
        <w:tblInd w:w="24" w:type="dxa"/>
        <w:tblLayout w:type="fixed"/>
        <w:tblCellMar>
          <w:left w:w="10" w:type="dxa"/>
          <w:right w:w="10" w:type="dxa"/>
        </w:tblCellMar>
        <w:tblLook w:val="04A0" w:firstRow="1" w:lastRow="0" w:firstColumn="1" w:lastColumn="0" w:noHBand="0" w:noVBand="1"/>
      </w:tblPr>
      <w:tblGrid>
        <w:gridCol w:w="4305"/>
        <w:gridCol w:w="5745"/>
      </w:tblGrid>
      <w:tr w:rsidR="00D00D35" w14:paraId="423AAE7F" w14:textId="77777777">
        <w:tc>
          <w:tcPr>
            <w:tcW w:w="4305" w:type="dxa"/>
            <w:tcBorders>
              <w:top w:val="single" w:sz="4" w:space="0" w:color="777777"/>
            </w:tcBorders>
            <w:tcMar>
              <w:top w:w="75" w:type="dxa"/>
              <w:left w:w="24" w:type="dxa"/>
              <w:right w:w="24" w:type="dxa"/>
            </w:tcMar>
          </w:tcPr>
          <w:p w14:paraId="313F2B87" w14:textId="77777777" w:rsidR="00D00D35" w:rsidRDefault="001566AC">
            <w:pPr>
              <w:spacing w:after="0" w:line="235" w:lineRule="atLeast"/>
            </w:pPr>
            <w:r>
              <w:rPr>
                <w:rFonts w:ascii="Times New Roman" w:hAnsi="Times New Roman"/>
                <w:b/>
                <w:color w:val="777777"/>
                <w:sz w:val="16"/>
              </w:rPr>
              <w:t>End of Document</w:t>
            </w:r>
          </w:p>
        </w:tc>
        <w:tc>
          <w:tcPr>
            <w:tcW w:w="5745" w:type="dxa"/>
            <w:tcBorders>
              <w:top w:val="single" w:sz="4" w:space="0" w:color="777777"/>
            </w:tcBorders>
            <w:tcMar>
              <w:top w:w="75" w:type="dxa"/>
              <w:left w:w="30" w:type="dxa"/>
              <w:right w:w="30" w:type="dxa"/>
            </w:tcMar>
          </w:tcPr>
          <w:p w14:paraId="5F75B8AD" w14:textId="77777777" w:rsidR="00D00D35" w:rsidRDefault="001566AC">
            <w:pPr>
              <w:spacing w:after="0" w:line="235" w:lineRule="atLeast"/>
              <w:jc w:val="right"/>
            </w:pPr>
            <w:r>
              <w:rPr>
                <w:rFonts w:ascii="Times New Roman" w:hAnsi="Times New Roman"/>
                <w:color w:val="777777"/>
                <w:sz w:val="20"/>
              </w:rPr>
              <w:t>© 2026 Thomson Reuters. No claim to original U.S. Government Works.</w:t>
            </w:r>
          </w:p>
        </w:tc>
      </w:tr>
    </w:tbl>
    <w:p w14:paraId="60451C52" w14:textId="77777777" w:rsidR="001566AC" w:rsidRDefault="001566AC"/>
    <w:sectPr w:rsidR="001566AC">
      <w:pgSz w:w="12240" w:h="15840"/>
      <w:pgMar w:top="1800" w:right="1080" w:bottom="10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DA4F9" w14:textId="77777777" w:rsidR="00EA2753" w:rsidRDefault="00EA2753">
      <w:pPr>
        <w:spacing w:after="0" w:line="240" w:lineRule="auto"/>
      </w:pPr>
      <w:r>
        <w:separator/>
      </w:r>
    </w:p>
  </w:endnote>
  <w:endnote w:type="continuationSeparator" w:id="0">
    <w:p w14:paraId="7312744B" w14:textId="77777777" w:rsidR="00EA2753" w:rsidRDefault="00EA2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9270"/>
      <w:gridCol w:w="690"/>
    </w:tblGrid>
    <w:tr w:rsidR="00D00D35" w14:paraId="3B32FF14" w14:textId="77777777">
      <w:tc>
        <w:tcPr>
          <w:tcW w:w="9270" w:type="dxa"/>
          <w:tcBorders>
            <w:top w:val="single" w:sz="6" w:space="0" w:color="AAAAAA"/>
          </w:tcBorders>
          <w:tcMar>
            <w:top w:w="60" w:type="dxa"/>
          </w:tcMar>
          <w:vAlign w:val="bottom"/>
        </w:tcPr>
        <w:p w14:paraId="1109CB0F" w14:textId="77777777" w:rsidR="00D00D35" w:rsidRDefault="001566AC">
          <w:pPr>
            <w:spacing w:after="0" w:line="240" w:lineRule="auto"/>
          </w:pPr>
          <w:r>
            <w:rPr>
              <w:rFonts w:ascii="Arial" w:hAnsi="Arial"/>
              <w:noProof/>
              <w:color w:val="666666"/>
              <w:sz w:val="20"/>
            </w:rPr>
            <w:drawing>
              <wp:inline distT="0" distB="0" distL="0" distR="0" wp14:anchorId="164662AE" wp14:editId="2544609D">
                <wp:extent cx="742950" cy="95250"/>
                <wp:effectExtent l="0" t="0" r="0" b="0"/>
                <wp:docPr id="251279054" name="Picture 0" descr="Westlaw Logo"/>
                <wp:cNvGraphicFramePr/>
                <a:graphic xmlns:a="http://schemas.openxmlformats.org/drawingml/2006/main">
                  <a:graphicData uri="http://schemas.openxmlformats.org/drawingml/2006/picture">
                    <pic:pic xmlns:pic="http://schemas.openxmlformats.org/drawingml/2006/picture">
                      <pic:nvPicPr>
                        <pic:cNvPr id="2" name="Picture 0" descr="Westlaw Logo"/>
                        <pic:cNvPicPr/>
                      </pic:nvPicPr>
                      <pic:blipFill>
                        <a:blip r:embed="rId1"/>
                        <a:srcRect/>
                        <a:stretch>
                          <a:fillRect/>
                        </a:stretch>
                      </pic:blipFill>
                      <pic:spPr>
                        <a:xfrm>
                          <a:off x="0" y="0"/>
                          <a:ext cx="742950" cy="95250"/>
                        </a:xfrm>
                        <a:prstGeom prst="rect">
                          <a:avLst/>
                        </a:prstGeom>
                      </pic:spPr>
                    </pic:pic>
                  </a:graphicData>
                </a:graphic>
              </wp:inline>
            </w:drawing>
          </w:r>
          <w:r>
            <w:rPr>
              <w:rFonts w:ascii="Arial" w:hAnsi="Arial"/>
              <w:color w:val="666666"/>
              <w:sz w:val="20"/>
            </w:rPr>
            <w:t xml:space="preserve"> © 2026 Thomson Reuters. No claim to original U.S. Government Works.</w:t>
          </w:r>
        </w:p>
      </w:tc>
      <w:tc>
        <w:tcPr>
          <w:tcW w:w="690" w:type="dxa"/>
          <w:tcBorders>
            <w:top w:val="single" w:sz="6" w:space="0" w:color="AAAAAA"/>
          </w:tcBorders>
          <w:tcMar>
            <w:top w:w="60" w:type="dxa"/>
          </w:tcMar>
        </w:tcPr>
        <w:p w14:paraId="3FBFC69B" w14:textId="77777777" w:rsidR="00D00D35" w:rsidRDefault="001566AC">
          <w:pPr>
            <w:spacing w:after="0" w:line="240" w:lineRule="auto"/>
            <w:jc w:val="right"/>
          </w:pPr>
          <w:r>
            <w:rPr>
              <w:rFonts w:ascii="Arial" w:hAnsi="Arial"/>
              <w:color w:val="666666"/>
              <w:sz w:val="20"/>
            </w:rPr>
            <w:pgNum/>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9270"/>
      <w:gridCol w:w="690"/>
    </w:tblGrid>
    <w:tr w:rsidR="00D00D35" w14:paraId="52D3DB97" w14:textId="77777777">
      <w:tc>
        <w:tcPr>
          <w:tcW w:w="9270" w:type="dxa"/>
          <w:tcBorders>
            <w:top w:val="single" w:sz="6" w:space="0" w:color="AAAAAA"/>
          </w:tcBorders>
          <w:tcMar>
            <w:top w:w="60" w:type="dxa"/>
          </w:tcMar>
          <w:vAlign w:val="bottom"/>
        </w:tcPr>
        <w:p w14:paraId="288A5532" w14:textId="77777777" w:rsidR="00D00D35" w:rsidRDefault="001566AC">
          <w:pPr>
            <w:spacing w:after="0" w:line="240" w:lineRule="auto"/>
          </w:pPr>
          <w:r>
            <w:rPr>
              <w:rFonts w:ascii="Arial" w:hAnsi="Arial"/>
              <w:noProof/>
              <w:color w:val="666666"/>
              <w:sz w:val="20"/>
            </w:rPr>
            <w:drawing>
              <wp:inline distT="0" distB="0" distL="0" distR="0" wp14:anchorId="4B3B31BD" wp14:editId="38EFFD2C">
                <wp:extent cx="742950" cy="95250"/>
                <wp:effectExtent l="0" t="0" r="0" b="0"/>
                <wp:docPr id="1" name="Picture 0" descr="Westlaw Logo"/>
                <wp:cNvGraphicFramePr/>
                <a:graphic xmlns:a="http://schemas.openxmlformats.org/drawingml/2006/main">
                  <a:graphicData uri="http://schemas.openxmlformats.org/drawingml/2006/picture">
                    <pic:pic xmlns:pic="http://schemas.openxmlformats.org/drawingml/2006/picture">
                      <pic:nvPicPr>
                        <pic:cNvPr id="2" name="Picture 0" descr="Westlaw Logo"/>
                        <pic:cNvPicPr/>
                      </pic:nvPicPr>
                      <pic:blipFill>
                        <a:blip r:embed="rId1"/>
                        <a:srcRect/>
                        <a:stretch>
                          <a:fillRect/>
                        </a:stretch>
                      </pic:blipFill>
                      <pic:spPr>
                        <a:xfrm>
                          <a:off x="0" y="0"/>
                          <a:ext cx="742950" cy="95250"/>
                        </a:xfrm>
                        <a:prstGeom prst="rect">
                          <a:avLst/>
                        </a:prstGeom>
                      </pic:spPr>
                    </pic:pic>
                  </a:graphicData>
                </a:graphic>
              </wp:inline>
            </w:drawing>
          </w:r>
          <w:r>
            <w:rPr>
              <w:rFonts w:ascii="Arial" w:hAnsi="Arial"/>
              <w:color w:val="666666"/>
              <w:sz w:val="20"/>
            </w:rPr>
            <w:t xml:space="preserve"> © 2026 Thomson Reuters. No claim to original U.S. Government Works.</w:t>
          </w:r>
        </w:p>
      </w:tc>
      <w:tc>
        <w:tcPr>
          <w:tcW w:w="690" w:type="dxa"/>
          <w:tcBorders>
            <w:top w:val="single" w:sz="6" w:space="0" w:color="AAAAAA"/>
          </w:tcBorders>
          <w:tcMar>
            <w:top w:w="60" w:type="dxa"/>
          </w:tcMar>
        </w:tcPr>
        <w:p w14:paraId="5DF31E07" w14:textId="77777777" w:rsidR="00D00D35" w:rsidRDefault="001566AC">
          <w:pPr>
            <w:spacing w:after="0" w:line="240" w:lineRule="auto"/>
            <w:jc w:val="right"/>
          </w:pPr>
          <w:r>
            <w:rPr>
              <w:rFonts w:ascii="Arial" w:hAnsi="Arial"/>
              <w:color w:val="666666"/>
              <w:sz w:val="20"/>
            </w:rPr>
            <w:pgNum/>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B5CC" w14:textId="77777777" w:rsidR="00EA2753" w:rsidRDefault="00EA2753">
      <w:pPr>
        <w:spacing w:after="0" w:line="240" w:lineRule="auto"/>
      </w:pPr>
      <w:r>
        <w:separator/>
      </w:r>
    </w:p>
  </w:footnote>
  <w:footnote w:type="continuationSeparator" w:id="0">
    <w:p w14:paraId="2323ED59" w14:textId="77777777" w:rsidR="00EA2753" w:rsidRDefault="00EA27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9360"/>
      <w:gridCol w:w="705"/>
    </w:tblGrid>
    <w:tr w:rsidR="00D00D35" w14:paraId="6B335AEB" w14:textId="77777777">
      <w:tc>
        <w:tcPr>
          <w:tcW w:w="9360" w:type="dxa"/>
          <w:tcMar>
            <w:top w:w="300" w:type="dxa"/>
            <w:bottom w:w="45" w:type="dxa"/>
          </w:tcMar>
          <w:vAlign w:val="bottom"/>
        </w:tcPr>
        <w:p w14:paraId="11D5B303" w14:textId="1DCCAB65" w:rsidR="00D00D35" w:rsidRDefault="00E02798">
          <w:pPr>
            <w:spacing w:after="0" w:line="240" w:lineRule="auto"/>
            <w:jc w:val="center"/>
          </w:pPr>
          <w:r>
            <w:rPr>
              <w:rFonts w:ascii="Arial" w:hAnsi="Arial"/>
              <w:b/>
              <w:color w:val="000000"/>
              <w:sz w:val="18"/>
            </w:rPr>
            <w:t>Truskett</w:t>
          </w:r>
          <w:r w:rsidR="001566AC">
            <w:rPr>
              <w:rFonts w:ascii="Arial" w:hAnsi="Arial"/>
              <w:b/>
              <w:color w:val="000000"/>
              <w:sz w:val="18"/>
            </w:rPr>
            <w:t>, H</w:t>
          </w:r>
          <w:r>
            <w:rPr>
              <w:rFonts w:ascii="Arial" w:hAnsi="Arial"/>
              <w:b/>
              <w:color w:val="000000"/>
              <w:sz w:val="18"/>
            </w:rPr>
            <w:t>arve</w:t>
          </w:r>
          <w:r w:rsidR="001566AC">
            <w:rPr>
              <w:rFonts w:ascii="Arial" w:hAnsi="Arial"/>
              <w:color w:val="000000"/>
              <w:sz w:val="18"/>
            </w:rPr>
            <w:t xml:space="preserve"> </w:t>
          </w:r>
          <w:r w:rsidR="001566AC">
            <w:rPr>
              <w:rFonts w:ascii="Arial" w:hAnsi="Arial"/>
              <w:b/>
              <w:color w:val="000000"/>
              <w:sz w:val="18"/>
            </w:rPr>
            <w:t>09/1</w:t>
          </w:r>
          <w:r w:rsidR="00E65523">
            <w:rPr>
              <w:rFonts w:ascii="Arial" w:hAnsi="Arial"/>
              <w:b/>
              <w:color w:val="000000"/>
              <w:sz w:val="18"/>
            </w:rPr>
            <w:t>4</w:t>
          </w:r>
          <w:r w:rsidR="001566AC">
            <w:rPr>
              <w:rFonts w:ascii="Arial" w:hAnsi="Arial"/>
              <w:b/>
              <w:color w:val="000000"/>
              <w:sz w:val="18"/>
            </w:rPr>
            <w:t>/2026</w:t>
          </w:r>
        </w:p>
        <w:p w14:paraId="4E4127F2" w14:textId="77777777" w:rsidR="00D00D35" w:rsidRDefault="001566AC">
          <w:pPr>
            <w:spacing w:after="0" w:line="240" w:lineRule="auto"/>
            <w:jc w:val="center"/>
          </w:pPr>
          <w:r>
            <w:rPr>
              <w:rFonts w:ascii="Arial" w:hAnsi="Arial"/>
              <w:b/>
              <w:color w:val="000000"/>
              <w:sz w:val="18"/>
            </w:rPr>
            <w:t>For Educational Use Only</w:t>
          </w:r>
        </w:p>
      </w:tc>
      <w:tc>
        <w:tcPr>
          <w:tcW w:w="705" w:type="dxa"/>
        </w:tcPr>
        <w:p w14:paraId="34A64F0C" w14:textId="77777777" w:rsidR="00D00D35" w:rsidRDefault="00D00D35">
          <w:pPr>
            <w:spacing w:after="0" w:line="240" w:lineRule="auto"/>
          </w:pPr>
        </w:p>
      </w:tc>
    </w:tr>
    <w:tr w:rsidR="00D00D35" w14:paraId="40C4E621" w14:textId="77777777">
      <w:tc>
        <w:tcPr>
          <w:tcW w:w="9360" w:type="dxa"/>
          <w:tcBorders>
            <w:bottom w:val="single" w:sz="6" w:space="0" w:color="AAAAAA"/>
          </w:tcBorders>
          <w:tcMar>
            <w:top w:w="390" w:type="dxa"/>
            <w:bottom w:w="60" w:type="dxa"/>
          </w:tcMar>
          <w:vAlign w:val="bottom"/>
        </w:tcPr>
        <w:p w14:paraId="2C33E83A" w14:textId="77777777" w:rsidR="00D00D35" w:rsidRDefault="001566AC">
          <w:pPr>
            <w:spacing w:after="0" w:line="240" w:lineRule="auto"/>
          </w:pPr>
          <w:r>
            <w:rPr>
              <w:rFonts w:ascii="Arial" w:hAnsi="Arial"/>
              <w:b/>
              <w:color w:val="555555"/>
              <w:sz w:val="18"/>
            </w:rPr>
            <w:t>Edick v. Poznanski, 6 F.Supp.2d 666 (1998)</w:t>
          </w:r>
        </w:p>
      </w:tc>
      <w:tc>
        <w:tcPr>
          <w:tcW w:w="705" w:type="dxa"/>
          <w:tcBorders>
            <w:bottom w:val="single" w:sz="6" w:space="0" w:color="AAAAAA"/>
          </w:tcBorders>
          <w:tcMar>
            <w:top w:w="390" w:type="dxa"/>
            <w:bottom w:w="60" w:type="dxa"/>
          </w:tcMar>
        </w:tcPr>
        <w:p w14:paraId="5E60C07A" w14:textId="77777777" w:rsidR="00D00D35" w:rsidRDefault="00D00D35">
          <w:pPr>
            <w:spacing w:after="0" w:line="240" w:lineRule="auto"/>
            <w:rPr>
              <w:rFonts w:ascii="Arial" w:hAnsi="Arial"/>
              <w:color w:val="000000"/>
              <w:sz w:val="18"/>
            </w:rPr>
          </w:pPr>
        </w:p>
      </w:tc>
    </w:tr>
    <w:tr w:rsidR="000A4B4F" w14:paraId="6D4D4925" w14:textId="77777777" w:rsidTr="000A4B4F">
      <w:tc>
        <w:tcPr>
          <w:tcW w:w="10065" w:type="dxa"/>
          <w:gridSpan w:val="2"/>
        </w:tcPr>
        <w:p w14:paraId="5CBD69B6" w14:textId="77777777" w:rsidR="00D00D35" w:rsidRDefault="00D00D35">
          <w:pPr>
            <w:spacing w:after="0" w:line="240" w:lineRule="auto"/>
            <w:rPr>
              <w:rFonts w:ascii="Arial" w:hAnsi="Arial"/>
              <w:color w:val="000000"/>
              <w:sz w:val="18"/>
            </w:rPr>
          </w:pPr>
        </w:p>
      </w:tc>
    </w:tr>
  </w:tbl>
  <w:p w14:paraId="48FC07BA" w14:textId="77777777" w:rsidR="00D00D35" w:rsidRDefault="001566AC">
    <w:pPr>
      <w:spacing w:after="0" w:line="240" w:lineRule="auto"/>
    </w:pPr>
    <w:r>
      <w:rPr>
        <w:rFonts w:ascii="Arial" w:hAnsi="Arial"/>
        <w:color w:val="000000"/>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9360"/>
      <w:gridCol w:w="705"/>
    </w:tblGrid>
    <w:tr w:rsidR="00D00D35" w14:paraId="188D6FE5" w14:textId="77777777">
      <w:tc>
        <w:tcPr>
          <w:tcW w:w="9360" w:type="dxa"/>
          <w:tcMar>
            <w:top w:w="300" w:type="dxa"/>
            <w:bottom w:w="45" w:type="dxa"/>
          </w:tcMar>
          <w:vAlign w:val="bottom"/>
        </w:tcPr>
        <w:p w14:paraId="1D673670" w14:textId="0CBBE0A1" w:rsidR="00D00D35" w:rsidRDefault="00D00D35">
          <w:pPr>
            <w:spacing w:after="0" w:line="240" w:lineRule="auto"/>
            <w:jc w:val="center"/>
          </w:pPr>
        </w:p>
        <w:p w14:paraId="1BA02EB2" w14:textId="77777777" w:rsidR="00D00D35" w:rsidRDefault="001566AC">
          <w:pPr>
            <w:spacing w:after="0" w:line="240" w:lineRule="auto"/>
            <w:jc w:val="center"/>
          </w:pPr>
          <w:r>
            <w:rPr>
              <w:rFonts w:ascii="Arial" w:hAnsi="Arial"/>
              <w:b/>
              <w:color w:val="000000"/>
              <w:sz w:val="18"/>
            </w:rPr>
            <w:t>For Educational Use Only</w:t>
          </w:r>
        </w:p>
      </w:tc>
      <w:tc>
        <w:tcPr>
          <w:tcW w:w="705" w:type="dxa"/>
        </w:tcPr>
        <w:p w14:paraId="6B2C2B7E" w14:textId="77777777" w:rsidR="00D00D35" w:rsidRDefault="00D00D35">
          <w:pPr>
            <w:spacing w:after="0" w:line="240" w:lineRule="auto"/>
          </w:pPr>
        </w:p>
      </w:tc>
    </w:tr>
    <w:tr w:rsidR="00D00D35" w14:paraId="62110C24" w14:textId="77777777">
      <w:tc>
        <w:tcPr>
          <w:tcW w:w="9360" w:type="dxa"/>
          <w:tcBorders>
            <w:bottom w:val="single" w:sz="6" w:space="0" w:color="AAAAAA"/>
          </w:tcBorders>
          <w:tcMar>
            <w:top w:w="390" w:type="dxa"/>
            <w:bottom w:w="60" w:type="dxa"/>
          </w:tcMar>
          <w:vAlign w:val="bottom"/>
        </w:tcPr>
        <w:p w14:paraId="050A660F" w14:textId="77777777" w:rsidR="00D00D35" w:rsidRDefault="001566AC">
          <w:pPr>
            <w:spacing w:after="0" w:line="240" w:lineRule="auto"/>
          </w:pPr>
          <w:r>
            <w:rPr>
              <w:rFonts w:ascii="Arial" w:hAnsi="Arial"/>
              <w:b/>
              <w:color w:val="555555"/>
              <w:sz w:val="18"/>
            </w:rPr>
            <w:t>Edick v. Poznanski, 6 F.Supp.2d 666 (1998)</w:t>
          </w:r>
        </w:p>
      </w:tc>
      <w:tc>
        <w:tcPr>
          <w:tcW w:w="705" w:type="dxa"/>
          <w:tcBorders>
            <w:bottom w:val="single" w:sz="6" w:space="0" w:color="AAAAAA"/>
          </w:tcBorders>
          <w:tcMar>
            <w:top w:w="390" w:type="dxa"/>
            <w:bottom w:w="60" w:type="dxa"/>
          </w:tcMar>
        </w:tcPr>
        <w:p w14:paraId="7AF9F3F6" w14:textId="77777777" w:rsidR="00D00D35" w:rsidRDefault="00D00D35">
          <w:pPr>
            <w:spacing w:after="0" w:line="240" w:lineRule="auto"/>
            <w:rPr>
              <w:rFonts w:ascii="Arial" w:hAnsi="Arial"/>
              <w:color w:val="000000"/>
              <w:sz w:val="18"/>
            </w:rPr>
          </w:pPr>
        </w:p>
      </w:tc>
    </w:tr>
    <w:tr w:rsidR="000A4B4F" w14:paraId="5C834A3D" w14:textId="77777777" w:rsidTr="000A4B4F">
      <w:tc>
        <w:tcPr>
          <w:tcW w:w="10065" w:type="dxa"/>
          <w:gridSpan w:val="2"/>
        </w:tcPr>
        <w:p w14:paraId="430BB0F2" w14:textId="77777777" w:rsidR="00D00D35" w:rsidRDefault="00D00D35">
          <w:pPr>
            <w:spacing w:after="0" w:line="240" w:lineRule="auto"/>
            <w:rPr>
              <w:rFonts w:ascii="Arial" w:hAnsi="Arial"/>
              <w:color w:val="000000"/>
              <w:sz w:val="18"/>
            </w:rPr>
          </w:pPr>
        </w:p>
      </w:tc>
    </w:tr>
  </w:tbl>
  <w:p w14:paraId="33C3F5CE" w14:textId="77777777" w:rsidR="00D00D35" w:rsidRDefault="001566AC">
    <w:pPr>
      <w:spacing w:after="0" w:line="240" w:lineRule="auto"/>
    </w:pPr>
    <w:r>
      <w:rPr>
        <w:rFonts w:ascii="Arial" w:hAnsi="Arial"/>
        <w:color w:val="000000"/>
        <w:sz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35"/>
    <w:rsid w:val="000A4B4F"/>
    <w:rsid w:val="001566AC"/>
    <w:rsid w:val="00211E0C"/>
    <w:rsid w:val="00492462"/>
    <w:rsid w:val="005916CC"/>
    <w:rsid w:val="00D00D35"/>
    <w:rsid w:val="00E02798"/>
    <w:rsid w:val="00E65523"/>
    <w:rsid w:val="00EA2753"/>
    <w:rsid w:val="00EE4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B95A"/>
  <w15:docId w15:val="{6DA8C590-6CDD-463C-A66C-8B280AA6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B4F"/>
  </w:style>
  <w:style w:type="paragraph" w:styleId="Footer">
    <w:name w:val="footer"/>
    <w:basedOn w:val="Normal"/>
    <w:link w:val="FooterChar"/>
    <w:uiPriority w:val="99"/>
    <w:unhideWhenUsed/>
    <w:rsid w:val="000A4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B4F"/>
  </w:style>
  <w:style w:type="paragraph" w:styleId="NoSpacing">
    <w:name w:val="No Spacing"/>
    <w:link w:val="NoSpacingChar"/>
    <w:uiPriority w:val="1"/>
    <w:qFormat/>
    <w:rsid w:val="000A4B4F"/>
    <w:pPr>
      <w:spacing w:after="0" w:line="240" w:lineRule="auto"/>
    </w:pPr>
    <w:rPr>
      <w:kern w:val="0"/>
      <w:sz w:val="22"/>
      <w:szCs w:val="22"/>
    </w:rPr>
  </w:style>
  <w:style w:type="character" w:customStyle="1" w:styleId="NoSpacingChar">
    <w:name w:val="No Spacing Char"/>
    <w:basedOn w:val="DefaultParagraphFont"/>
    <w:link w:val="NoSpacing"/>
    <w:uiPriority w:val="1"/>
    <w:rsid w:val="000A4B4F"/>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estlaw.com/Link/Document/FullText?findType=L&amp;pubNum=1004365&amp;cite=USFRCPR12&amp;originatingDoc=I709eff0b567911d997e0acd5cbb90d3f&amp;refType=LQ&amp;originationContext=document&amp;vr=3.0&amp;rs=cblt1.0&amp;transitionType=DocumentItem&amp;contextData=(sc.Default)" TargetMode="External"/><Relationship Id="rId18" Type="http://schemas.openxmlformats.org/officeDocument/2006/relationships/hyperlink" Target="https://www.westlaw.com/Link/Document/FullText?findType=Y&amp;serNum=1990179440&amp;pubNum=350&amp;originatingDoc=I709eff0b567911d997e0acd5cbb90d3f&amp;refType=RP&amp;fi=co_pp_sp_350_325&amp;originationContext=document&amp;vr=3.0&amp;rs=cblt1.0&amp;transitionType=DocumentItem&amp;contextData=(sc.Default)" TargetMode="External"/><Relationship Id="rId26" Type="http://schemas.openxmlformats.org/officeDocument/2006/relationships/hyperlink" Target="https://www.westlaw.com/Link/Document/FullText?findType=Y&amp;serNum=1997134305&amp;pubNum=345&amp;originatingDoc=I709eff0b567911d997e0acd5cbb90d3f&amp;refType=RP&amp;fi=co_pp_sp_345_260&amp;originationContext=document&amp;vr=3.0&amp;rs=cblt1.0&amp;transitionType=DocumentItem&amp;contextData=(sc.Default)" TargetMode="External"/><Relationship Id="rId39" Type="http://schemas.openxmlformats.org/officeDocument/2006/relationships/hyperlink" Target="https://www.westlaw.com/Link/Document/FullText?findType=Y&amp;serNum=1993243419&amp;pubNum=345&amp;originatingDoc=I709eff0b567911d997e0acd5cbb90d3f&amp;refType=RP&amp;fi=co_pp_sp_345_951&amp;originationContext=document&amp;vr=3.0&amp;rs=cblt1.0&amp;transitionType=DocumentItem&amp;contextData=(sc.Default)" TargetMode="External"/><Relationship Id="rId21" Type="http://schemas.openxmlformats.org/officeDocument/2006/relationships/hyperlink" Target="https://www.westlaw.com/Link/Document/FullText?findType=Y&amp;serNum=1936122410&amp;pubNum=708&amp;originatingDoc=I709eff0b567911d997e0acd5cbb90d3f&amp;refType=RP&amp;originationContext=document&amp;vr=3.0&amp;rs=cblt1.0&amp;transitionType=DocumentItem&amp;contextData=(sc.Default)" TargetMode="External"/><Relationship Id="rId34" Type="http://schemas.openxmlformats.org/officeDocument/2006/relationships/hyperlink" Target="https://www.westlaw.com/Link/Document/FullText?findType=Y&amp;serNum=1986145207&amp;pubNum=345&amp;originatingDoc=I709eff0b567911d997e0acd5cbb90d3f&amp;refType=RP&amp;fi=co_pp_sp_345_1074&amp;originationContext=document&amp;vr=3.0&amp;rs=cblt1.0&amp;transitionType=DocumentItem&amp;contextData=(sc.Default)" TargetMode="External"/><Relationship Id="rId42" Type="http://schemas.openxmlformats.org/officeDocument/2006/relationships/hyperlink" Target="https://www.westlaw.com/Link/Document/FullText?findType=Y&amp;serNum=1991128646&amp;pubNum=345&amp;originatingDoc=I709eff0b567911d997e0acd5cbb90d3f&amp;refType=RP&amp;fi=co_pp_sp_345_1227&amp;originationContext=document&amp;vr=3.0&amp;rs=cblt1.0&amp;transitionType=DocumentItem&amp;contextData=(sc.Default)" TargetMode="External"/><Relationship Id="rId47" Type="http://schemas.openxmlformats.org/officeDocument/2006/relationships/hyperlink" Target="https://www.westlaw.com/Link/Document/FullText?findType=Y&amp;serNum=1968103461&amp;pubNum=350&amp;originatingDoc=I709eff0b567911d997e0acd5cbb90d3f&amp;refType=RP&amp;fi=co_pp_sp_350_1009&amp;originationContext=document&amp;vr=3.0&amp;rs=cblt1.0&amp;transitionType=DocumentItem&amp;contextData=(sc.Default)" TargetMode="External"/><Relationship Id="rId50" Type="http://schemas.openxmlformats.org/officeDocument/2006/relationships/header" Target="header2.xml"/><Relationship Id="rId7" Type="http://schemas.openxmlformats.org/officeDocument/2006/relationships/hyperlink" Target="https://www.westlaw.com/Link/Document/FullText?findType=h&amp;pubNum=176284&amp;cite=0198686001&amp;originatingDoc=I709eff0b567911d997e0acd5cbb90d3f&amp;refType=RQ&amp;originationContext=document&amp;vr=3.0&amp;rs=cblt1.0&amp;transitionType=DocumentItem&amp;contextData=(sc.Default)" TargetMode="External"/><Relationship Id="rId2" Type="http://schemas.openxmlformats.org/officeDocument/2006/relationships/settings" Target="settings.xml"/><Relationship Id="rId16" Type="http://schemas.openxmlformats.org/officeDocument/2006/relationships/hyperlink" Target="https://www.westlaw.com/Link/Document/FullText?findType=Y&amp;serNum=1990179440&amp;pubNum=350&amp;originatingDoc=I709eff0b567911d997e0acd5cbb90d3f&amp;refType=RP&amp;fi=co_pp_sp_350_325&amp;originationContext=document&amp;vr=3.0&amp;rs=cblt1.0&amp;transitionType=DocumentItem&amp;contextData=(sc.Default)" TargetMode="External"/><Relationship Id="rId29" Type="http://schemas.openxmlformats.org/officeDocument/2006/relationships/hyperlink" Target="https://www.westlaw.com/Link/Document/FullText?findType=Y&amp;serNum=1973109799&amp;pubNum=350&amp;originatingDoc=I709eff0b567911d997e0acd5cbb90d3f&amp;refType=RP&amp;fi=co_pp_sp_350_1120&amp;originationContext=document&amp;vr=3.0&amp;rs=cblt1.0&amp;transitionType=DocumentItem&amp;contextData=(sc.Default)" TargetMode="External"/><Relationship Id="rId11" Type="http://schemas.openxmlformats.org/officeDocument/2006/relationships/hyperlink" Target="https://www.westlaw.com/Link/Document/FullText?findType=L&amp;pubNum=1004365&amp;cite=USFRCPR12&amp;originatingDoc=I709eff0b567911d997e0acd5cbb90d3f&amp;refType=LQ&amp;originationContext=document&amp;vr=3.0&amp;rs=cblt1.0&amp;transitionType=DocumentItem&amp;contextData=(sc.Default)" TargetMode="External"/><Relationship Id="rId24" Type="http://schemas.openxmlformats.org/officeDocument/2006/relationships/hyperlink" Target="https://www.westlaw.com/Link/Document/FullText?findType=Y&amp;serNum=1989086445&amp;pubNum=708&amp;originatingDoc=I709eff0b567911d997e0acd5cbb90d3f&amp;refType=RP&amp;originationContext=document&amp;vr=3.0&amp;rs=cblt1.0&amp;transitionType=DocumentItem&amp;contextData=(sc.Default)" TargetMode="External"/><Relationship Id="rId32" Type="http://schemas.openxmlformats.org/officeDocument/2006/relationships/hyperlink" Target="https://www.westlaw.com/Link/Document/FullText?findType=Y&amp;serNum=1988126352&amp;pubNum=345&amp;originatingDoc=I709eff0b567911d997e0acd5cbb90d3f&amp;refType=RP&amp;fi=co_pp_sp_345_41&amp;originationContext=document&amp;vr=3.0&amp;rs=cblt1.0&amp;transitionType=DocumentItem&amp;contextData=(sc.Default)" TargetMode="External"/><Relationship Id="rId37" Type="http://schemas.openxmlformats.org/officeDocument/2006/relationships/hyperlink" Target="https://www.westlaw.com/Link/Document/FullText?findType=Y&amp;serNum=1994067066&amp;pubNum=506&amp;originatingDoc=I709eff0b567911d997e0acd5cbb90d3f&amp;refType=RP&amp;fi=co_pp_sp_506_520&amp;originationContext=document&amp;vr=3.0&amp;rs=cblt1.0&amp;transitionType=DocumentItem&amp;contextData=(sc.Default)" TargetMode="External"/><Relationship Id="rId40" Type="http://schemas.openxmlformats.org/officeDocument/2006/relationships/hyperlink" Target="https://www.westlaw.com/Link/Document/FullText?findType=Y&amp;serNum=1991128646&amp;pubNum=345&amp;originatingDoc=I709eff0b567911d997e0acd5cbb90d3f&amp;refType=RP&amp;fi=co_pp_sp_345_1227&amp;originationContext=document&amp;vr=3.0&amp;rs=cblt1.0&amp;transitionType=DocumentItem&amp;contextData=(sc.Default)" TargetMode="External"/><Relationship Id="rId45" Type="http://schemas.openxmlformats.org/officeDocument/2006/relationships/hyperlink" Target="https://www.westlaw.com/Link/Document/FullText?findType=Y&amp;serNum=1991038210&amp;pubNum=350&amp;originatingDoc=I709eff0b567911d997e0acd5cbb90d3f&amp;refType=RP&amp;originationContext=document&amp;vr=3.0&amp;rs=cblt1.0&amp;transitionType=DocumentItem&amp;contextData=(sc.Default)"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westlaw.com/Link/Document/FullText?findType=h&amp;pubNum=176284&amp;cite=0237762401&amp;originatingDoc=I709eff0b567911d997e0acd5cbb90d3f&amp;refType=RQ&amp;originationContext=document&amp;vr=3.0&amp;rs=cblt1.0&amp;transitionType=DocumentItem&amp;contextData=(sc.Default)" TargetMode="External"/><Relationship Id="rId19" Type="http://schemas.openxmlformats.org/officeDocument/2006/relationships/hyperlink" Target="https://www.westlaw.com/Link/Document/FullText?findType=Y&amp;serNum=1978121005&amp;pubNum=350&amp;originatingDoc=I709eff0b567911d997e0acd5cbb90d3f&amp;refType=RP&amp;originationContext=document&amp;vr=3.0&amp;rs=cblt1.0&amp;transitionType=DocumentItem&amp;contextData=(sc.Default)" TargetMode="External"/><Relationship Id="rId31" Type="http://schemas.openxmlformats.org/officeDocument/2006/relationships/hyperlink" Target="https://www.westlaw.com/Link/Document/FullText?findType=Y&amp;serNum=1993243419&amp;pubNum=345&amp;originatingDoc=I709eff0b567911d997e0acd5cbb90d3f&amp;refType=RP&amp;fi=co_pp_sp_345_951&amp;originationContext=document&amp;vr=3.0&amp;rs=cblt1.0&amp;transitionType=DocumentItem&amp;contextData=(sc.Default)" TargetMode="External"/><Relationship Id="rId44" Type="http://schemas.openxmlformats.org/officeDocument/2006/relationships/hyperlink" Target="https://www.westlaw.com/Link/Document/FullText?findType=Y&amp;serNum=1987010478&amp;pubNum=345&amp;originatingDoc=I709eff0b567911d997e0acd5cbb90d3f&amp;refType=RP&amp;fi=co_pp_sp_345_600&amp;originationContext=document&amp;vr=3.0&amp;rs=cblt1.0&amp;transitionType=DocumentItem&amp;contextData=(sc.Default)" TargetMode="External"/><Relationship Id="rId52"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westlaw.com/Link/Document/FullText?findType=h&amp;pubNum=176284&amp;cite=0207891801&amp;originatingDoc=I709eff0b567911d997e0acd5cbb90d3f&amp;refType=RQ&amp;originationContext=document&amp;vr=3.0&amp;rs=cblt1.0&amp;transitionType=DocumentItem&amp;contextData=(sc.Default)" TargetMode="External"/><Relationship Id="rId14" Type="http://schemas.openxmlformats.org/officeDocument/2006/relationships/hyperlink" Target="https://www.westlaw.com/Link/Document/FullText?findType=L&amp;pubNum=1004365&amp;cite=USFRCPR12&amp;originatingDoc=I709eff0b567911d997e0acd5cbb90d3f&amp;refType=LQ&amp;originationContext=document&amp;vr=3.0&amp;rs=cblt1.0&amp;transitionType=DocumentItem&amp;contextData=(sc.Default)" TargetMode="External"/><Relationship Id="rId22" Type="http://schemas.openxmlformats.org/officeDocument/2006/relationships/hyperlink" Target="https://www.westlaw.com/Link/Document/FullText?findType=Y&amp;serNum=1994150445&amp;pubNum=506&amp;originatingDoc=I709eff0b567911d997e0acd5cbb90d3f&amp;refType=RP&amp;fi=co_pp_sp_506_258&amp;originationContext=document&amp;vr=3.0&amp;rs=cblt1.0&amp;transitionType=DocumentItem&amp;contextData=(sc.Default)" TargetMode="External"/><Relationship Id="rId27" Type="http://schemas.openxmlformats.org/officeDocument/2006/relationships/hyperlink" Target="https://www.westlaw.com/Link/Document/FullText?findType=Y&amp;serNum=1993125063&amp;pubNum=350&amp;originatingDoc=I709eff0b567911d997e0acd5cbb90d3f&amp;refType=RP&amp;fi=co_pp_sp_350_158&amp;originationContext=document&amp;vr=3.0&amp;rs=cblt1.0&amp;transitionType=DocumentItem&amp;contextData=(sc.Default)" TargetMode="External"/><Relationship Id="rId30" Type="http://schemas.openxmlformats.org/officeDocument/2006/relationships/hyperlink" Target="https://www.westlaw.com/Link/Document/FullText?findType=Y&amp;serNum=1973109799&amp;pubNum=350&amp;originatingDoc=I709eff0b567911d997e0acd5cbb90d3f&amp;refType=RP&amp;fi=co_pp_sp_350_1120&amp;originationContext=document&amp;vr=3.0&amp;rs=cblt1.0&amp;transitionType=DocumentItem&amp;contextData=(sc.Default)" TargetMode="External"/><Relationship Id="rId35" Type="http://schemas.openxmlformats.org/officeDocument/2006/relationships/hyperlink" Target="https://www.westlaw.com/Link/Document/FullText?findType=Y&amp;serNum=1993243419&amp;pubNum=345&amp;originatingDoc=I709eff0b567911d997e0acd5cbb90d3f&amp;refType=RP&amp;fi=co_pp_sp_345_951&amp;originationContext=document&amp;vr=3.0&amp;rs=cblt1.0&amp;transitionType=DocumentItem&amp;contextData=(sc.Default)" TargetMode="External"/><Relationship Id="rId43" Type="http://schemas.openxmlformats.org/officeDocument/2006/relationships/hyperlink" Target="https://www.westlaw.com/Link/Document/FullText?findType=Y&amp;serNum=1988126352&amp;pubNum=345&amp;originatingDoc=I709eff0b567911d997e0acd5cbb90d3f&amp;refType=RP&amp;fi=co_pp_sp_345_41&amp;originationContext=document&amp;vr=3.0&amp;rs=cblt1.0&amp;transitionType=DocumentItem&amp;contextData=(sc.Default)" TargetMode="External"/><Relationship Id="rId48" Type="http://schemas.openxmlformats.org/officeDocument/2006/relationships/hyperlink" Target="https://www.westlaw.com/Link/Document/FullText?findType=L&amp;pubNum=1004365&amp;cite=USFRCPR12&amp;originatingDoc=I709eff0b567911d997e0acd5cbb90d3f&amp;refType=LQ&amp;originationContext=document&amp;vr=3.0&amp;rs=cblt1.0&amp;transitionType=DocumentItem&amp;contextData=(sc.Default)" TargetMode="External"/><Relationship Id="rId8" Type="http://schemas.openxmlformats.org/officeDocument/2006/relationships/hyperlink" Target="https://www.westlaw.com/Link/Document/FullText?findType=h&amp;pubNum=176284&amp;cite=0214992201&amp;originatingDoc=I709eff0b567911d997e0acd5cbb90d3f&amp;refType=RQ&amp;originationContext=document&amp;vr=3.0&amp;rs=cblt1.0&amp;transitionType=DocumentItem&amp;contextData=(sc.Default)" TargetMode="External"/><Relationship Id="rId51"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westlaw.com/Link/Document/FullText?findType=L&amp;pubNum=1000546&amp;cite=28USCAS1332&amp;originatingDoc=I709eff0b567911d997e0acd5cbb90d3f&amp;refType=LQ&amp;originationContext=document&amp;vr=3.0&amp;rs=cblt1.0&amp;transitionType=DocumentItem&amp;contextData=(sc.Default)" TargetMode="External"/><Relationship Id="rId17" Type="http://schemas.openxmlformats.org/officeDocument/2006/relationships/hyperlink" Target="https://www.westlaw.com/Link/Document/FullText?findType=Y&amp;serNum=0299659703&amp;pubNum=0102228&amp;originatingDoc=I709eff0b567911d997e0acd5cbb90d3f&amp;refType=TS&amp;originationContext=document&amp;vr=3.0&amp;rs=cblt1.0&amp;transitionType=DocumentItem&amp;contextData=(sc.Default)" TargetMode="External"/><Relationship Id="rId25" Type="http://schemas.openxmlformats.org/officeDocument/2006/relationships/hyperlink" Target="https://www.westlaw.com/Link/Document/FullText?findType=Y&amp;serNum=1936122564&amp;pubNum=708&amp;originatingDoc=I709eff0b567911d997e0acd5cbb90d3f&amp;refType=RP&amp;originationContext=document&amp;vr=3.0&amp;rs=cblt1.0&amp;transitionType=DocumentItem&amp;contextData=(sc.Default)" TargetMode="External"/><Relationship Id="rId33" Type="http://schemas.openxmlformats.org/officeDocument/2006/relationships/hyperlink" Target="https://www.westlaw.com/Link/Document/FullText?findType=Y&amp;serNum=1991128646&amp;pubNum=345&amp;originatingDoc=I709eff0b567911d997e0acd5cbb90d3f&amp;refType=RP&amp;fi=co_pp_sp_345_1227&amp;originationContext=document&amp;vr=3.0&amp;rs=cblt1.0&amp;transitionType=DocumentItem&amp;contextData=(sc.Default)" TargetMode="External"/><Relationship Id="rId38" Type="http://schemas.openxmlformats.org/officeDocument/2006/relationships/hyperlink" Target="https://www.westlaw.com/Link/Document/FullText?findType=Y&amp;serNum=1914100571&amp;pubNum=708&amp;originatingDoc=I709eff0b567911d997e0acd5cbb90d3f&amp;refType=RP&amp;originationContext=document&amp;vr=3.0&amp;rs=cblt1.0&amp;transitionType=DocumentItem&amp;contextData=(sc.Default)" TargetMode="External"/><Relationship Id="rId46" Type="http://schemas.openxmlformats.org/officeDocument/2006/relationships/hyperlink" Target="https://www.westlaw.com/Link/Document/FullText?findType=Y&amp;serNum=1985130483&amp;pubNum=350&amp;originatingDoc=I709eff0b567911d997e0acd5cbb90d3f&amp;refType=RP&amp;fi=co_pp_sp_350_412&amp;originationContext=document&amp;vr=3.0&amp;rs=cblt1.0&amp;transitionType=DocumentItem&amp;contextData=(sc.Default)" TargetMode="External"/><Relationship Id="rId20" Type="http://schemas.openxmlformats.org/officeDocument/2006/relationships/hyperlink" Target="https://www.westlaw.com/Link/Document/FullText?findType=Y&amp;serNum=1989152193&amp;pubNum=350&amp;originatingDoc=I709eff0b567911d997e0acd5cbb90d3f&amp;refType=RP&amp;fi=co_pp_sp_350_436&amp;originationContext=document&amp;vr=3.0&amp;rs=cblt1.0&amp;transitionType=DocumentItem&amp;contextData=(sc.Default)" TargetMode="External"/><Relationship Id="rId41" Type="http://schemas.openxmlformats.org/officeDocument/2006/relationships/hyperlink" Target="https://www.westlaw.com/Link/Document/FullText?findType=Y&amp;serNum=1993243419&amp;pubNum=345&amp;originatingDoc=I709eff0b567911d997e0acd5cbb90d3f&amp;refType=RP&amp;fi=co_pp_sp_345_951&amp;originationContext=document&amp;vr=3.0&amp;rs=cblt1.0&amp;transitionType=DocumentItem&amp;contextData=(sc.Default)"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westlaw.com/Link/Document/FullText?findType=h&amp;pubNum=176284&amp;cite=0237073201&amp;originatingDoc=I709eff0b567911d997e0acd5cbb90d3f&amp;refType=RQ&amp;originationContext=document&amp;vr=3.0&amp;rs=cblt1.0&amp;transitionType=DocumentItem&amp;contextData=(sc.Default)" TargetMode="External"/><Relationship Id="rId15" Type="http://schemas.openxmlformats.org/officeDocument/2006/relationships/hyperlink" Target="https://www.westlaw.com/Link/Document/FullText?findType=L&amp;pubNum=1004365&amp;cite=USFRCPR12&amp;originatingDoc=I709eff0b567911d997e0acd5cbb90d3f&amp;refType=LQ&amp;originationContext=document&amp;vr=3.0&amp;rs=cblt1.0&amp;transitionType=DocumentItem&amp;contextData=(sc.Default)" TargetMode="External"/><Relationship Id="rId23" Type="http://schemas.openxmlformats.org/officeDocument/2006/relationships/hyperlink" Target="https://www.westlaw.com/Link/Document/FullText?findType=L&amp;pubNum=1000546&amp;cite=28USCAS1332&amp;originatingDoc=I709eff0b567911d997e0acd5cbb90d3f&amp;refType=LQ&amp;originationContext=document&amp;vr=3.0&amp;rs=cblt1.0&amp;transitionType=DocumentItem&amp;contextData=(sc.Default)" TargetMode="External"/><Relationship Id="rId28" Type="http://schemas.openxmlformats.org/officeDocument/2006/relationships/hyperlink" Target="https://www.westlaw.com/Link/Document/FullText?findType=Y&amp;serNum=1994126708&amp;pubNum=506&amp;originatingDoc=I709eff0b567911d997e0acd5cbb90d3f&amp;refType=RP&amp;fi=co_pp_sp_506_41&amp;originationContext=document&amp;vr=3.0&amp;rs=cblt1.0&amp;transitionType=DocumentItem&amp;contextData=(sc.Default)" TargetMode="External"/><Relationship Id="rId36" Type="http://schemas.openxmlformats.org/officeDocument/2006/relationships/hyperlink" Target="https://www.westlaw.com/Link/Document/FullText?findType=Y&amp;serNum=1991128646&amp;pubNum=345&amp;originatingDoc=I709eff0b567911d997e0acd5cbb90d3f&amp;refType=RP&amp;fi=co_pp_sp_345_1227&amp;originationContext=document&amp;vr=3.0&amp;rs=cblt1.0&amp;transitionType=DocumentItem&amp;contextData=(sc.Default)" TargetMode="External"/><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3805</Words>
  <Characters>21692</Characters>
  <Application>Microsoft Office Word</Application>
  <DocSecurity>0</DocSecurity>
  <Lines>180</Lines>
  <Paragraphs>50</Paragraphs>
  <ScaleCrop>false</ScaleCrop>
  <Company/>
  <LinksUpToDate>false</LinksUpToDate>
  <CharactersWithSpaces>25447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Hilary S</dc:creator>
  <cp:lastModifiedBy>Truskett, Harve A</cp:lastModifiedBy>
  <cp:revision>2</cp:revision>
  <dcterms:created xsi:type="dcterms:W3CDTF">2026-09-14T18:40:00Z</dcterms:created>
  <dcterms:modified xsi:type="dcterms:W3CDTF">2026-09-14T18:40:00Z</dcterms:modified>
</cp:coreProperties>
</file>