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2017" w14:textId="77777777" w:rsidR="00AC6071" w:rsidRPr="00AC6071" w:rsidRDefault="00AC6071" w:rsidP="00AC6071">
      <w:pPr>
        <w:rPr>
          <w:rFonts w:ascii="Geneva" w:hAnsi="Geneva"/>
          <w:color w:val="4472C4"/>
        </w:rPr>
      </w:pPr>
      <w:r w:rsidRPr="00AC6071">
        <w:rPr>
          <w:rFonts w:ascii="Geneva" w:hAnsi="Geneva"/>
          <w:color w:val="4472C4"/>
        </w:rPr>
        <w:t>Exercise 8.1.1: Identifying When Terms in a Statute Apply to Your Client’s Facts</w:t>
      </w:r>
    </w:p>
    <w:p w14:paraId="6EDD1DC2" w14:textId="77777777" w:rsidR="00AC6071" w:rsidRPr="00AC6071" w:rsidRDefault="00AC6071" w:rsidP="00AC6071">
      <w:r w:rsidRPr="00AC6071">
        <w:t>In this exercise, students are asked to read a short fact pattern regarding a sunbather and then are asked to apply a single statutory provision to those facts. Note that in the facts, a towel was placed over his face, yet the advertisement showed his full face (presumably with the towel) and body. In comparing the facts with the statute, the following words should be underlined, circled or highlighted:</w:t>
      </w:r>
    </w:p>
    <w:p w14:paraId="33CB8666" w14:textId="77777777" w:rsidR="00AC6071" w:rsidRPr="00AC6071" w:rsidRDefault="00AC6071" w:rsidP="00AC6071">
      <w:r w:rsidRPr="00AC6071">
        <w:t>· Person</w:t>
      </w:r>
    </w:p>
    <w:p w14:paraId="21EFD8B0" w14:textId="77777777" w:rsidR="00AC6071" w:rsidRPr="00AC6071" w:rsidRDefault="00AC6071" w:rsidP="00AC6071">
      <w:r w:rsidRPr="00AC6071">
        <w:t>· Picture</w:t>
      </w:r>
    </w:p>
    <w:p w14:paraId="0958A56B" w14:textId="77777777" w:rsidR="00AC6071" w:rsidRPr="00AC6071" w:rsidRDefault="00AC6071" w:rsidP="00AC6071">
      <w:r w:rsidRPr="00AC6071">
        <w:t>· Advertising purposes</w:t>
      </w:r>
    </w:p>
    <w:p w14:paraId="28CEA64E" w14:textId="77777777" w:rsidR="00AC6071" w:rsidRPr="00AC6071" w:rsidRDefault="00AC6071" w:rsidP="00AC6071">
      <w:r w:rsidRPr="00AC6071">
        <w:t>· Without having obtained written consent of such person</w:t>
      </w:r>
    </w:p>
    <w:p w14:paraId="1ACECD2A" w14:textId="77777777" w:rsidR="00AC6071" w:rsidRPr="00AC6071" w:rsidRDefault="00AC6071" w:rsidP="00AC6071">
      <w:r w:rsidRPr="00AC6071">
        <w:t>· May maintain an equitable action</w:t>
      </w:r>
    </w:p>
    <w:p w14:paraId="0AA17B09" w14:textId="77777777" w:rsidR="00AC6071" w:rsidRPr="00AC6071" w:rsidRDefault="00AC6071" w:rsidP="00AC6071">
      <w:r w:rsidRPr="00AC6071">
        <w:t>· Sue and recover damages</w:t>
      </w:r>
    </w:p>
    <w:p w14:paraId="1EF1E532" w14:textId="77777777" w:rsidR="00870121" w:rsidRDefault="00870121"/>
    <w:p w14:paraId="0D8D46F0" w14:textId="77777777" w:rsidR="00AC6071" w:rsidRPr="004F0E52" w:rsidRDefault="00AC6071" w:rsidP="00AC6071">
      <w:pPr>
        <w:rPr>
          <w:rFonts w:ascii="Geneva" w:hAnsi="Geneva"/>
          <w:color w:val="4472C4"/>
        </w:rPr>
      </w:pPr>
      <w:r w:rsidRPr="004F0E52">
        <w:rPr>
          <w:rFonts w:ascii="Geneva" w:hAnsi="Geneva"/>
          <w:color w:val="4472C4"/>
        </w:rPr>
        <w:t>Exercise 8.2.1</w:t>
      </w:r>
      <w:proofErr w:type="gramStart"/>
      <w:r w:rsidRPr="004F0E52">
        <w:rPr>
          <w:rFonts w:ascii="Geneva" w:hAnsi="Geneva"/>
          <w:color w:val="4472C4"/>
        </w:rPr>
        <w:t xml:space="preserve">: </w:t>
      </w:r>
      <w:r>
        <w:rPr>
          <w:rFonts w:ascii="Geneva" w:hAnsi="Geneva"/>
          <w:color w:val="4472C4"/>
        </w:rPr>
        <w:t xml:space="preserve"> </w:t>
      </w:r>
      <w:r w:rsidRPr="004F0E52">
        <w:rPr>
          <w:rFonts w:ascii="Geneva" w:hAnsi="Geneva"/>
          <w:color w:val="4472C4"/>
        </w:rPr>
        <w:t>Evaluating</w:t>
      </w:r>
      <w:proofErr w:type="gramEnd"/>
      <w:r w:rsidRPr="004F0E52">
        <w:rPr>
          <w:rFonts w:ascii="Geneva" w:hAnsi="Geneva"/>
          <w:color w:val="4472C4"/>
        </w:rPr>
        <w:t xml:space="preserve"> Excerpts of Application Sections for Effectiveness</w:t>
      </w:r>
    </w:p>
    <w:p w14:paraId="7FE72F23" w14:textId="77777777" w:rsidR="00AC6071" w:rsidRPr="00AA46BF" w:rsidRDefault="00AC6071" w:rsidP="00AC6071">
      <w:pPr>
        <w:spacing w:line="240" w:lineRule="auto"/>
        <w:ind w:firstLine="720"/>
        <w:rPr>
          <w:rFonts w:ascii="Garamond" w:hAnsi="Garamond"/>
        </w:rPr>
      </w:pPr>
      <w:r w:rsidRPr="00AA46BF">
        <w:rPr>
          <w:rFonts w:ascii="Garamond" w:hAnsi="Garamond"/>
        </w:rPr>
        <w:t xml:space="preserve">Students should be putting themselves in the shoes of the reader. Evaluating the </w:t>
      </w:r>
      <w:r>
        <w:rPr>
          <w:rFonts w:ascii="Garamond" w:hAnsi="Garamond"/>
        </w:rPr>
        <w:t>e</w:t>
      </w:r>
      <w:r w:rsidRPr="00AA46BF">
        <w:rPr>
          <w:rFonts w:ascii="Garamond" w:hAnsi="Garamond"/>
        </w:rPr>
        <w:t>ffectiveness of the application should help students to develop stronger application sections in their own work.</w:t>
      </w:r>
    </w:p>
    <w:p w14:paraId="63085CA1" w14:textId="77777777" w:rsidR="00AC6071" w:rsidRPr="00AA46BF" w:rsidRDefault="00AC6071" w:rsidP="00AC6071">
      <w:pPr>
        <w:spacing w:line="240" w:lineRule="auto"/>
        <w:jc w:val="both"/>
        <w:rPr>
          <w:rFonts w:ascii="Garamond" w:hAnsi="Garamond"/>
        </w:rPr>
      </w:pPr>
      <w:r>
        <w:rPr>
          <w:rFonts w:ascii="Garamond" w:hAnsi="Garamond"/>
          <w:b/>
          <w:bCs/>
        </w:rPr>
        <w:t>1.</w:t>
      </w:r>
      <w:r>
        <w:rPr>
          <w:rFonts w:ascii="Garamond" w:hAnsi="Garamond"/>
          <w:b/>
          <w:bCs/>
        </w:rPr>
        <w:tab/>
      </w:r>
      <w:r w:rsidRPr="00770E5B">
        <w:rPr>
          <w:rFonts w:ascii="Garamond" w:hAnsi="Garamond"/>
          <w:b/>
          <w:bCs/>
        </w:rPr>
        <w:t>Not effective</w:t>
      </w:r>
      <w:r w:rsidRPr="00AA46BF">
        <w:rPr>
          <w:rFonts w:ascii="Garamond" w:hAnsi="Garamond"/>
        </w:rPr>
        <w:t>. The application merely says, “not the case here.”</w:t>
      </w:r>
      <w:r>
        <w:rPr>
          <w:rFonts w:ascii="Garamond" w:hAnsi="Garamond"/>
        </w:rPr>
        <w:t xml:space="preserve"> Students should explain explicitly </w:t>
      </w:r>
      <w:r w:rsidRPr="00AA46BF">
        <w:rPr>
          <w:rFonts w:ascii="Garamond" w:hAnsi="Garamond"/>
        </w:rPr>
        <w:t>how the facts are distinguishable. Do not leave the reader to guess.</w:t>
      </w:r>
    </w:p>
    <w:p w14:paraId="52D683B3" w14:textId="77777777" w:rsidR="00AC6071" w:rsidRPr="00AA46BF" w:rsidRDefault="00AC6071" w:rsidP="00AC6071">
      <w:pPr>
        <w:spacing w:line="240" w:lineRule="auto"/>
        <w:jc w:val="both"/>
        <w:rPr>
          <w:rFonts w:ascii="Garamond" w:hAnsi="Garamond"/>
        </w:rPr>
      </w:pPr>
      <w:r>
        <w:rPr>
          <w:rFonts w:ascii="Garamond" w:hAnsi="Garamond"/>
          <w:b/>
          <w:bCs/>
        </w:rPr>
        <w:t>2.</w:t>
      </w:r>
      <w:r>
        <w:rPr>
          <w:rFonts w:ascii="Garamond" w:hAnsi="Garamond"/>
          <w:b/>
          <w:bCs/>
        </w:rPr>
        <w:tab/>
      </w:r>
      <w:r w:rsidRPr="00770E5B">
        <w:rPr>
          <w:rFonts w:ascii="Garamond" w:hAnsi="Garamond"/>
          <w:b/>
          <w:bCs/>
        </w:rPr>
        <w:t>Not effective</w:t>
      </w:r>
      <w:r w:rsidRPr="00AA46BF">
        <w:rPr>
          <w:rFonts w:ascii="Garamond" w:hAnsi="Garamond"/>
        </w:rPr>
        <w:t>.</w:t>
      </w:r>
      <w:r>
        <w:rPr>
          <w:rFonts w:ascii="Garamond" w:hAnsi="Garamond"/>
        </w:rPr>
        <w:t xml:space="preserve"> The writer needs to c</w:t>
      </w:r>
      <w:r w:rsidRPr="00AA46BF">
        <w:rPr>
          <w:rFonts w:ascii="Garamond" w:hAnsi="Garamond"/>
        </w:rPr>
        <w:t>ompare relevant</w:t>
      </w:r>
      <w:r>
        <w:rPr>
          <w:rFonts w:ascii="Garamond" w:hAnsi="Garamond"/>
        </w:rPr>
        <w:t xml:space="preserve"> facts of those in the precedent case to those in the current case</w:t>
      </w:r>
      <w:r w:rsidRPr="00AA46BF">
        <w:rPr>
          <w:rFonts w:ascii="Garamond" w:hAnsi="Garamond"/>
        </w:rPr>
        <w:t>.</w:t>
      </w:r>
      <w:r>
        <w:rPr>
          <w:rFonts w:ascii="Garamond" w:hAnsi="Garamond"/>
        </w:rPr>
        <w:t xml:space="preserve"> Here, the writer makes a conclusory statement about the facts, </w:t>
      </w:r>
      <w:proofErr w:type="gramStart"/>
      <w:r>
        <w:rPr>
          <w:rFonts w:ascii="Garamond" w:hAnsi="Garamond"/>
        </w:rPr>
        <w:t>“ Hill</w:t>
      </w:r>
      <w:proofErr w:type="gramEnd"/>
      <w:r>
        <w:rPr>
          <w:rFonts w:ascii="Garamond" w:hAnsi="Garamond"/>
        </w:rPr>
        <w:t xml:space="preserve"> did not provide help to Osterlind,” without explaining the factual context.</w:t>
      </w:r>
      <w:r w:rsidRPr="00AA46BF">
        <w:rPr>
          <w:rFonts w:ascii="Garamond" w:hAnsi="Garamond"/>
        </w:rPr>
        <w:t xml:space="preserve"> In the precedent case, the court reasoned that the invitee (Osterlind) was not helpless, as required by the rule, because he yelled for help for </w:t>
      </w:r>
      <w:proofErr w:type="gramStart"/>
      <w:r>
        <w:rPr>
          <w:rFonts w:ascii="Garamond" w:hAnsi="Garamond"/>
        </w:rPr>
        <w:t xml:space="preserve">a </w:t>
      </w:r>
      <w:r w:rsidRPr="00AA46BF">
        <w:rPr>
          <w:rFonts w:ascii="Garamond" w:hAnsi="Garamond"/>
        </w:rPr>
        <w:t>half</w:t>
      </w:r>
      <w:proofErr w:type="gramEnd"/>
      <w:r w:rsidRPr="00AA46BF">
        <w:rPr>
          <w:rFonts w:ascii="Garamond" w:hAnsi="Garamond"/>
        </w:rPr>
        <w:t xml:space="preserve"> hour while hanging onto the canoe.</w:t>
      </w:r>
      <w:r>
        <w:rPr>
          <w:rFonts w:ascii="Garamond" w:hAnsi="Garamond"/>
        </w:rPr>
        <w:t xml:space="preserve"> </w:t>
      </w:r>
      <w:r w:rsidRPr="00AA46BF">
        <w:rPr>
          <w:rFonts w:ascii="Garamond" w:hAnsi="Garamond"/>
        </w:rPr>
        <w:t xml:space="preserve">The comparison should </w:t>
      </w:r>
      <w:r>
        <w:rPr>
          <w:rFonts w:ascii="Garamond" w:hAnsi="Garamond"/>
        </w:rPr>
        <w:t>compare the facts relevant to whether a person was helpless. A person in each case</w:t>
      </w:r>
      <w:r w:rsidRPr="00AA46BF">
        <w:rPr>
          <w:rFonts w:ascii="Garamond" w:hAnsi="Garamond"/>
        </w:rPr>
        <w:t xml:space="preserve"> asked for help</w:t>
      </w:r>
      <w:r>
        <w:rPr>
          <w:rFonts w:ascii="Garamond" w:hAnsi="Garamond"/>
        </w:rPr>
        <w:t>,</w:t>
      </w:r>
      <w:r w:rsidRPr="00AA46BF">
        <w:rPr>
          <w:rFonts w:ascii="Garamond" w:hAnsi="Garamond"/>
        </w:rPr>
        <w:t xml:space="preserve"> </w:t>
      </w:r>
      <w:r>
        <w:rPr>
          <w:rFonts w:ascii="Garamond" w:hAnsi="Garamond"/>
        </w:rPr>
        <w:t>and</w:t>
      </w:r>
      <w:r w:rsidRPr="00AA46BF">
        <w:rPr>
          <w:rFonts w:ascii="Garamond" w:hAnsi="Garamond"/>
        </w:rPr>
        <w:t xml:space="preserve"> </w:t>
      </w:r>
      <w:r>
        <w:rPr>
          <w:rFonts w:ascii="Garamond" w:hAnsi="Garamond"/>
        </w:rPr>
        <w:t xml:space="preserve">students should explain </w:t>
      </w:r>
      <w:r w:rsidRPr="00AA46BF">
        <w:rPr>
          <w:rFonts w:ascii="Garamond" w:hAnsi="Garamond"/>
        </w:rPr>
        <w:t xml:space="preserve">what </w:t>
      </w:r>
      <w:r>
        <w:rPr>
          <w:rFonts w:ascii="Garamond" w:hAnsi="Garamond"/>
        </w:rPr>
        <w:t>facts are</w:t>
      </w:r>
      <w:r w:rsidRPr="00AA46BF">
        <w:rPr>
          <w:rFonts w:ascii="Garamond" w:hAnsi="Garamond"/>
        </w:rPr>
        <w:t xml:space="preserve"> the same</w:t>
      </w:r>
      <w:r>
        <w:rPr>
          <w:rFonts w:ascii="Garamond" w:hAnsi="Garamond"/>
        </w:rPr>
        <w:t xml:space="preserve"> here and what facts are</w:t>
      </w:r>
      <w:r w:rsidRPr="00AA46BF">
        <w:rPr>
          <w:rFonts w:ascii="Garamond" w:hAnsi="Garamond"/>
        </w:rPr>
        <w:t xml:space="preserve"> different here</w:t>
      </w:r>
      <w:r>
        <w:rPr>
          <w:rFonts w:ascii="Garamond" w:hAnsi="Garamond"/>
        </w:rPr>
        <w:t xml:space="preserve">. </w:t>
      </w:r>
      <w:r w:rsidRPr="00AA46BF">
        <w:rPr>
          <w:rFonts w:ascii="Garamond" w:hAnsi="Garamond"/>
        </w:rPr>
        <w:t>In the precedent case, a half hour elapsed. The time frame is less than a few minutes in our fact pattern.</w:t>
      </w:r>
      <w:r>
        <w:rPr>
          <w:rFonts w:ascii="Garamond" w:hAnsi="Garamond"/>
        </w:rPr>
        <w:t xml:space="preserve"> </w:t>
      </w:r>
      <w:r w:rsidRPr="00AA46BF">
        <w:rPr>
          <w:rFonts w:ascii="Garamond" w:hAnsi="Garamond"/>
        </w:rPr>
        <w:t xml:space="preserve">What else is the same </w:t>
      </w:r>
      <w:r>
        <w:rPr>
          <w:rFonts w:ascii="Garamond" w:hAnsi="Garamond"/>
        </w:rPr>
        <w:t>or</w:t>
      </w:r>
      <w:r w:rsidRPr="00AA46BF">
        <w:rPr>
          <w:rFonts w:ascii="Garamond" w:hAnsi="Garamond"/>
        </w:rPr>
        <w:t xml:space="preserve"> different?</w:t>
      </w:r>
      <w:r>
        <w:rPr>
          <w:rFonts w:ascii="Garamond" w:hAnsi="Garamond"/>
        </w:rPr>
        <w:t xml:space="preserve"> </w:t>
      </w:r>
      <w:r w:rsidRPr="00AA46BF">
        <w:rPr>
          <w:rFonts w:ascii="Garamond" w:hAnsi="Garamond"/>
        </w:rPr>
        <w:t xml:space="preserve">Osterlind was able to cling to </w:t>
      </w:r>
      <w:r>
        <w:rPr>
          <w:rFonts w:ascii="Garamond" w:hAnsi="Garamond"/>
        </w:rPr>
        <w:t xml:space="preserve">the </w:t>
      </w:r>
      <w:r w:rsidRPr="00AA46BF">
        <w:rPr>
          <w:rFonts w:ascii="Garamond" w:hAnsi="Garamond"/>
        </w:rPr>
        <w:t>canoe, whereas here</w:t>
      </w:r>
      <w:r>
        <w:rPr>
          <w:rFonts w:ascii="Garamond" w:hAnsi="Garamond"/>
        </w:rPr>
        <w:t>,</w:t>
      </w:r>
      <w:r w:rsidRPr="00AA46BF">
        <w:rPr>
          <w:rFonts w:ascii="Garamond" w:hAnsi="Garamond"/>
        </w:rPr>
        <w:t xml:space="preserve"> Rich collapsed</w:t>
      </w:r>
      <w:r>
        <w:rPr>
          <w:rFonts w:ascii="Garamond" w:hAnsi="Garamond"/>
        </w:rPr>
        <w:t xml:space="preserve"> immediately</w:t>
      </w:r>
      <w:r w:rsidRPr="00AA46BF">
        <w:rPr>
          <w:rFonts w:ascii="Garamond" w:hAnsi="Garamond"/>
        </w:rPr>
        <w:t>.</w:t>
      </w:r>
      <w:r>
        <w:rPr>
          <w:rFonts w:ascii="Garamond" w:hAnsi="Garamond"/>
        </w:rPr>
        <w:t xml:space="preserve"> </w:t>
      </w:r>
    </w:p>
    <w:p w14:paraId="0A87437F" w14:textId="77777777" w:rsidR="00AC6071" w:rsidRPr="00AA46BF" w:rsidRDefault="00AC6071" w:rsidP="00AC6071">
      <w:pPr>
        <w:spacing w:line="240" w:lineRule="auto"/>
        <w:ind w:firstLine="720"/>
        <w:rPr>
          <w:rFonts w:ascii="Garamond" w:hAnsi="Garamond"/>
        </w:rPr>
      </w:pPr>
      <w:r w:rsidRPr="00AA46BF">
        <w:rPr>
          <w:rFonts w:ascii="Garamond" w:hAnsi="Garamond"/>
        </w:rPr>
        <w:t>The comparison could include the less important point that Hill did not provide help</w:t>
      </w:r>
      <w:r>
        <w:rPr>
          <w:rFonts w:ascii="Garamond" w:hAnsi="Garamond"/>
        </w:rPr>
        <w:t>,</w:t>
      </w:r>
      <w:r w:rsidRPr="00AA46BF">
        <w:rPr>
          <w:rFonts w:ascii="Garamond" w:hAnsi="Garamond"/>
        </w:rPr>
        <w:t xml:space="preserve"> but it should quickly move to the more relevant comparison</w:t>
      </w:r>
      <w:r>
        <w:rPr>
          <w:rFonts w:ascii="Garamond" w:hAnsi="Garamond"/>
        </w:rPr>
        <w:t>—</w:t>
      </w:r>
      <w:r w:rsidRPr="00AA46BF">
        <w:rPr>
          <w:rFonts w:ascii="Garamond" w:hAnsi="Garamond"/>
        </w:rPr>
        <w:t>whether Rich could help himself.</w:t>
      </w:r>
      <w:r>
        <w:rPr>
          <w:rFonts w:ascii="Garamond" w:hAnsi="Garamond"/>
        </w:rPr>
        <w:t xml:space="preserve"> </w:t>
      </w:r>
    </w:p>
    <w:p w14:paraId="02350DF9" w14:textId="77777777" w:rsidR="00AC6071" w:rsidRPr="00AA46BF" w:rsidRDefault="00AC6071" w:rsidP="00AC6071">
      <w:pPr>
        <w:spacing w:line="240" w:lineRule="auto"/>
        <w:jc w:val="both"/>
        <w:rPr>
          <w:rFonts w:ascii="Garamond" w:hAnsi="Garamond"/>
        </w:rPr>
      </w:pPr>
      <w:r>
        <w:rPr>
          <w:rFonts w:ascii="Garamond" w:hAnsi="Garamond"/>
          <w:b/>
          <w:bCs/>
        </w:rPr>
        <w:t>3.</w:t>
      </w:r>
      <w:r>
        <w:rPr>
          <w:rFonts w:ascii="Garamond" w:hAnsi="Garamond"/>
          <w:b/>
          <w:bCs/>
        </w:rPr>
        <w:tab/>
      </w:r>
      <w:r w:rsidRPr="00770E5B">
        <w:rPr>
          <w:rFonts w:ascii="Garamond" w:hAnsi="Garamond"/>
          <w:b/>
          <w:bCs/>
        </w:rPr>
        <w:t>Not effective.</w:t>
      </w:r>
      <w:r w:rsidRPr="00AA46BF">
        <w:rPr>
          <w:rFonts w:ascii="Garamond" w:hAnsi="Garamond"/>
        </w:rPr>
        <w:t xml:space="preserve"> </w:t>
      </w:r>
      <w:r>
        <w:rPr>
          <w:rFonts w:ascii="Garamond" w:hAnsi="Garamond"/>
        </w:rPr>
        <w:t xml:space="preserve">This comparison is not clear because it begins by comparing facts relevant to whether the employee offered help, then moves into facts addressing whether the injured claimant was helpless </w:t>
      </w:r>
      <w:r w:rsidRPr="00AA46BF">
        <w:rPr>
          <w:rFonts w:ascii="Garamond" w:hAnsi="Garamond"/>
        </w:rPr>
        <w:t>According to the rule and application in the precedent case</w:t>
      </w:r>
      <w:r>
        <w:rPr>
          <w:rFonts w:ascii="Garamond" w:hAnsi="Garamond"/>
        </w:rPr>
        <w:t>,</w:t>
      </w:r>
      <w:r w:rsidRPr="00AA46BF">
        <w:rPr>
          <w:rFonts w:ascii="Garamond" w:hAnsi="Garamond"/>
        </w:rPr>
        <w:t xml:space="preserve"> </w:t>
      </w:r>
      <w:r>
        <w:rPr>
          <w:rFonts w:ascii="Garamond" w:hAnsi="Garamond"/>
        </w:rPr>
        <w:t xml:space="preserve">the writer should </w:t>
      </w:r>
      <w:r w:rsidRPr="00AA46BF">
        <w:rPr>
          <w:rFonts w:ascii="Garamond" w:hAnsi="Garamond"/>
        </w:rPr>
        <w:t xml:space="preserve">focus first on whether the facts of Rich are similar to or different from precedent on the issue of helplessness, leading </w:t>
      </w:r>
      <w:r>
        <w:rPr>
          <w:rFonts w:ascii="Garamond" w:hAnsi="Garamond"/>
        </w:rPr>
        <w:t>to a conclusion</w:t>
      </w:r>
      <w:r w:rsidRPr="00AA46BF">
        <w:rPr>
          <w:rFonts w:ascii="Garamond" w:hAnsi="Garamond"/>
        </w:rPr>
        <w:t xml:space="preserve"> that he was or was not helpless.</w:t>
      </w:r>
      <w:r>
        <w:rPr>
          <w:rFonts w:ascii="Garamond" w:hAnsi="Garamond"/>
        </w:rPr>
        <w:t xml:space="preserve"> Further, s</w:t>
      </w:r>
      <w:r w:rsidRPr="00AA46BF">
        <w:rPr>
          <w:rFonts w:ascii="Garamond" w:hAnsi="Garamond"/>
        </w:rPr>
        <w:t xml:space="preserve">tating what Rich “will argue” does </w:t>
      </w:r>
      <w:r w:rsidRPr="00AA46BF">
        <w:rPr>
          <w:rFonts w:ascii="Garamond" w:hAnsi="Garamond"/>
        </w:rPr>
        <w:lastRenderedPageBreak/>
        <w:t xml:space="preserve">not </w:t>
      </w:r>
      <w:r>
        <w:rPr>
          <w:rFonts w:ascii="Garamond" w:hAnsi="Garamond"/>
        </w:rPr>
        <w:t>directly</w:t>
      </w:r>
      <w:r w:rsidRPr="00AA46BF">
        <w:rPr>
          <w:rFonts w:ascii="Garamond" w:hAnsi="Garamond"/>
        </w:rPr>
        <w:t xml:space="preserve"> state the writer’s comparison.</w:t>
      </w:r>
      <w:r>
        <w:rPr>
          <w:rFonts w:ascii="Garamond" w:hAnsi="Garamond"/>
        </w:rPr>
        <w:t xml:space="preserve"> </w:t>
      </w:r>
      <w:r w:rsidRPr="00AA46BF">
        <w:rPr>
          <w:rFonts w:ascii="Garamond" w:hAnsi="Garamond"/>
        </w:rPr>
        <w:t xml:space="preserve">The last sentence implies the writer’s </w:t>
      </w:r>
      <w:r>
        <w:rPr>
          <w:rFonts w:ascii="Garamond" w:hAnsi="Garamond"/>
        </w:rPr>
        <w:t xml:space="preserve">factual </w:t>
      </w:r>
      <w:r w:rsidRPr="00AA46BF">
        <w:rPr>
          <w:rFonts w:ascii="Garamond" w:hAnsi="Garamond"/>
        </w:rPr>
        <w:t>conclusion</w:t>
      </w:r>
      <w:r>
        <w:rPr>
          <w:rFonts w:ascii="Garamond" w:hAnsi="Garamond"/>
        </w:rPr>
        <w:t xml:space="preserve"> </w:t>
      </w:r>
      <w:r w:rsidRPr="00AA46BF">
        <w:rPr>
          <w:rFonts w:ascii="Garamond" w:hAnsi="Garamond"/>
        </w:rPr>
        <w:t xml:space="preserve">(“Rich was in danger of passing out”) but does not </w:t>
      </w:r>
      <w:r>
        <w:rPr>
          <w:rFonts w:ascii="Garamond" w:hAnsi="Garamond"/>
        </w:rPr>
        <w:t>state the legal significance of the comparison—that Rich was helpless—or predict whether the legal standard is met.</w:t>
      </w:r>
    </w:p>
    <w:p w14:paraId="4865AABA" w14:textId="77777777" w:rsidR="00AC6071" w:rsidRPr="00AA46BF" w:rsidRDefault="00AC6071" w:rsidP="00AC6071">
      <w:pPr>
        <w:spacing w:line="240" w:lineRule="auto"/>
        <w:jc w:val="both"/>
        <w:rPr>
          <w:rFonts w:ascii="Garamond" w:hAnsi="Garamond"/>
        </w:rPr>
      </w:pPr>
      <w:r>
        <w:rPr>
          <w:rFonts w:ascii="Garamond" w:hAnsi="Garamond"/>
          <w:b/>
          <w:bCs/>
        </w:rPr>
        <w:t>4.</w:t>
      </w:r>
      <w:r>
        <w:rPr>
          <w:rFonts w:ascii="Garamond" w:hAnsi="Garamond"/>
          <w:b/>
          <w:bCs/>
        </w:rPr>
        <w:tab/>
      </w:r>
      <w:r w:rsidRPr="00770E5B">
        <w:rPr>
          <w:rFonts w:ascii="Garamond" w:hAnsi="Garamond"/>
          <w:b/>
          <w:bCs/>
        </w:rPr>
        <w:t>Not effectiv</w:t>
      </w:r>
      <w:r w:rsidRPr="00AA46BF">
        <w:rPr>
          <w:rFonts w:ascii="Garamond" w:hAnsi="Garamond"/>
        </w:rPr>
        <w:t>e.</w:t>
      </w:r>
      <w:r>
        <w:rPr>
          <w:rFonts w:ascii="Garamond" w:hAnsi="Garamond"/>
        </w:rPr>
        <w:t xml:space="preserve"> </w:t>
      </w:r>
      <w:r w:rsidRPr="00AA46BF">
        <w:rPr>
          <w:rFonts w:ascii="Garamond" w:hAnsi="Garamond"/>
        </w:rPr>
        <w:t>In reading the facts carefully, the reader does not know why the pool attendant asked Rich to leave the pool area.</w:t>
      </w:r>
      <w:r>
        <w:rPr>
          <w:rFonts w:ascii="Garamond" w:hAnsi="Garamond"/>
        </w:rPr>
        <w:t xml:space="preserve"> </w:t>
      </w:r>
      <w:r w:rsidRPr="00AA46BF">
        <w:rPr>
          <w:rFonts w:ascii="Garamond" w:hAnsi="Garamond"/>
        </w:rPr>
        <w:t>Was it because he was intoxicated?</w:t>
      </w:r>
      <w:r>
        <w:rPr>
          <w:rFonts w:ascii="Garamond" w:hAnsi="Garamond"/>
        </w:rPr>
        <w:t xml:space="preserve"> </w:t>
      </w:r>
      <w:proofErr w:type="gramStart"/>
      <w:r w:rsidRPr="00AA46BF">
        <w:rPr>
          <w:rFonts w:ascii="Garamond" w:hAnsi="Garamond"/>
        </w:rPr>
        <w:t>Were</w:t>
      </w:r>
      <w:proofErr w:type="gramEnd"/>
      <w:r w:rsidRPr="00AA46BF">
        <w:rPr>
          <w:rFonts w:ascii="Garamond" w:hAnsi="Garamond"/>
        </w:rPr>
        <w:t xml:space="preserve"> belly flops prohibited in pool </w:t>
      </w:r>
      <w:proofErr w:type="gramStart"/>
      <w:r w:rsidRPr="00AA46BF">
        <w:rPr>
          <w:rFonts w:ascii="Garamond" w:hAnsi="Garamond"/>
        </w:rPr>
        <w:t>area</w:t>
      </w:r>
      <w:proofErr w:type="gramEnd"/>
      <w:r w:rsidRPr="00AA46BF">
        <w:rPr>
          <w:rFonts w:ascii="Garamond" w:hAnsi="Garamond"/>
        </w:rPr>
        <w:t xml:space="preserve">? Was the </w:t>
      </w:r>
      <w:r>
        <w:rPr>
          <w:rFonts w:ascii="Garamond" w:hAnsi="Garamond"/>
        </w:rPr>
        <w:t xml:space="preserve">act of </w:t>
      </w:r>
      <w:r w:rsidRPr="00AA46BF">
        <w:rPr>
          <w:rFonts w:ascii="Garamond" w:hAnsi="Garamond"/>
        </w:rPr>
        <w:t>splashing water on the other guests the reason why the attendant asked him to leave?</w:t>
      </w:r>
      <w:r>
        <w:rPr>
          <w:rFonts w:ascii="Garamond" w:hAnsi="Garamond"/>
        </w:rPr>
        <w:t xml:space="preserve"> </w:t>
      </w:r>
      <w:r w:rsidRPr="00AA46BF">
        <w:rPr>
          <w:rFonts w:ascii="Garamond" w:hAnsi="Garamond"/>
        </w:rPr>
        <w:t>We do not know.</w:t>
      </w:r>
      <w:r>
        <w:rPr>
          <w:rFonts w:ascii="Garamond" w:hAnsi="Garamond"/>
        </w:rPr>
        <w:t xml:space="preserve"> (These questions present another teaching point—sometimes cases do not supply </w:t>
      </w:r>
      <w:proofErr w:type="gramStart"/>
      <w:r>
        <w:rPr>
          <w:rFonts w:ascii="Garamond" w:hAnsi="Garamond"/>
        </w:rPr>
        <w:t>all of</w:t>
      </w:r>
      <w:proofErr w:type="gramEnd"/>
      <w:r>
        <w:rPr>
          <w:rFonts w:ascii="Garamond" w:hAnsi="Garamond"/>
        </w:rPr>
        <w:t xml:space="preserve"> the information that the legal reader needs.) </w:t>
      </w:r>
      <w:r w:rsidRPr="00AA46BF">
        <w:rPr>
          <w:rFonts w:ascii="Garamond" w:hAnsi="Garamond"/>
        </w:rPr>
        <w:t>Furthermore, it might not be worth pointing out this distinction because, circling back to the rule again, it does not help us to decide if he was helpless.</w:t>
      </w:r>
    </w:p>
    <w:p w14:paraId="7F536DEC" w14:textId="77777777" w:rsidR="00AC6071" w:rsidRDefault="00AC6071" w:rsidP="00AC6071">
      <w:pPr>
        <w:spacing w:line="240" w:lineRule="auto"/>
        <w:rPr>
          <w:rFonts w:ascii="Garamond" w:hAnsi="Garamond"/>
        </w:rPr>
      </w:pPr>
      <w:r>
        <w:rPr>
          <w:rFonts w:ascii="Garamond" w:hAnsi="Garamond"/>
          <w:b/>
          <w:bCs/>
        </w:rPr>
        <w:t>5.</w:t>
      </w:r>
      <w:r>
        <w:rPr>
          <w:rFonts w:ascii="Garamond" w:hAnsi="Garamond"/>
          <w:b/>
          <w:bCs/>
        </w:rPr>
        <w:tab/>
      </w:r>
      <w:r w:rsidRPr="00770E5B">
        <w:rPr>
          <w:rFonts w:ascii="Garamond" w:hAnsi="Garamond"/>
          <w:b/>
          <w:bCs/>
        </w:rPr>
        <w:t>Effective.</w:t>
      </w:r>
      <w:r>
        <w:rPr>
          <w:rFonts w:ascii="Garamond" w:hAnsi="Garamond"/>
          <w:b/>
          <w:bCs/>
        </w:rPr>
        <w:t xml:space="preserve"> </w:t>
      </w:r>
      <w:r w:rsidRPr="00AA46BF">
        <w:rPr>
          <w:rFonts w:ascii="Garamond" w:hAnsi="Garamond"/>
        </w:rPr>
        <w:t>This application is much more on target</w:t>
      </w:r>
      <w:r>
        <w:rPr>
          <w:rFonts w:ascii="Garamond" w:hAnsi="Garamond"/>
        </w:rPr>
        <w:t>;</w:t>
      </w:r>
      <w:r w:rsidRPr="00AA46BF">
        <w:rPr>
          <w:rFonts w:ascii="Garamond" w:hAnsi="Garamond"/>
        </w:rPr>
        <w:t xml:space="preserve"> it tells us</w:t>
      </w:r>
      <w:r>
        <w:rPr>
          <w:rFonts w:ascii="Garamond" w:hAnsi="Garamond"/>
        </w:rPr>
        <w:t xml:space="preserve"> at the outset</w:t>
      </w:r>
      <w:r w:rsidRPr="00AA46BF">
        <w:rPr>
          <w:rFonts w:ascii="Garamond" w:hAnsi="Garamond"/>
        </w:rPr>
        <w:t xml:space="preserve"> </w:t>
      </w:r>
      <w:r>
        <w:rPr>
          <w:rFonts w:ascii="Garamond" w:hAnsi="Garamond"/>
        </w:rPr>
        <w:t>the ultimate point the analysis will prove</w:t>
      </w:r>
      <w:r w:rsidRPr="00AA46BF">
        <w:rPr>
          <w:rFonts w:ascii="Garamond" w:hAnsi="Garamond"/>
        </w:rPr>
        <w:t>.</w:t>
      </w:r>
      <w:r>
        <w:rPr>
          <w:rFonts w:ascii="Garamond" w:hAnsi="Garamond"/>
        </w:rPr>
        <w:t xml:space="preserve"> </w:t>
      </w:r>
      <w:r w:rsidRPr="00AA46BF">
        <w:rPr>
          <w:rFonts w:ascii="Garamond" w:hAnsi="Garamond"/>
        </w:rPr>
        <w:t>It compares relevant facts, by using the rule as a focal point, and explains the</w:t>
      </w:r>
      <w:r>
        <w:rPr>
          <w:rFonts w:ascii="Garamond" w:hAnsi="Garamond"/>
        </w:rPr>
        <w:t xml:space="preserve"> legal relevance of the</w:t>
      </w:r>
      <w:r w:rsidRPr="00AA46BF">
        <w:rPr>
          <w:rFonts w:ascii="Garamond" w:hAnsi="Garamond"/>
        </w:rPr>
        <w:t xml:space="preserve"> comparison.</w:t>
      </w:r>
    </w:p>
    <w:p w14:paraId="4B178E97" w14:textId="77777777" w:rsidR="00D939F9" w:rsidRPr="00D939F9" w:rsidRDefault="00D939F9" w:rsidP="00D939F9">
      <w:pPr>
        <w:rPr>
          <w:rFonts w:ascii="Geneva" w:hAnsi="Geneva"/>
          <w:color w:val="4472C4"/>
        </w:rPr>
      </w:pPr>
      <w:r w:rsidRPr="00D939F9">
        <w:rPr>
          <w:rFonts w:ascii="Geneva" w:hAnsi="Geneva"/>
          <w:color w:val="4472C4"/>
        </w:rPr>
        <w:t>Exercise 8.3.1: Identifying the Counterargument</w:t>
      </w:r>
    </w:p>
    <w:p w14:paraId="61C60E85" w14:textId="77777777" w:rsidR="00D939F9" w:rsidRPr="00D939F9" w:rsidRDefault="00D939F9" w:rsidP="00D939F9">
      <w:r w:rsidRPr="00D939F9">
        <w:t xml:space="preserve">In Chapter 6, One Legal Argument, Exercise 6.2, Identifying the Components of a Legal Argument, you identified the components of a legal argument. This exercise dealt with David and Lana’s marriage and whether Russ was the “controlling or effective” </w:t>
      </w:r>
      <w:proofErr w:type="gramStart"/>
      <w:r w:rsidRPr="00D939F9">
        <w:t>cause</w:t>
      </w:r>
      <w:proofErr w:type="gramEnd"/>
      <w:r w:rsidRPr="00D939F9">
        <w:t xml:space="preserve"> of their divorce. Review the legal argument below and respond to the questions about the counterargument.</w:t>
      </w:r>
    </w:p>
    <w:p w14:paraId="0627F217" w14:textId="77777777" w:rsidR="00D939F9" w:rsidRPr="00D939F9" w:rsidRDefault="00D939F9" w:rsidP="00D939F9">
      <w:r w:rsidRPr="00D939F9">
        <w:t xml:space="preserve">[Paragraph 1] The critical issue in David’s case is whether his active and unwelcome pursuit of Lana during her marriage was a “controlling or effective cause” of the break-up of her marriage to Russ. A defendant may be the “controlling or effective cause” of the alienation of affections, even if other causes also contributed to the alienation. </w:t>
      </w:r>
      <w:proofErr w:type="spellStart"/>
      <w:r w:rsidRPr="00D939F9">
        <w:t>Hutelmyer</w:t>
      </w:r>
      <w:proofErr w:type="spellEnd"/>
      <w:r w:rsidRPr="00D939F9">
        <w:t xml:space="preserve"> v. Cox, 514 S.E.2d 554, 559 (N.C. Ct. App. 1999). For example, it is sufficient if there is “active participation, initiative or encouragement on the part of the defendant in causing one spouse’s loss of the other spouse’s affections.” Id.</w:t>
      </w:r>
    </w:p>
    <w:p w14:paraId="457F13CD" w14:textId="77777777" w:rsidR="00D939F9" w:rsidRPr="00D939F9" w:rsidRDefault="00D939F9" w:rsidP="00D939F9">
      <w:r w:rsidRPr="00D939F9">
        <w:t xml:space="preserve">[Paragraph 2] In </w:t>
      </w:r>
      <w:proofErr w:type="spellStart"/>
      <w:r w:rsidRPr="00D939F9">
        <w:t>Hutelmyer</w:t>
      </w:r>
      <w:proofErr w:type="spellEnd"/>
      <w:r w:rsidRPr="00D939F9">
        <w:t>, the defendant paramour flirted openly with the plaintiff ’s husband, allowed him to stay overnight in her home, and had a sexual relationship with him. Id. As the plaintiff ’s husband began to spend more time with the defendant, he began to spend less time with his family, and his sexual relationship with his wife deteriorated. Id. Ultimately, the plaintiff ’s husband left the marital home and moved in with the defendant. Id. at 557–58. The court observed that even though other causes might have contributed to the breakdown of the plaintiff ’s marriage, it was not until the plaintiff ’s husband began to spend time alone with the defendant, at the defendant’s urging, that the plaintiff ’s marriage began to deteriorate. Id. Therefore, the court held that a jury could find that the defendant was a “controlling or effective cause” of the alienation of affections. Id.</w:t>
      </w:r>
    </w:p>
    <w:p w14:paraId="37278933" w14:textId="77777777" w:rsidR="00D939F9" w:rsidRPr="00D939F9" w:rsidRDefault="00D939F9" w:rsidP="00D939F9">
      <w:r w:rsidRPr="00D939F9">
        <w:lastRenderedPageBreak/>
        <w:t xml:space="preserve">[Paragraph 3] Here, the evidence is also sufficient for a jury to conclude that David was the controlling or effective cause of Lana’s alienation of affection. First, like the defendant in </w:t>
      </w:r>
      <w:proofErr w:type="spellStart"/>
      <w:r w:rsidRPr="00D939F9">
        <w:t>Hutelmyer</w:t>
      </w:r>
      <w:proofErr w:type="spellEnd"/>
      <w:r w:rsidRPr="00D939F9">
        <w:t xml:space="preserve">, whose conduct encouraged the plaintiff’s husband to ignore his family, David initiated a course of conduct aimed at causing Lana to leave Russ. Second, just as the defendant in </w:t>
      </w:r>
      <w:proofErr w:type="spellStart"/>
      <w:r w:rsidRPr="00D939F9">
        <w:t>Hutelmyer</w:t>
      </w:r>
      <w:proofErr w:type="spellEnd"/>
      <w:r w:rsidRPr="00D939F9">
        <w:t xml:space="preserve"> openly flirted with the plaintiff ’s husband, David publicly professed his desire for Lana, even in front of Russ. Third, in both cases, the defendant ignored requests that the couple be left alone. The defendant in </w:t>
      </w:r>
      <w:proofErr w:type="spellStart"/>
      <w:r w:rsidRPr="00D939F9">
        <w:t>Hutelmyer</w:t>
      </w:r>
      <w:proofErr w:type="spellEnd"/>
      <w:r w:rsidRPr="00D939F9">
        <w:t xml:space="preserve"> ignored the husband’s statements that he wished to work things out with his wife. Similarly, David at first ignored Lana’s repeated pleas for him to leave her alone.</w:t>
      </w:r>
    </w:p>
    <w:p w14:paraId="02C72852" w14:textId="77777777" w:rsidR="00D939F9" w:rsidRPr="00D939F9" w:rsidRDefault="00D939F9" w:rsidP="00D939F9">
      <w:r w:rsidRPr="00D939F9">
        <w:t xml:space="preserve">[Paragraph 4] Even though David eventually stopped pursuing Lana, that fact does not distinguish the present case from </w:t>
      </w:r>
      <w:proofErr w:type="spellStart"/>
      <w:r w:rsidRPr="00D939F9">
        <w:t>Hutelmyer</w:t>
      </w:r>
      <w:proofErr w:type="spellEnd"/>
      <w:r w:rsidRPr="00D939F9">
        <w:t xml:space="preserve">. Lana’s own journal confirms that she had a growing obsession with David, which led to the break-up of her marriage. Most likely this obsession would not have developed if David had not been so persistent in his earlier efforts to win her </w:t>
      </w:r>
      <w:proofErr w:type="gramStart"/>
      <w:r w:rsidRPr="00D939F9">
        <w:t>affections</w:t>
      </w:r>
      <w:proofErr w:type="gramEnd"/>
      <w:r w:rsidRPr="00D939F9">
        <w:t>. Therefore, Russ can probably establish that David was a “controlling or effective cause” of the alienation of affections between him and Lana.</w:t>
      </w:r>
    </w:p>
    <w:p w14:paraId="38DB8527" w14:textId="77777777" w:rsidR="00D939F9" w:rsidRPr="00D939F9" w:rsidRDefault="00D939F9" w:rsidP="00D939F9">
      <w:r w:rsidRPr="00D939F9">
        <w:t>1. This legal analysis above presents which type of counterargument? (more than one may apply)</w:t>
      </w:r>
    </w:p>
    <w:p w14:paraId="588FFA3D" w14:textId="77777777" w:rsidR="00D939F9" w:rsidRPr="00D939F9" w:rsidRDefault="00D939F9" w:rsidP="00D939F9">
      <w:r w:rsidRPr="00D939F9">
        <w:t>a. Factual counterargument (correct answer)</w:t>
      </w:r>
    </w:p>
    <w:p w14:paraId="267FE488" w14:textId="77777777" w:rsidR="00D939F9" w:rsidRPr="00D939F9" w:rsidRDefault="00D939F9" w:rsidP="00D939F9">
      <w:r w:rsidRPr="00D939F9">
        <w:t>b. A counterargument based on different authorities</w:t>
      </w:r>
    </w:p>
    <w:p w14:paraId="136EFE3D" w14:textId="77777777" w:rsidR="00D939F9" w:rsidRPr="00D939F9" w:rsidRDefault="00D939F9" w:rsidP="00D939F9">
      <w:r w:rsidRPr="00D939F9">
        <w:t>c. A counterargument based on competing interpretations</w:t>
      </w:r>
    </w:p>
    <w:p w14:paraId="241C32EB" w14:textId="77777777" w:rsidR="00D939F9" w:rsidRPr="00D939F9" w:rsidRDefault="00D939F9" w:rsidP="00D939F9">
      <w:r w:rsidRPr="00D939F9">
        <w:t>d. A and B</w:t>
      </w:r>
    </w:p>
    <w:p w14:paraId="68DA2328" w14:textId="77777777" w:rsidR="00D939F9" w:rsidRPr="00D939F9" w:rsidRDefault="00D939F9" w:rsidP="00D939F9">
      <w:r w:rsidRPr="00D939F9">
        <w:t>e. B and C</w:t>
      </w:r>
    </w:p>
    <w:p w14:paraId="1383A1CE" w14:textId="77777777" w:rsidR="00D939F9" w:rsidRPr="00D939F9" w:rsidRDefault="00D939F9" w:rsidP="00D939F9">
      <w:r w:rsidRPr="00D939F9">
        <w:t>2. Which paragraph contains the counterargument? (more than one may apply)</w:t>
      </w:r>
    </w:p>
    <w:p w14:paraId="3BE3215F" w14:textId="77777777" w:rsidR="00D939F9" w:rsidRPr="00D939F9" w:rsidRDefault="00D939F9" w:rsidP="00D939F9">
      <w:r w:rsidRPr="00D939F9">
        <w:t>a. Paragraph 1</w:t>
      </w:r>
    </w:p>
    <w:p w14:paraId="13840292" w14:textId="77777777" w:rsidR="00D939F9" w:rsidRPr="00D939F9" w:rsidRDefault="00D939F9" w:rsidP="00D939F9">
      <w:r w:rsidRPr="00D939F9">
        <w:t>b. Paragraph 2</w:t>
      </w:r>
    </w:p>
    <w:p w14:paraId="4A635256" w14:textId="77777777" w:rsidR="00D939F9" w:rsidRPr="00D939F9" w:rsidRDefault="00D939F9" w:rsidP="00D939F9">
      <w:r w:rsidRPr="00D939F9">
        <w:t>c. Paragraph 3</w:t>
      </w:r>
    </w:p>
    <w:p w14:paraId="5F5A8907" w14:textId="77777777" w:rsidR="00D939F9" w:rsidRPr="00D939F9" w:rsidRDefault="00D939F9" w:rsidP="00D939F9">
      <w:r w:rsidRPr="00D939F9">
        <w:t>d. Paragraph 4 (correct answer)</w:t>
      </w:r>
    </w:p>
    <w:p w14:paraId="2F47BEF1" w14:textId="77777777" w:rsidR="00D939F9" w:rsidRPr="00D939F9" w:rsidRDefault="00D939F9" w:rsidP="00D939F9">
      <w:r w:rsidRPr="00D939F9">
        <w:t>e. Paragraphs 3 and 4 (alternative correct answer—there are some facts in paragraph three that conceivably support a factual counterargument)</w:t>
      </w:r>
    </w:p>
    <w:p w14:paraId="14896C49" w14:textId="6FB4FC75" w:rsidR="00D939F9" w:rsidRPr="00D939F9" w:rsidRDefault="00D939F9" w:rsidP="00D939F9">
      <w:r w:rsidRPr="00D939F9">
        <w:t>3. Do you think the legal analysis above effectively identifies, explains, and resolves the counterargument? Why or why not?</w:t>
      </w:r>
      <w:r>
        <w:t xml:space="preserve"> </w:t>
      </w:r>
      <w:r w:rsidRPr="00D939F9">
        <w:t>Answers may vary</w:t>
      </w:r>
    </w:p>
    <w:p w14:paraId="25895979" w14:textId="77777777" w:rsidR="00AC6071" w:rsidRDefault="00AC6071"/>
    <w:sectPr w:rsidR="00AC6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neva">
    <w:altName w:val="Segoe UI Symbol"/>
    <w:charset w:val="00"/>
    <w:family w:val="swiss"/>
    <w:pitch w:val="variable"/>
    <w:sig w:usb0="E00002FF" w:usb1="5200205F" w:usb2="00A0C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71"/>
    <w:rsid w:val="0022453F"/>
    <w:rsid w:val="0028620E"/>
    <w:rsid w:val="008013D1"/>
    <w:rsid w:val="00870121"/>
    <w:rsid w:val="008952F4"/>
    <w:rsid w:val="009F5196"/>
    <w:rsid w:val="00AC6071"/>
    <w:rsid w:val="00B111F1"/>
    <w:rsid w:val="00D7276C"/>
    <w:rsid w:val="00D93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70D8"/>
  <w15:chartTrackingRefBased/>
  <w15:docId w15:val="{F50FF36D-B067-49E0-BE18-A0551AE1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71"/>
    <w:rPr>
      <w:rFonts w:eastAsiaTheme="majorEastAsia" w:cstheme="majorBidi"/>
      <w:color w:val="272727" w:themeColor="text1" w:themeTint="D8"/>
    </w:rPr>
  </w:style>
  <w:style w:type="paragraph" w:styleId="Title">
    <w:name w:val="Title"/>
    <w:basedOn w:val="Normal"/>
    <w:next w:val="Normal"/>
    <w:link w:val="TitleChar"/>
    <w:uiPriority w:val="10"/>
    <w:qFormat/>
    <w:rsid w:val="00AC6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71"/>
    <w:pPr>
      <w:spacing w:before="160"/>
      <w:jc w:val="center"/>
    </w:pPr>
    <w:rPr>
      <w:i/>
      <w:iCs/>
      <w:color w:val="404040" w:themeColor="text1" w:themeTint="BF"/>
    </w:rPr>
  </w:style>
  <w:style w:type="character" w:customStyle="1" w:styleId="QuoteChar">
    <w:name w:val="Quote Char"/>
    <w:basedOn w:val="DefaultParagraphFont"/>
    <w:link w:val="Quote"/>
    <w:uiPriority w:val="29"/>
    <w:rsid w:val="00AC6071"/>
    <w:rPr>
      <w:i/>
      <w:iCs/>
      <w:color w:val="404040" w:themeColor="text1" w:themeTint="BF"/>
    </w:rPr>
  </w:style>
  <w:style w:type="paragraph" w:styleId="ListParagraph">
    <w:name w:val="List Paragraph"/>
    <w:basedOn w:val="Normal"/>
    <w:uiPriority w:val="34"/>
    <w:qFormat/>
    <w:rsid w:val="00AC6071"/>
    <w:pPr>
      <w:ind w:left="720"/>
      <w:contextualSpacing/>
    </w:pPr>
  </w:style>
  <w:style w:type="character" w:styleId="IntenseEmphasis">
    <w:name w:val="Intense Emphasis"/>
    <w:basedOn w:val="DefaultParagraphFont"/>
    <w:uiPriority w:val="21"/>
    <w:qFormat/>
    <w:rsid w:val="00AC6071"/>
    <w:rPr>
      <w:i/>
      <w:iCs/>
      <w:color w:val="0F4761" w:themeColor="accent1" w:themeShade="BF"/>
    </w:rPr>
  </w:style>
  <w:style w:type="paragraph" w:styleId="IntenseQuote">
    <w:name w:val="Intense Quote"/>
    <w:basedOn w:val="Normal"/>
    <w:next w:val="Normal"/>
    <w:link w:val="IntenseQuoteChar"/>
    <w:uiPriority w:val="30"/>
    <w:qFormat/>
    <w:rsid w:val="00AC6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71"/>
    <w:rPr>
      <w:i/>
      <w:iCs/>
      <w:color w:val="0F4761" w:themeColor="accent1" w:themeShade="BF"/>
    </w:rPr>
  </w:style>
  <w:style w:type="character" w:styleId="IntenseReference">
    <w:name w:val="Intense Reference"/>
    <w:basedOn w:val="DefaultParagraphFont"/>
    <w:uiPriority w:val="32"/>
    <w:qFormat/>
    <w:rsid w:val="00AC6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Truskett, Harve A</dc:creator>
  <cp:keywords/>
  <dc:description/>
  <cp:lastModifiedBy>Truskett, Harve A</cp:lastModifiedBy>
  <cp:revision>1</cp:revision>
  <dcterms:created xsi:type="dcterms:W3CDTF">2026-09-18T20:52:00Z</dcterms:created>
  <dcterms:modified xsi:type="dcterms:W3CDTF">2026-09-18T21:06:00Z</dcterms:modified>
</cp:coreProperties>
</file>