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24A0" w14:textId="0A9E47FB" w:rsidR="00AA72B0" w:rsidRDefault="00AA72B0" w:rsidP="00AA72B0">
      <w:pPr>
        <w:rPr>
          <w:bCs/>
        </w:rPr>
      </w:pPr>
      <w:r>
        <w:rPr>
          <w:bCs/>
        </w:rPr>
        <w:t xml:space="preserve">Chapter 4 Sample Answers </w:t>
      </w:r>
    </w:p>
    <w:p w14:paraId="7A1D51BA" w14:textId="6C828DF0" w:rsidR="00AA72B0" w:rsidRPr="00AA72B0" w:rsidRDefault="00AA72B0" w:rsidP="00AA72B0">
      <w:pPr>
        <w:rPr>
          <w:b/>
        </w:rPr>
      </w:pPr>
      <w:r w:rsidRPr="00AA72B0">
        <w:rPr>
          <w:b/>
        </w:rPr>
        <w:t>Exercise 4.1</w:t>
      </w:r>
      <w:proofErr w:type="gramStart"/>
      <w:r w:rsidRPr="00AA72B0">
        <w:rPr>
          <w:b/>
        </w:rPr>
        <w:t>:  Evaluating</w:t>
      </w:r>
      <w:proofErr w:type="gramEnd"/>
      <w:r w:rsidRPr="00AA72B0">
        <w:rPr>
          <w:b/>
        </w:rPr>
        <w:t xml:space="preserve"> Rule Statements</w:t>
      </w:r>
    </w:p>
    <w:p w14:paraId="000E8CC0" w14:textId="77777777" w:rsidR="00AA72B0" w:rsidRPr="00AA72B0" w:rsidRDefault="00AA72B0" w:rsidP="00AA72B0">
      <w:r w:rsidRPr="00AA72B0">
        <w:t xml:space="preserve">In Chapter 3.1, </w:t>
      </w:r>
      <w:r w:rsidRPr="00AA72B0">
        <w:rPr>
          <w:i/>
        </w:rPr>
        <w:t>Reading Statutes</w:t>
      </w:r>
      <w:r w:rsidRPr="00AA72B0">
        <w:t xml:space="preserve">, the students reviewed provisions from the New York Burglary statutes, along with a set of client facts from </w:t>
      </w:r>
      <w:r w:rsidRPr="00AA72B0">
        <w:rPr>
          <w:i/>
        </w:rPr>
        <w:t>People v. Locker</w:t>
      </w:r>
      <w:r w:rsidRPr="00AA72B0">
        <w:t xml:space="preserve">.  This exercise has the students examine the </w:t>
      </w:r>
      <w:proofErr w:type="gramStart"/>
      <w:r w:rsidRPr="00AA72B0">
        <w:t>rule</w:t>
      </w:r>
      <w:proofErr w:type="gramEnd"/>
      <w:r w:rsidRPr="00AA72B0">
        <w:t xml:space="preserve"> in three sample memos.  The students are asked which drafts most effectively describe the governing rule. </w:t>
      </w:r>
    </w:p>
    <w:p w14:paraId="5A9A29A2" w14:textId="77777777" w:rsidR="00AA72B0" w:rsidRPr="00AA72B0" w:rsidRDefault="00AA72B0" w:rsidP="00AA72B0">
      <w:pPr>
        <w:numPr>
          <w:ilvl w:val="0"/>
          <w:numId w:val="1"/>
        </w:numPr>
        <w:rPr>
          <w:b/>
        </w:rPr>
      </w:pPr>
      <w:r w:rsidRPr="00AA72B0">
        <w:rPr>
          <w:b/>
        </w:rPr>
        <w:t>Which memo most effectively describes the governing rule and why?</w:t>
      </w:r>
    </w:p>
    <w:p w14:paraId="673C2515" w14:textId="77777777" w:rsidR="00AA72B0" w:rsidRPr="00AA72B0" w:rsidRDefault="00AA72B0" w:rsidP="00AA72B0">
      <w:pPr>
        <w:rPr>
          <w:bCs/>
        </w:rPr>
      </w:pPr>
      <w:r w:rsidRPr="00AA72B0">
        <w:rPr>
          <w:bCs/>
        </w:rPr>
        <w:t xml:space="preserve">The rule statement in Sample Memo 3 most effectively explains the governing law. It contains </w:t>
      </w:r>
      <w:proofErr w:type="gramStart"/>
      <w:r w:rsidRPr="00AA72B0">
        <w:rPr>
          <w:bCs/>
        </w:rPr>
        <w:t>all of</w:t>
      </w:r>
      <w:proofErr w:type="gramEnd"/>
      <w:r w:rsidRPr="00AA72B0">
        <w:rPr>
          <w:bCs/>
        </w:rPr>
        <w:t xml:space="preserve"> the relevant terms and defines pertinent terms while omitting unnecessary language. Sample Memo 1 contains </w:t>
      </w:r>
      <w:proofErr w:type="gramStart"/>
      <w:r w:rsidRPr="00AA72B0">
        <w:rPr>
          <w:bCs/>
        </w:rPr>
        <w:t>all of</w:t>
      </w:r>
      <w:proofErr w:type="gramEnd"/>
      <w:r w:rsidRPr="00AA72B0">
        <w:rPr>
          <w:bCs/>
        </w:rPr>
        <w:t xml:space="preserve"> the relevant terms, but it also sets out the full rule and does not break down the definitions into only the important information. This style prevents other attorneys from quickly recognizing the rule based on the memo alone. The rule statement in Sample Memo 2 is too short and does not define any of the related terms involved, aside from “dwelling.” Therefore, the rule statement in Sample Memo 3 is the most effective by not only defining the term, but by defining the related terms also.</w:t>
      </w:r>
    </w:p>
    <w:p w14:paraId="0E7FAAD0" w14:textId="77777777" w:rsidR="00AA72B0" w:rsidRPr="00AA72B0" w:rsidRDefault="00AA72B0" w:rsidP="00AA72B0">
      <w:pPr>
        <w:rPr>
          <w:b/>
          <w:bCs/>
        </w:rPr>
      </w:pPr>
      <w:r w:rsidRPr="00AA72B0">
        <w:rPr>
          <w:b/>
          <w:bCs/>
        </w:rPr>
        <w:t xml:space="preserve">2. Does the Burglary in the </w:t>
      </w:r>
      <w:proofErr w:type="gramStart"/>
      <w:r w:rsidRPr="00AA72B0">
        <w:rPr>
          <w:b/>
          <w:bCs/>
        </w:rPr>
        <w:t>Second Degree</w:t>
      </w:r>
      <w:proofErr w:type="gramEnd"/>
      <w:r w:rsidRPr="00AA72B0">
        <w:rPr>
          <w:b/>
          <w:bCs/>
        </w:rPr>
        <w:t xml:space="preserve"> statute provide an explicit or</w:t>
      </w:r>
    </w:p>
    <w:p w14:paraId="52C8B7AA" w14:textId="77777777" w:rsidR="00AA72B0" w:rsidRPr="00AA72B0" w:rsidRDefault="00AA72B0" w:rsidP="00AA72B0">
      <w:pPr>
        <w:rPr>
          <w:b/>
          <w:bCs/>
        </w:rPr>
      </w:pPr>
      <w:r w:rsidRPr="00AA72B0">
        <w:rPr>
          <w:b/>
          <w:bCs/>
        </w:rPr>
        <w:t>implicit rule?</w:t>
      </w:r>
    </w:p>
    <w:p w14:paraId="63C64AB4" w14:textId="77777777" w:rsidR="00AA72B0" w:rsidRPr="00AA72B0" w:rsidRDefault="00AA72B0" w:rsidP="00AA72B0">
      <w:r w:rsidRPr="00AA72B0">
        <w:t>Explicit rule because it specifies the elements of the crime – such as (1) armed with explosives or a deadly weapon.</w:t>
      </w:r>
    </w:p>
    <w:p w14:paraId="56EBBF2B" w14:textId="77777777" w:rsidR="00AA72B0" w:rsidRPr="00AA72B0" w:rsidRDefault="00AA72B0" w:rsidP="00AA72B0">
      <w:pPr>
        <w:rPr>
          <w:b/>
          <w:bCs/>
        </w:rPr>
      </w:pPr>
      <w:r w:rsidRPr="00AA72B0">
        <w:rPr>
          <w:b/>
          <w:bCs/>
        </w:rPr>
        <w:t>3. Does the statute provide an elemental rule or a factor test?</w:t>
      </w:r>
    </w:p>
    <w:p w14:paraId="1C3BE113" w14:textId="77777777" w:rsidR="00AA72B0" w:rsidRDefault="00AA72B0" w:rsidP="00AA72B0">
      <w:r w:rsidRPr="00AA72B0">
        <w:t xml:space="preserve">The statute provides an elemental rule. The perpetrator must have committed one of these elements </w:t>
      </w:r>
      <w:proofErr w:type="gramStart"/>
      <w:r w:rsidRPr="00AA72B0">
        <w:t>in order to</w:t>
      </w:r>
      <w:proofErr w:type="gramEnd"/>
      <w:r w:rsidRPr="00AA72B0">
        <w:t xml:space="preserve"> be charged, as opposed to a list of conditions that are weighed against each other.</w:t>
      </w:r>
    </w:p>
    <w:p w14:paraId="1C026A08" w14:textId="77777777" w:rsidR="00AA72B0" w:rsidRDefault="00AA72B0" w:rsidP="00AA72B0"/>
    <w:p w14:paraId="5BD8A4F5" w14:textId="77777777" w:rsidR="00AA72B0" w:rsidRPr="00AA72B0" w:rsidRDefault="00AA72B0" w:rsidP="00AA72B0">
      <w:pPr>
        <w:rPr>
          <w:b/>
        </w:rPr>
      </w:pPr>
      <w:r w:rsidRPr="00AA72B0">
        <w:rPr>
          <w:b/>
        </w:rPr>
        <w:t>Exercise 4.2</w:t>
      </w:r>
      <w:proofErr w:type="gramStart"/>
      <w:r w:rsidRPr="00AA72B0">
        <w:rPr>
          <w:b/>
        </w:rPr>
        <w:t>:  Using</w:t>
      </w:r>
      <w:proofErr w:type="gramEnd"/>
      <w:r w:rsidRPr="00AA72B0">
        <w:rPr>
          <w:b/>
        </w:rPr>
        <w:t xml:space="preserve"> a </w:t>
      </w:r>
      <w:proofErr w:type="gramStart"/>
      <w:r w:rsidRPr="00AA72B0">
        <w:rPr>
          <w:b/>
        </w:rPr>
        <w:t>Code Provision</w:t>
      </w:r>
      <w:proofErr w:type="gramEnd"/>
      <w:r w:rsidRPr="00AA72B0">
        <w:rPr>
          <w:b/>
        </w:rPr>
        <w:t xml:space="preserve"> to Describe an Explicit Rule</w:t>
      </w:r>
    </w:p>
    <w:p w14:paraId="012C7CED" w14:textId="77777777" w:rsidR="00AA72B0" w:rsidRPr="00AA72B0" w:rsidRDefault="00AA72B0" w:rsidP="00AA72B0">
      <w:pPr>
        <w:numPr>
          <w:ilvl w:val="0"/>
          <w:numId w:val="2"/>
        </w:numPr>
        <w:rPr>
          <w:b/>
        </w:rPr>
      </w:pPr>
      <w:r w:rsidRPr="00AA72B0">
        <w:rPr>
          <w:b/>
        </w:rPr>
        <w:t>Using the relevant language from this code provision (you should quote in part and paraphrase in part), how would you identify the rule in a memorandum of law to your supervising attorney?</w:t>
      </w:r>
    </w:p>
    <w:p w14:paraId="22C151D0" w14:textId="77777777" w:rsidR="00AA72B0" w:rsidRPr="00AA72B0" w:rsidRDefault="00AA72B0" w:rsidP="00AA72B0">
      <w:pPr>
        <w:rPr>
          <w:b/>
        </w:rPr>
      </w:pPr>
    </w:p>
    <w:p w14:paraId="6D6C5780" w14:textId="77777777" w:rsidR="00AA72B0" w:rsidRPr="00AA72B0" w:rsidRDefault="00AA72B0" w:rsidP="00AA72B0">
      <w:pPr>
        <w:rPr>
          <w:bCs/>
        </w:rPr>
      </w:pPr>
      <w:r w:rsidRPr="00AA72B0">
        <w:rPr>
          <w:bCs/>
        </w:rPr>
        <w:t>“[A] contract for the sale of goods for the price of $500 or more is not enforceable . . .unless there is some writing sufficient to indicate that a contract for sale has been made</w:t>
      </w:r>
      <w:proofErr w:type="gramStart"/>
      <w:r w:rsidRPr="00AA72B0">
        <w:rPr>
          <w:bCs/>
        </w:rPr>
        <w:t>. . . .</w:t>
      </w:r>
      <w:proofErr w:type="gramEnd"/>
      <w:r w:rsidRPr="00AA72B0">
        <w:rPr>
          <w:bCs/>
        </w:rPr>
        <w:t xml:space="preserve"> ” </w:t>
      </w:r>
      <w:r w:rsidRPr="00AA72B0">
        <w:rPr>
          <w:bCs/>
        </w:rPr>
        <w:lastRenderedPageBreak/>
        <w:t>However, if the goods were specifically made for the buyer and cannot be resold, then the contract is valid and enforceable. Even though there is no writing, if manufacture began before the buyer repudiated the agreement, and it meets these qualifications of specially manufactured, then the agreement is enforceable.</w:t>
      </w:r>
    </w:p>
    <w:p w14:paraId="7065C504" w14:textId="77777777" w:rsidR="00AA72B0" w:rsidRPr="00AA72B0" w:rsidRDefault="00AA72B0" w:rsidP="00AA72B0">
      <w:pPr>
        <w:rPr>
          <w:bCs/>
        </w:rPr>
      </w:pPr>
    </w:p>
    <w:p w14:paraId="0B442843" w14:textId="77777777" w:rsidR="00AA72B0" w:rsidRPr="00AA72B0" w:rsidRDefault="00AA72B0" w:rsidP="00AA72B0">
      <w:pPr>
        <w:rPr>
          <w:bCs/>
        </w:rPr>
      </w:pPr>
    </w:p>
    <w:p w14:paraId="50C944EA" w14:textId="77777777" w:rsidR="00AA72B0" w:rsidRPr="00AA72B0" w:rsidRDefault="00AA72B0" w:rsidP="00AA72B0">
      <w:pPr>
        <w:rPr>
          <w:b/>
          <w:bCs/>
        </w:rPr>
      </w:pPr>
      <w:r w:rsidRPr="00AA72B0">
        <w:rPr>
          <w:b/>
          <w:bCs/>
        </w:rPr>
        <w:t xml:space="preserve">2. How might you </w:t>
      </w:r>
      <w:proofErr w:type="gramStart"/>
      <w:r w:rsidRPr="00AA72B0">
        <w:rPr>
          <w:b/>
          <w:bCs/>
        </w:rPr>
        <w:t>inventory</w:t>
      </w:r>
      <w:proofErr w:type="gramEnd"/>
      <w:r w:rsidRPr="00AA72B0">
        <w:rPr>
          <w:b/>
          <w:bCs/>
        </w:rPr>
        <w:t xml:space="preserve"> your rule or break it down to analyze it part-by-part?</w:t>
      </w:r>
    </w:p>
    <w:p w14:paraId="5465B626" w14:textId="77777777" w:rsidR="00AA72B0" w:rsidRPr="00AA72B0" w:rsidRDefault="00AA72B0" w:rsidP="00AA72B0">
      <w:pPr>
        <w:rPr>
          <w:b/>
          <w:bCs/>
        </w:rPr>
      </w:pPr>
      <w:r w:rsidRPr="00AA72B0">
        <w:rPr>
          <w:b/>
          <w:bCs/>
        </w:rPr>
        <w:t>In other words, what are the sub-rules?</w:t>
      </w:r>
    </w:p>
    <w:p w14:paraId="5D09B448" w14:textId="77777777" w:rsidR="00AA72B0" w:rsidRPr="00AA72B0" w:rsidRDefault="00AA72B0" w:rsidP="00AA72B0">
      <w:pPr>
        <w:rPr>
          <w:b/>
          <w:bCs/>
        </w:rPr>
      </w:pPr>
    </w:p>
    <w:p w14:paraId="58561E3F" w14:textId="40C034FD" w:rsidR="00AA72B0" w:rsidRPr="00AA72B0" w:rsidRDefault="00AA72B0" w:rsidP="00AA72B0">
      <w:pPr>
        <w:rPr>
          <w:bCs/>
        </w:rPr>
      </w:pPr>
      <w:r w:rsidRPr="00AA72B0">
        <w:rPr>
          <w:bCs/>
        </w:rPr>
        <w:t xml:space="preserve">[A] contract for the sale of goods for the price of $500 or more is not enforceable </w:t>
      </w:r>
      <w:r>
        <w:rPr>
          <w:bCs/>
        </w:rPr>
        <w:t>unless it is in writing</w:t>
      </w:r>
      <w:r w:rsidRPr="00AA72B0">
        <w:rPr>
          <w:bCs/>
        </w:rPr>
        <w:t xml:space="preserve"> </w:t>
      </w:r>
      <w:r>
        <w:rPr>
          <w:bCs/>
        </w:rPr>
        <w:t>(</w:t>
      </w:r>
      <w:proofErr w:type="spellStart"/>
      <w:r>
        <w:rPr>
          <w:bCs/>
        </w:rPr>
        <w:t>i</w:t>
      </w:r>
      <w:proofErr w:type="spellEnd"/>
      <w:proofErr w:type="gramStart"/>
      <w:r>
        <w:rPr>
          <w:bCs/>
        </w:rPr>
        <w:t>)  the</w:t>
      </w:r>
      <w:proofErr w:type="gramEnd"/>
      <w:r>
        <w:rPr>
          <w:bCs/>
        </w:rPr>
        <w:t xml:space="preserve"> goods are specially made for the Buyer; (ii) </w:t>
      </w:r>
      <w:r w:rsidRPr="00AA72B0">
        <w:rPr>
          <w:bCs/>
        </w:rPr>
        <w:t>the goods cannot be sold in the ordinary course of business, and (</w:t>
      </w:r>
      <w:r>
        <w:rPr>
          <w:bCs/>
        </w:rPr>
        <w:t>iii</w:t>
      </w:r>
      <w:r w:rsidRPr="00AA72B0">
        <w:rPr>
          <w:bCs/>
        </w:rPr>
        <w:t xml:space="preserve">) manufacture of the </w:t>
      </w:r>
      <w:r>
        <w:rPr>
          <w:bCs/>
        </w:rPr>
        <w:t xml:space="preserve">Buyer’s </w:t>
      </w:r>
      <w:r w:rsidRPr="00AA72B0">
        <w:rPr>
          <w:bCs/>
        </w:rPr>
        <w:t>goods began</w:t>
      </w:r>
      <w:r>
        <w:rPr>
          <w:bCs/>
        </w:rPr>
        <w:t xml:space="preserve"> (or commitment to purchase materials had been made)</w:t>
      </w:r>
      <w:r w:rsidRPr="00AA72B0">
        <w:rPr>
          <w:bCs/>
        </w:rPr>
        <w:t xml:space="preserve"> before buyer’s repudiation.</w:t>
      </w:r>
    </w:p>
    <w:p w14:paraId="1739F09E" w14:textId="77777777" w:rsidR="00AA72B0" w:rsidRDefault="00AA72B0" w:rsidP="00AA72B0">
      <w:pPr>
        <w:rPr>
          <w:bCs/>
        </w:rPr>
      </w:pPr>
      <w:r w:rsidRPr="00AA72B0">
        <w:rPr>
          <w:bCs/>
        </w:rPr>
        <w:t>Each element is a sub-rule. When analyzing whether facts meet these criteria— it is best to apply each element (sub-rule), one at a time. Was the item valued at more than $500? Was it in writing? And so forth.</w:t>
      </w:r>
    </w:p>
    <w:p w14:paraId="74B7DF4F" w14:textId="77777777" w:rsidR="00AA72B0" w:rsidRPr="00AA72B0" w:rsidRDefault="00AA72B0" w:rsidP="00AA72B0">
      <w:pPr>
        <w:rPr>
          <w:b/>
        </w:rPr>
      </w:pPr>
      <w:r w:rsidRPr="00AA72B0">
        <w:rPr>
          <w:b/>
        </w:rPr>
        <w:t>Exercise 4.4</w:t>
      </w:r>
      <w:proofErr w:type="gramStart"/>
      <w:r w:rsidRPr="00AA72B0">
        <w:rPr>
          <w:b/>
        </w:rPr>
        <w:t>:  Breaking</w:t>
      </w:r>
      <w:proofErr w:type="gramEnd"/>
      <w:r w:rsidRPr="00AA72B0">
        <w:rPr>
          <w:b/>
        </w:rPr>
        <w:t xml:space="preserve"> down a Rule to Understand its Component Parts</w:t>
      </w:r>
    </w:p>
    <w:p w14:paraId="4CFECC6A" w14:textId="77777777" w:rsidR="00AA72B0" w:rsidRPr="00AA72B0" w:rsidRDefault="00AA72B0" w:rsidP="00AA72B0">
      <w:pPr>
        <w:rPr>
          <w:bCs/>
        </w:rPr>
      </w:pPr>
    </w:p>
    <w:tbl>
      <w:tblPr>
        <w:tblStyle w:val="TableGrid"/>
        <w:tblW w:w="0" w:type="auto"/>
        <w:tblLook w:val="04A0" w:firstRow="1" w:lastRow="0" w:firstColumn="1" w:lastColumn="0" w:noHBand="0" w:noVBand="1"/>
      </w:tblPr>
      <w:tblGrid>
        <w:gridCol w:w="4135"/>
        <w:gridCol w:w="5215"/>
      </w:tblGrid>
      <w:tr w:rsidR="00AA72B0" w:rsidRPr="00AA72B0" w14:paraId="68383A71" w14:textId="77777777">
        <w:tc>
          <w:tcPr>
            <w:tcW w:w="4135"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E100004" w14:textId="77777777" w:rsidR="00AA72B0" w:rsidRPr="00AA72B0" w:rsidRDefault="00AA72B0" w:rsidP="00AA72B0">
            <w:pPr>
              <w:spacing w:after="160" w:line="278" w:lineRule="auto"/>
              <w:rPr>
                <w:b/>
                <w:bCs/>
              </w:rPr>
            </w:pPr>
            <w:r w:rsidRPr="00AA72B0">
              <w:rPr>
                <w:b/>
                <w:bCs/>
              </w:rPr>
              <w:t>Rule</w:t>
            </w:r>
          </w:p>
        </w:tc>
        <w:tc>
          <w:tcPr>
            <w:tcW w:w="5215"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6DD70AC" w14:textId="77777777" w:rsidR="00AA72B0" w:rsidRPr="00AA72B0" w:rsidRDefault="00AA72B0" w:rsidP="00AA72B0">
            <w:pPr>
              <w:spacing w:after="160" w:line="278" w:lineRule="auto"/>
              <w:rPr>
                <w:b/>
                <w:bCs/>
              </w:rPr>
            </w:pPr>
            <w:proofErr w:type="gramStart"/>
            <w:r w:rsidRPr="00AA72B0">
              <w:rPr>
                <w:b/>
                <w:bCs/>
              </w:rPr>
              <w:t>Rule</w:t>
            </w:r>
            <w:proofErr w:type="gramEnd"/>
            <w:r w:rsidRPr="00AA72B0">
              <w:rPr>
                <w:b/>
                <w:bCs/>
              </w:rPr>
              <w:t xml:space="preserve"> broken down into elements, factors, or other components</w:t>
            </w:r>
          </w:p>
        </w:tc>
      </w:tr>
      <w:tr w:rsidR="00AA72B0" w:rsidRPr="00AA72B0" w14:paraId="6B1AED4F" w14:textId="77777777">
        <w:tc>
          <w:tcPr>
            <w:tcW w:w="4135" w:type="dxa"/>
            <w:tcBorders>
              <w:top w:val="single" w:sz="4" w:space="0" w:color="auto"/>
              <w:left w:val="single" w:sz="4" w:space="0" w:color="auto"/>
              <w:bottom w:val="single" w:sz="4" w:space="0" w:color="auto"/>
              <w:right w:val="single" w:sz="4" w:space="0" w:color="auto"/>
            </w:tcBorders>
          </w:tcPr>
          <w:p w14:paraId="5026F796" w14:textId="77777777" w:rsidR="00AA72B0" w:rsidRPr="00AA72B0" w:rsidRDefault="00AA72B0" w:rsidP="00AA72B0">
            <w:pPr>
              <w:spacing w:after="160" w:line="278" w:lineRule="auto"/>
              <w:rPr>
                <w:bCs/>
              </w:rPr>
            </w:pPr>
            <w:r w:rsidRPr="00AA72B0">
              <w:rPr>
                <w:bCs/>
              </w:rPr>
              <w:t xml:space="preserve">If a dog bites a person, without </w:t>
            </w:r>
            <w:r w:rsidRPr="00AA72B0">
              <w:rPr>
                <w:b/>
                <w:bCs/>
              </w:rPr>
              <w:t>provocation</w:t>
            </w:r>
            <w:r w:rsidRPr="00AA72B0">
              <w:rPr>
                <w:bCs/>
              </w:rPr>
              <w:t xml:space="preserve"> while the person is on public property, or lawfully on private property, including the property of the owner of the dog, the owner of the dog shall be liable for any damages suffered by the person bitten, regardless of the former viciousness of the dog or the owner’s knowledge of such viciousness.</w:t>
            </w:r>
          </w:p>
          <w:p w14:paraId="01F51CF9" w14:textId="77777777" w:rsidR="00AA72B0" w:rsidRPr="00AA72B0" w:rsidRDefault="00AA72B0" w:rsidP="00AA72B0">
            <w:pPr>
              <w:spacing w:after="160" w:line="278" w:lineRule="auto"/>
              <w:rPr>
                <w:bCs/>
              </w:rPr>
            </w:pPr>
          </w:p>
          <w:p w14:paraId="33652A04" w14:textId="77777777" w:rsidR="00AA72B0" w:rsidRPr="00AA72B0" w:rsidRDefault="00AA72B0" w:rsidP="00AA72B0">
            <w:pPr>
              <w:spacing w:after="160" w:line="278" w:lineRule="auto"/>
              <w:rPr>
                <w:bCs/>
              </w:rPr>
            </w:pPr>
            <w:r w:rsidRPr="00AA72B0">
              <w:rPr>
                <w:bCs/>
              </w:rPr>
              <w:lastRenderedPageBreak/>
              <w:t>Michigan Comp. Laws § 287.351 (2015).</w:t>
            </w:r>
          </w:p>
          <w:p w14:paraId="4B099FB7" w14:textId="77777777" w:rsidR="00AA72B0" w:rsidRPr="00AA72B0" w:rsidRDefault="00AA72B0" w:rsidP="00AA72B0">
            <w:pPr>
              <w:spacing w:after="160" w:line="278" w:lineRule="auto"/>
              <w:rPr>
                <w:b/>
                <w:bCs/>
              </w:rPr>
            </w:pPr>
          </w:p>
        </w:tc>
        <w:tc>
          <w:tcPr>
            <w:tcW w:w="5215" w:type="dxa"/>
            <w:tcBorders>
              <w:top w:val="single" w:sz="4" w:space="0" w:color="auto"/>
              <w:left w:val="single" w:sz="4" w:space="0" w:color="auto"/>
              <w:bottom w:val="single" w:sz="4" w:space="0" w:color="auto"/>
              <w:right w:val="single" w:sz="4" w:space="0" w:color="auto"/>
            </w:tcBorders>
          </w:tcPr>
          <w:p w14:paraId="4B410C2B" w14:textId="77777777" w:rsidR="00AA72B0" w:rsidRPr="00AA72B0" w:rsidRDefault="00AA72B0" w:rsidP="00AA72B0">
            <w:pPr>
              <w:spacing w:after="160" w:line="278" w:lineRule="auto"/>
              <w:rPr>
                <w:b/>
                <w:bCs/>
              </w:rPr>
            </w:pPr>
          </w:p>
          <w:p w14:paraId="197C9B8D" w14:textId="3D892381" w:rsidR="00AA72B0" w:rsidRPr="00AA72B0" w:rsidRDefault="00AA72B0" w:rsidP="00DE6395">
            <w:pPr>
              <w:spacing w:after="160" w:line="278" w:lineRule="auto"/>
              <w:rPr>
                <w:b/>
                <w:bCs/>
              </w:rPr>
            </w:pPr>
            <w:r w:rsidRPr="00AA72B0">
              <w:rPr>
                <w:b/>
                <w:bCs/>
              </w:rPr>
              <w:t>Dog owner is liable if:</w:t>
            </w:r>
          </w:p>
          <w:p w14:paraId="5C68201A" w14:textId="77777777" w:rsidR="00AA72B0" w:rsidRPr="00AA72B0" w:rsidRDefault="00AA72B0" w:rsidP="00AA72B0">
            <w:pPr>
              <w:numPr>
                <w:ilvl w:val="0"/>
                <w:numId w:val="4"/>
              </w:numPr>
              <w:spacing w:after="160" w:line="278" w:lineRule="auto"/>
              <w:rPr>
                <w:b/>
                <w:bCs/>
              </w:rPr>
            </w:pPr>
            <w:r w:rsidRPr="00AA72B0">
              <w:rPr>
                <w:b/>
                <w:bCs/>
              </w:rPr>
              <w:t xml:space="preserve"> The dog bites someone</w:t>
            </w:r>
          </w:p>
          <w:p w14:paraId="21A461E9" w14:textId="77777777" w:rsidR="00AA72B0" w:rsidRPr="00AA72B0" w:rsidRDefault="00AA72B0" w:rsidP="00AA72B0">
            <w:pPr>
              <w:numPr>
                <w:ilvl w:val="0"/>
                <w:numId w:val="4"/>
              </w:numPr>
              <w:spacing w:after="160" w:line="278" w:lineRule="auto"/>
              <w:rPr>
                <w:b/>
                <w:bCs/>
              </w:rPr>
            </w:pPr>
            <w:r w:rsidRPr="00AA72B0">
              <w:rPr>
                <w:b/>
                <w:bCs/>
              </w:rPr>
              <w:t>Unprovoked</w:t>
            </w:r>
          </w:p>
          <w:p w14:paraId="3A4CE0AA" w14:textId="76B3EC0C" w:rsidR="00AA72B0" w:rsidRDefault="00D15317" w:rsidP="00AA72B0">
            <w:pPr>
              <w:numPr>
                <w:ilvl w:val="0"/>
                <w:numId w:val="4"/>
              </w:numPr>
              <w:spacing w:after="160" w:line="278" w:lineRule="auto"/>
              <w:rPr>
                <w:b/>
                <w:bCs/>
              </w:rPr>
            </w:pPr>
            <w:r>
              <w:rPr>
                <w:b/>
                <w:bCs/>
              </w:rPr>
              <w:t>w</w:t>
            </w:r>
            <w:r w:rsidR="00AA72B0" w:rsidRPr="00AA72B0">
              <w:rPr>
                <w:b/>
                <w:bCs/>
              </w:rPr>
              <w:t>hile on public property or lawfully on private property, and</w:t>
            </w:r>
          </w:p>
          <w:p w14:paraId="58A3BA3E" w14:textId="3AE99510" w:rsidR="00DE6395" w:rsidRPr="00AA72B0" w:rsidRDefault="00D15317" w:rsidP="00AA72B0">
            <w:pPr>
              <w:numPr>
                <w:ilvl w:val="0"/>
                <w:numId w:val="4"/>
              </w:numPr>
              <w:spacing w:after="160" w:line="278" w:lineRule="auto"/>
              <w:rPr>
                <w:b/>
                <w:bCs/>
              </w:rPr>
            </w:pPr>
            <w:r>
              <w:rPr>
                <w:b/>
                <w:bCs/>
              </w:rPr>
              <w:t>d</w:t>
            </w:r>
            <w:r w:rsidR="00DE6395">
              <w:rPr>
                <w:b/>
                <w:bCs/>
              </w:rPr>
              <w:t xml:space="preserve">amages are sustained. </w:t>
            </w:r>
          </w:p>
          <w:p w14:paraId="516E171F" w14:textId="77777777" w:rsidR="00AA72B0" w:rsidRPr="00AA72B0" w:rsidRDefault="00AA72B0" w:rsidP="00AA72B0">
            <w:pPr>
              <w:spacing w:after="160" w:line="278" w:lineRule="auto"/>
              <w:rPr>
                <w:b/>
                <w:bCs/>
              </w:rPr>
            </w:pPr>
            <w:r w:rsidRPr="00AA72B0">
              <w:rPr>
                <w:b/>
                <w:bCs/>
              </w:rPr>
              <w:t>The viciousness or knowledge of the viciousness of the dog does not matter.</w:t>
            </w:r>
          </w:p>
          <w:p w14:paraId="0779EA37" w14:textId="77777777" w:rsidR="00AA72B0" w:rsidRPr="00AA72B0" w:rsidRDefault="00AA72B0" w:rsidP="00AA72B0">
            <w:pPr>
              <w:spacing w:after="160" w:line="278" w:lineRule="auto"/>
              <w:rPr>
                <w:b/>
                <w:bCs/>
              </w:rPr>
            </w:pPr>
          </w:p>
        </w:tc>
      </w:tr>
      <w:tr w:rsidR="00AA72B0" w:rsidRPr="00AA72B0" w14:paraId="34426CBF" w14:textId="77777777">
        <w:tc>
          <w:tcPr>
            <w:tcW w:w="4135" w:type="dxa"/>
            <w:tcBorders>
              <w:top w:val="single" w:sz="4" w:space="0" w:color="auto"/>
              <w:left w:val="single" w:sz="4" w:space="0" w:color="auto"/>
              <w:bottom w:val="single" w:sz="4" w:space="0" w:color="auto"/>
              <w:right w:val="single" w:sz="4" w:space="0" w:color="auto"/>
            </w:tcBorders>
          </w:tcPr>
          <w:p w14:paraId="030EEBC9" w14:textId="77777777" w:rsidR="00AA72B0" w:rsidRPr="00AA72B0" w:rsidRDefault="00AA72B0" w:rsidP="00AA72B0">
            <w:pPr>
              <w:spacing w:after="160" w:line="278" w:lineRule="auto"/>
              <w:rPr>
                <w:bCs/>
              </w:rPr>
            </w:pPr>
            <w:r w:rsidRPr="00AA72B0">
              <w:rPr>
                <w:b/>
                <w:bCs/>
              </w:rPr>
              <w:lastRenderedPageBreak/>
              <w:t>Contracts.</w:t>
            </w:r>
            <w:r w:rsidRPr="00AA72B0">
              <w:rPr>
                <w:bCs/>
              </w:rPr>
              <w:t xml:space="preserve"> It was a clear, definite, and explicit offer of sale by defendant and left nothing open for negotiation.</w:t>
            </w:r>
          </w:p>
          <w:p w14:paraId="6E7829B3" w14:textId="77777777" w:rsidR="00AA72B0" w:rsidRPr="00AA72B0" w:rsidRDefault="00AA72B0" w:rsidP="00AA72B0">
            <w:pPr>
              <w:spacing w:after="160" w:line="278" w:lineRule="auto"/>
              <w:rPr>
                <w:bCs/>
              </w:rPr>
            </w:pPr>
          </w:p>
          <w:p w14:paraId="12E4B444" w14:textId="77777777" w:rsidR="00AA72B0" w:rsidRPr="00AA72B0" w:rsidRDefault="00AA72B0" w:rsidP="00AA72B0">
            <w:pPr>
              <w:spacing w:after="160" w:line="278" w:lineRule="auto"/>
              <w:rPr>
                <w:bCs/>
              </w:rPr>
            </w:pPr>
            <w:r w:rsidRPr="00AA72B0">
              <w:rPr>
                <w:bCs/>
                <w:i/>
              </w:rPr>
              <w:t>Lefkowitz v. Great Minneapolis Surplus Store</w:t>
            </w:r>
            <w:r w:rsidRPr="00AA72B0">
              <w:rPr>
                <w:bCs/>
              </w:rPr>
              <w:t>, 251 Minn. 188 (1957).</w:t>
            </w:r>
          </w:p>
        </w:tc>
        <w:tc>
          <w:tcPr>
            <w:tcW w:w="5215" w:type="dxa"/>
            <w:tcBorders>
              <w:top w:val="single" w:sz="4" w:space="0" w:color="auto"/>
              <w:left w:val="single" w:sz="4" w:space="0" w:color="auto"/>
              <w:bottom w:val="single" w:sz="4" w:space="0" w:color="auto"/>
              <w:right w:val="single" w:sz="4" w:space="0" w:color="auto"/>
            </w:tcBorders>
            <w:hideMark/>
          </w:tcPr>
          <w:p w14:paraId="6AE43F09" w14:textId="28950321" w:rsidR="00AA72B0" w:rsidRPr="00AA72B0" w:rsidRDefault="00DE6395" w:rsidP="00DE6395">
            <w:pPr>
              <w:spacing w:after="160" w:line="278" w:lineRule="auto"/>
              <w:ind w:left="720"/>
              <w:rPr>
                <w:b/>
                <w:bCs/>
              </w:rPr>
            </w:pPr>
            <w:r>
              <w:rPr>
                <w:b/>
                <w:bCs/>
              </w:rPr>
              <w:t xml:space="preserve">An </w:t>
            </w:r>
            <w:r w:rsidR="00AA72B0" w:rsidRPr="00AA72B0">
              <w:rPr>
                <w:b/>
                <w:bCs/>
              </w:rPr>
              <w:t>Offer of sale that is</w:t>
            </w:r>
          </w:p>
          <w:p w14:paraId="51532E29" w14:textId="5B354F39" w:rsidR="00AA72B0" w:rsidRPr="00AA72B0" w:rsidRDefault="00AA72B0" w:rsidP="00AA72B0">
            <w:pPr>
              <w:numPr>
                <w:ilvl w:val="0"/>
                <w:numId w:val="6"/>
              </w:numPr>
              <w:spacing w:after="160" w:line="278" w:lineRule="auto"/>
              <w:rPr>
                <w:b/>
                <w:bCs/>
              </w:rPr>
            </w:pPr>
            <w:r w:rsidRPr="00AA72B0">
              <w:rPr>
                <w:b/>
                <w:bCs/>
              </w:rPr>
              <w:t>Clear</w:t>
            </w:r>
            <w:r w:rsidR="00DE6395">
              <w:rPr>
                <w:b/>
                <w:bCs/>
              </w:rPr>
              <w:t>,</w:t>
            </w:r>
          </w:p>
          <w:p w14:paraId="7F1EB854" w14:textId="6244AFF8" w:rsidR="00AA72B0" w:rsidRPr="00AA72B0" w:rsidRDefault="00AA72B0" w:rsidP="00AA72B0">
            <w:pPr>
              <w:numPr>
                <w:ilvl w:val="0"/>
                <w:numId w:val="6"/>
              </w:numPr>
              <w:spacing w:after="160" w:line="278" w:lineRule="auto"/>
              <w:rPr>
                <w:b/>
                <w:bCs/>
              </w:rPr>
            </w:pPr>
            <w:r w:rsidRPr="00AA72B0">
              <w:rPr>
                <w:b/>
                <w:bCs/>
              </w:rPr>
              <w:t>Definite</w:t>
            </w:r>
            <w:r w:rsidR="00DE6395">
              <w:rPr>
                <w:b/>
                <w:bCs/>
              </w:rPr>
              <w:t>,</w:t>
            </w:r>
          </w:p>
          <w:p w14:paraId="1429BD85" w14:textId="77777777" w:rsidR="00DE6395" w:rsidRDefault="00AA72B0" w:rsidP="00DE6395">
            <w:pPr>
              <w:numPr>
                <w:ilvl w:val="0"/>
                <w:numId w:val="6"/>
              </w:numPr>
              <w:spacing w:after="160" w:line="278" w:lineRule="auto"/>
              <w:rPr>
                <w:b/>
                <w:bCs/>
              </w:rPr>
            </w:pPr>
            <w:r w:rsidRPr="00AA72B0">
              <w:rPr>
                <w:b/>
                <w:bCs/>
              </w:rPr>
              <w:t xml:space="preserve">Explicit, and </w:t>
            </w:r>
          </w:p>
          <w:p w14:paraId="01D71B64" w14:textId="449DC7F0" w:rsidR="00AA72B0" w:rsidRPr="00AA72B0" w:rsidRDefault="00DE6395" w:rsidP="00DE6395">
            <w:pPr>
              <w:numPr>
                <w:ilvl w:val="0"/>
                <w:numId w:val="6"/>
              </w:numPr>
              <w:spacing w:after="160" w:line="278" w:lineRule="auto"/>
              <w:rPr>
                <w:b/>
                <w:bCs/>
              </w:rPr>
            </w:pPr>
            <w:r>
              <w:rPr>
                <w:b/>
                <w:bCs/>
              </w:rPr>
              <w:t>Does not leave anything</w:t>
            </w:r>
            <w:r w:rsidR="00AA72B0" w:rsidRPr="00AA72B0">
              <w:rPr>
                <w:b/>
                <w:bCs/>
              </w:rPr>
              <w:t xml:space="preserve"> open for negotiation</w:t>
            </w:r>
          </w:p>
        </w:tc>
      </w:tr>
      <w:tr w:rsidR="00AA72B0" w:rsidRPr="00AA72B0" w14:paraId="614CB11A" w14:textId="77777777">
        <w:tc>
          <w:tcPr>
            <w:tcW w:w="4135" w:type="dxa"/>
            <w:tcBorders>
              <w:top w:val="single" w:sz="4" w:space="0" w:color="auto"/>
              <w:left w:val="single" w:sz="4" w:space="0" w:color="auto"/>
              <w:bottom w:val="single" w:sz="4" w:space="0" w:color="auto"/>
              <w:right w:val="single" w:sz="4" w:space="0" w:color="auto"/>
            </w:tcBorders>
          </w:tcPr>
          <w:p w14:paraId="7352B5AD" w14:textId="77777777" w:rsidR="00AA72B0" w:rsidRPr="00AA72B0" w:rsidRDefault="00AA72B0" w:rsidP="00AA72B0">
            <w:pPr>
              <w:spacing w:after="160" w:line="278" w:lineRule="auto"/>
              <w:rPr>
                <w:bCs/>
              </w:rPr>
            </w:pPr>
            <w:r w:rsidRPr="00AA72B0">
              <w:rPr>
                <w:b/>
                <w:bCs/>
              </w:rPr>
              <w:t>Conversion</w:t>
            </w:r>
            <w:r w:rsidRPr="00AA72B0">
              <w:rPr>
                <w:bCs/>
              </w:rPr>
              <w:t xml:space="preserve">.  Where the defendant intentionally and substantially interferes with another’s personal or otherwise tangible property, defendant is liable for damage or loss of the property. </w:t>
            </w:r>
          </w:p>
          <w:p w14:paraId="471099F8" w14:textId="77777777" w:rsidR="00AA72B0" w:rsidRPr="00AA72B0" w:rsidRDefault="00AA72B0" w:rsidP="00AA72B0">
            <w:pPr>
              <w:spacing w:after="160" w:line="278" w:lineRule="auto"/>
              <w:rPr>
                <w:bCs/>
                <w:i/>
              </w:rPr>
            </w:pPr>
          </w:p>
          <w:p w14:paraId="62EF9D20" w14:textId="77777777" w:rsidR="00AA72B0" w:rsidRPr="00AA72B0" w:rsidRDefault="00AA72B0" w:rsidP="00AA72B0">
            <w:pPr>
              <w:spacing w:after="160" w:line="278" w:lineRule="auto"/>
              <w:rPr>
                <w:bCs/>
              </w:rPr>
            </w:pPr>
          </w:p>
        </w:tc>
        <w:tc>
          <w:tcPr>
            <w:tcW w:w="5215" w:type="dxa"/>
            <w:tcBorders>
              <w:top w:val="single" w:sz="4" w:space="0" w:color="auto"/>
              <w:left w:val="single" w:sz="4" w:space="0" w:color="auto"/>
              <w:bottom w:val="single" w:sz="4" w:space="0" w:color="auto"/>
              <w:right w:val="single" w:sz="4" w:space="0" w:color="auto"/>
            </w:tcBorders>
            <w:hideMark/>
          </w:tcPr>
          <w:p w14:paraId="1D6BD342" w14:textId="77777777" w:rsidR="00AA72B0" w:rsidRPr="00AA72B0" w:rsidRDefault="00AA72B0" w:rsidP="00AA72B0">
            <w:pPr>
              <w:spacing w:after="160" w:line="278" w:lineRule="auto"/>
              <w:rPr>
                <w:b/>
                <w:bCs/>
              </w:rPr>
            </w:pPr>
            <w:proofErr w:type="gramStart"/>
            <w:r w:rsidRPr="00AA72B0">
              <w:rPr>
                <w:b/>
                <w:bCs/>
              </w:rPr>
              <w:t>Defendant is</w:t>
            </w:r>
            <w:proofErr w:type="gramEnd"/>
            <w:r w:rsidRPr="00AA72B0">
              <w:rPr>
                <w:b/>
                <w:bCs/>
              </w:rPr>
              <w:t xml:space="preserve"> liable for damage or loss if they:</w:t>
            </w:r>
          </w:p>
          <w:p w14:paraId="4C943D67" w14:textId="77777777" w:rsidR="00AA72B0" w:rsidRPr="00AA72B0" w:rsidRDefault="00AA72B0" w:rsidP="00AA72B0">
            <w:pPr>
              <w:numPr>
                <w:ilvl w:val="0"/>
                <w:numId w:val="7"/>
              </w:numPr>
              <w:spacing w:after="160" w:line="278" w:lineRule="auto"/>
              <w:rPr>
                <w:b/>
                <w:bCs/>
              </w:rPr>
            </w:pPr>
            <w:r w:rsidRPr="00AA72B0">
              <w:rPr>
                <w:b/>
                <w:bCs/>
              </w:rPr>
              <w:t>Intentionally, and</w:t>
            </w:r>
          </w:p>
          <w:p w14:paraId="6E047B9F" w14:textId="77777777" w:rsidR="00AA72B0" w:rsidRPr="00AA72B0" w:rsidRDefault="00AA72B0" w:rsidP="00AA72B0">
            <w:pPr>
              <w:numPr>
                <w:ilvl w:val="0"/>
                <w:numId w:val="7"/>
              </w:numPr>
              <w:spacing w:after="160" w:line="278" w:lineRule="auto"/>
              <w:rPr>
                <w:b/>
                <w:bCs/>
              </w:rPr>
            </w:pPr>
            <w:r w:rsidRPr="00AA72B0">
              <w:rPr>
                <w:b/>
                <w:bCs/>
              </w:rPr>
              <w:t>Substantially</w:t>
            </w:r>
          </w:p>
          <w:p w14:paraId="3D076F7C" w14:textId="10A4CD09" w:rsidR="00AA72B0" w:rsidRPr="00AA72B0" w:rsidRDefault="00D15317" w:rsidP="00AA72B0">
            <w:pPr>
              <w:spacing w:after="160" w:line="278" w:lineRule="auto"/>
              <w:rPr>
                <w:b/>
                <w:bCs/>
              </w:rPr>
            </w:pPr>
            <w:r>
              <w:rPr>
                <w:b/>
                <w:bCs/>
              </w:rPr>
              <w:t>i</w:t>
            </w:r>
            <w:r w:rsidR="00AA72B0" w:rsidRPr="00AA72B0">
              <w:rPr>
                <w:b/>
                <w:bCs/>
              </w:rPr>
              <w:t>nterfere with personal or other tangible property</w:t>
            </w:r>
          </w:p>
        </w:tc>
      </w:tr>
      <w:tr w:rsidR="00AA72B0" w:rsidRPr="00AA72B0" w14:paraId="768A2978" w14:textId="77777777">
        <w:tc>
          <w:tcPr>
            <w:tcW w:w="4135" w:type="dxa"/>
            <w:tcBorders>
              <w:top w:val="single" w:sz="4" w:space="0" w:color="auto"/>
              <w:left w:val="single" w:sz="4" w:space="0" w:color="auto"/>
              <w:bottom w:val="single" w:sz="4" w:space="0" w:color="auto"/>
              <w:right w:val="single" w:sz="4" w:space="0" w:color="auto"/>
            </w:tcBorders>
          </w:tcPr>
          <w:p w14:paraId="5633101B" w14:textId="77777777" w:rsidR="00AA72B0" w:rsidRPr="00AA72B0" w:rsidRDefault="00AA72B0" w:rsidP="00AA72B0">
            <w:pPr>
              <w:spacing w:after="160" w:line="278" w:lineRule="auto"/>
              <w:rPr>
                <w:bCs/>
              </w:rPr>
            </w:pPr>
            <w:r w:rsidRPr="00AA72B0">
              <w:rPr>
                <w:b/>
                <w:bCs/>
              </w:rPr>
              <w:t>Attractive nuisance</w:t>
            </w:r>
            <w:r w:rsidRPr="00AA72B0">
              <w:rPr>
                <w:bCs/>
              </w:rPr>
              <w:t xml:space="preserve">.  The offending condition, circumstance or contrivance although apparently dangerous to adults of discretion, is nevertheless so enticing and alluring as to be calculated to excite the curiosity of children of tender years to the extent of inducing them to utilize the instrumentality in some childish endeavor, the inherent danger of which the child is incapable of comprehending. </w:t>
            </w:r>
          </w:p>
          <w:p w14:paraId="7FFDB798" w14:textId="77777777" w:rsidR="00AA72B0" w:rsidRPr="00AA72B0" w:rsidRDefault="00AA72B0" w:rsidP="00AA72B0">
            <w:pPr>
              <w:spacing w:after="160" w:line="278" w:lineRule="auto"/>
              <w:rPr>
                <w:bCs/>
              </w:rPr>
            </w:pPr>
          </w:p>
        </w:tc>
        <w:tc>
          <w:tcPr>
            <w:tcW w:w="5215" w:type="dxa"/>
            <w:tcBorders>
              <w:top w:val="single" w:sz="4" w:space="0" w:color="auto"/>
              <w:left w:val="single" w:sz="4" w:space="0" w:color="auto"/>
              <w:bottom w:val="single" w:sz="4" w:space="0" w:color="auto"/>
              <w:right w:val="single" w:sz="4" w:space="0" w:color="auto"/>
            </w:tcBorders>
            <w:hideMark/>
          </w:tcPr>
          <w:p w14:paraId="43792F9D" w14:textId="21BF5C3A" w:rsidR="00AA72B0" w:rsidRPr="00AA72B0" w:rsidRDefault="00AA72B0" w:rsidP="00AA72B0">
            <w:pPr>
              <w:spacing w:after="160" w:line="278" w:lineRule="auto"/>
              <w:rPr>
                <w:b/>
                <w:bCs/>
              </w:rPr>
            </w:pPr>
            <w:proofErr w:type="gramStart"/>
            <w:r w:rsidRPr="00AA72B0">
              <w:rPr>
                <w:b/>
                <w:bCs/>
              </w:rPr>
              <w:t>A</w:t>
            </w:r>
            <w:proofErr w:type="gramEnd"/>
            <w:r w:rsidRPr="00AA72B0">
              <w:rPr>
                <w:b/>
                <w:bCs/>
              </w:rPr>
              <w:t xml:space="preserve"> </w:t>
            </w:r>
            <w:r w:rsidR="00DE6395">
              <w:rPr>
                <w:b/>
                <w:bCs/>
              </w:rPr>
              <w:t xml:space="preserve">attractive nuisance is a </w:t>
            </w:r>
            <w:r w:rsidRPr="00AA72B0">
              <w:rPr>
                <w:b/>
                <w:bCs/>
              </w:rPr>
              <w:t xml:space="preserve">condition or circumstance that is: </w:t>
            </w:r>
          </w:p>
          <w:p w14:paraId="1B247B5F" w14:textId="66B0ED2A" w:rsidR="00AA72B0" w:rsidRPr="00AA72B0" w:rsidRDefault="00DE6395" w:rsidP="00AA72B0">
            <w:pPr>
              <w:numPr>
                <w:ilvl w:val="0"/>
                <w:numId w:val="8"/>
              </w:numPr>
              <w:spacing w:after="160" w:line="278" w:lineRule="auto"/>
              <w:rPr>
                <w:b/>
                <w:bCs/>
              </w:rPr>
            </w:pPr>
            <w:r>
              <w:rPr>
                <w:b/>
                <w:bCs/>
              </w:rPr>
              <w:t>Apparently dangerous</w:t>
            </w:r>
            <w:r w:rsidR="00AA72B0" w:rsidRPr="00AA72B0">
              <w:rPr>
                <w:b/>
                <w:bCs/>
              </w:rPr>
              <w:t xml:space="preserve"> to </w:t>
            </w:r>
            <w:r>
              <w:rPr>
                <w:b/>
                <w:bCs/>
              </w:rPr>
              <w:t xml:space="preserve">responsible </w:t>
            </w:r>
            <w:r w:rsidR="00AA72B0" w:rsidRPr="00AA72B0">
              <w:rPr>
                <w:b/>
                <w:bCs/>
              </w:rPr>
              <w:t>adults</w:t>
            </w:r>
            <w:r>
              <w:rPr>
                <w:b/>
                <w:bCs/>
              </w:rPr>
              <w:t>, that would</w:t>
            </w:r>
          </w:p>
          <w:p w14:paraId="76A144D0" w14:textId="66271261" w:rsidR="00AA72B0" w:rsidRPr="00AA72B0" w:rsidRDefault="00DE6395" w:rsidP="00AA72B0">
            <w:pPr>
              <w:numPr>
                <w:ilvl w:val="0"/>
                <w:numId w:val="8"/>
              </w:numPr>
              <w:spacing w:after="160" w:line="278" w:lineRule="auto"/>
              <w:rPr>
                <w:b/>
                <w:bCs/>
              </w:rPr>
            </w:pPr>
            <w:proofErr w:type="gramStart"/>
            <w:r>
              <w:rPr>
                <w:b/>
                <w:bCs/>
              </w:rPr>
              <w:t>nevertheless</w:t>
            </w:r>
            <w:proofErr w:type="gramEnd"/>
            <w:r>
              <w:rPr>
                <w:b/>
                <w:bCs/>
              </w:rPr>
              <w:t xml:space="preserve"> would e</w:t>
            </w:r>
            <w:r w:rsidR="00AA72B0" w:rsidRPr="00AA72B0">
              <w:rPr>
                <w:b/>
                <w:bCs/>
              </w:rPr>
              <w:t>ntic</w:t>
            </w:r>
            <w:r>
              <w:rPr>
                <w:b/>
                <w:bCs/>
              </w:rPr>
              <w:t>e</w:t>
            </w:r>
            <w:r w:rsidR="00AA72B0" w:rsidRPr="00AA72B0">
              <w:rPr>
                <w:b/>
                <w:bCs/>
              </w:rPr>
              <w:t xml:space="preserve"> the child to act dangerously</w:t>
            </w:r>
            <w:r>
              <w:rPr>
                <w:b/>
                <w:bCs/>
              </w:rPr>
              <w:t xml:space="preserve"> around the condition or circumstance</w:t>
            </w:r>
            <w:r w:rsidR="00AA72B0" w:rsidRPr="00AA72B0">
              <w:rPr>
                <w:b/>
                <w:bCs/>
              </w:rPr>
              <w:t>,</w:t>
            </w:r>
          </w:p>
          <w:p w14:paraId="23D9D341" w14:textId="35CC766C" w:rsidR="00AA72B0" w:rsidRPr="00AA72B0" w:rsidRDefault="00D15317" w:rsidP="00AA72B0">
            <w:pPr>
              <w:numPr>
                <w:ilvl w:val="0"/>
                <w:numId w:val="8"/>
              </w:numPr>
              <w:spacing w:after="160" w:line="278" w:lineRule="auto"/>
              <w:rPr>
                <w:bCs/>
              </w:rPr>
            </w:pPr>
            <w:r>
              <w:rPr>
                <w:b/>
                <w:bCs/>
              </w:rPr>
              <w:t>i</w:t>
            </w:r>
            <w:r w:rsidR="00AA72B0" w:rsidRPr="00AA72B0">
              <w:rPr>
                <w:b/>
                <w:bCs/>
              </w:rPr>
              <w:t>n a way that a child would not understand as dangerous</w:t>
            </w:r>
            <w:r w:rsidR="00DE6395">
              <w:rPr>
                <w:b/>
                <w:bCs/>
              </w:rPr>
              <w:t>.</w:t>
            </w:r>
          </w:p>
        </w:tc>
      </w:tr>
      <w:tr w:rsidR="00AA72B0" w:rsidRPr="00AA72B0" w14:paraId="63083F91" w14:textId="77777777">
        <w:tc>
          <w:tcPr>
            <w:tcW w:w="4135" w:type="dxa"/>
            <w:tcBorders>
              <w:top w:val="single" w:sz="4" w:space="0" w:color="auto"/>
              <w:left w:val="single" w:sz="4" w:space="0" w:color="auto"/>
              <w:bottom w:val="single" w:sz="4" w:space="0" w:color="auto"/>
              <w:right w:val="single" w:sz="4" w:space="0" w:color="auto"/>
            </w:tcBorders>
          </w:tcPr>
          <w:p w14:paraId="2D65DE06" w14:textId="77777777" w:rsidR="00AA72B0" w:rsidRPr="00AA72B0" w:rsidRDefault="00AA72B0" w:rsidP="00AA72B0">
            <w:pPr>
              <w:spacing w:after="160" w:line="278" w:lineRule="auto"/>
              <w:rPr>
                <w:bCs/>
              </w:rPr>
            </w:pPr>
            <w:r w:rsidRPr="00AA72B0">
              <w:rPr>
                <w:b/>
                <w:bCs/>
              </w:rPr>
              <w:t>Nuisance</w:t>
            </w:r>
            <w:r w:rsidRPr="00AA72B0">
              <w:rPr>
                <w:bCs/>
              </w:rPr>
              <w:t xml:space="preserve">. A property owner may put his own property to any reasonable </w:t>
            </w:r>
            <w:r w:rsidRPr="00AA72B0">
              <w:rPr>
                <w:bCs/>
              </w:rPr>
              <w:lastRenderedPageBreak/>
              <w:t>and lawful use, so long as he does not thereby deprive the adjoining landowner of any right of enjoyment of his property, which is recognized and protected by law, and so long as the owner’s use is not such a one as the law will pronounce a nuisance.</w:t>
            </w:r>
          </w:p>
          <w:p w14:paraId="380368B8" w14:textId="77777777" w:rsidR="00AA72B0" w:rsidRPr="00AA72B0" w:rsidRDefault="00AA72B0" w:rsidP="00AA72B0">
            <w:pPr>
              <w:spacing w:after="160" w:line="278" w:lineRule="auto"/>
              <w:rPr>
                <w:bCs/>
                <w:u w:val="single"/>
              </w:rPr>
            </w:pPr>
          </w:p>
          <w:p w14:paraId="75D51AD4" w14:textId="77777777" w:rsidR="00AA72B0" w:rsidRPr="00AA72B0" w:rsidRDefault="00AA72B0" w:rsidP="00AA72B0">
            <w:pPr>
              <w:spacing w:after="160" w:line="278" w:lineRule="auto"/>
              <w:rPr>
                <w:bCs/>
              </w:rPr>
            </w:pPr>
            <w:r w:rsidRPr="00AA72B0">
              <w:rPr>
                <w:bCs/>
                <w:i/>
              </w:rPr>
              <w:t>Reaver v. Martin Theatres</w:t>
            </w:r>
            <w:r w:rsidRPr="00AA72B0">
              <w:rPr>
                <w:bCs/>
              </w:rPr>
              <w:t>, 52 So. 2d 682, (Fla. 1951).</w:t>
            </w:r>
          </w:p>
          <w:p w14:paraId="0B733BDE" w14:textId="77777777" w:rsidR="00AA72B0" w:rsidRPr="00AA72B0" w:rsidRDefault="00AA72B0" w:rsidP="00AA72B0">
            <w:pPr>
              <w:spacing w:after="160" w:line="278" w:lineRule="auto"/>
              <w:rPr>
                <w:bCs/>
              </w:rPr>
            </w:pPr>
          </w:p>
        </w:tc>
        <w:tc>
          <w:tcPr>
            <w:tcW w:w="5215" w:type="dxa"/>
            <w:tcBorders>
              <w:top w:val="single" w:sz="4" w:space="0" w:color="auto"/>
              <w:left w:val="single" w:sz="4" w:space="0" w:color="auto"/>
              <w:bottom w:val="single" w:sz="4" w:space="0" w:color="auto"/>
              <w:right w:val="single" w:sz="4" w:space="0" w:color="auto"/>
            </w:tcBorders>
            <w:hideMark/>
          </w:tcPr>
          <w:p w14:paraId="307FF74C" w14:textId="55019EEE" w:rsidR="00D15317" w:rsidRDefault="00D15317" w:rsidP="00D15317">
            <w:pPr>
              <w:spacing w:after="160" w:line="278" w:lineRule="auto"/>
              <w:ind w:left="720"/>
              <w:rPr>
                <w:b/>
                <w:bCs/>
              </w:rPr>
            </w:pPr>
            <w:r>
              <w:rPr>
                <w:b/>
                <w:bCs/>
              </w:rPr>
              <w:lastRenderedPageBreak/>
              <w:t>Nuisance</w:t>
            </w:r>
            <w:r w:rsidR="00DE6395">
              <w:rPr>
                <w:b/>
                <w:bCs/>
              </w:rPr>
              <w:t xml:space="preserve"> is a </w:t>
            </w:r>
            <w:r>
              <w:rPr>
                <w:b/>
                <w:bCs/>
              </w:rPr>
              <w:t>u</w:t>
            </w:r>
            <w:r w:rsidR="00DE6395">
              <w:rPr>
                <w:b/>
                <w:bCs/>
              </w:rPr>
              <w:t>se of one’s property</w:t>
            </w:r>
            <w:r>
              <w:rPr>
                <w:b/>
                <w:bCs/>
              </w:rPr>
              <w:t>;</w:t>
            </w:r>
          </w:p>
          <w:p w14:paraId="674F9AEB" w14:textId="2C066143" w:rsidR="00D15317" w:rsidRDefault="00D15317" w:rsidP="00DE6395">
            <w:pPr>
              <w:pStyle w:val="ListParagraph"/>
              <w:numPr>
                <w:ilvl w:val="0"/>
                <w:numId w:val="11"/>
              </w:numPr>
              <w:rPr>
                <w:b/>
                <w:bCs/>
              </w:rPr>
            </w:pPr>
            <w:r>
              <w:rPr>
                <w:b/>
                <w:bCs/>
              </w:rPr>
              <w:t xml:space="preserve">Pronounced a nuisance by law; or </w:t>
            </w:r>
          </w:p>
          <w:p w14:paraId="31E1C6F5" w14:textId="321CCAD7" w:rsidR="00D15317" w:rsidRPr="00D15317" w:rsidRDefault="00D15317" w:rsidP="00D15317">
            <w:pPr>
              <w:pStyle w:val="ListParagraph"/>
              <w:numPr>
                <w:ilvl w:val="0"/>
                <w:numId w:val="11"/>
              </w:numPr>
              <w:rPr>
                <w:b/>
                <w:bCs/>
              </w:rPr>
            </w:pPr>
            <w:r>
              <w:rPr>
                <w:b/>
                <w:bCs/>
              </w:rPr>
              <w:lastRenderedPageBreak/>
              <w:t xml:space="preserve">(x) such use </w:t>
            </w:r>
            <w:r w:rsidR="00AA72B0" w:rsidRPr="00DE6395">
              <w:rPr>
                <w:b/>
                <w:bCs/>
              </w:rPr>
              <w:t>interferes with a neighbor’s enjoyment of their own land</w:t>
            </w:r>
            <w:r>
              <w:rPr>
                <w:b/>
                <w:bCs/>
              </w:rPr>
              <w:t>; and (y) that is</w:t>
            </w:r>
            <w:r w:rsidRPr="00D15317">
              <w:rPr>
                <w:b/>
                <w:bCs/>
              </w:rPr>
              <w:t xml:space="preserve"> </w:t>
            </w:r>
            <w:r>
              <w:rPr>
                <w:b/>
                <w:bCs/>
              </w:rPr>
              <w:t xml:space="preserve">recognized and protected by law. </w:t>
            </w:r>
          </w:p>
          <w:p w14:paraId="35DC647F" w14:textId="1F57088D" w:rsidR="00D15317" w:rsidRPr="00DE6395" w:rsidRDefault="00D15317" w:rsidP="00D15317">
            <w:pPr>
              <w:pStyle w:val="ListParagraph"/>
              <w:ind w:left="1080"/>
              <w:rPr>
                <w:b/>
                <w:bCs/>
              </w:rPr>
            </w:pPr>
          </w:p>
        </w:tc>
      </w:tr>
    </w:tbl>
    <w:p w14:paraId="7EC3737B" w14:textId="77777777" w:rsidR="00AA72B0" w:rsidRPr="00AA72B0" w:rsidRDefault="00AA72B0" w:rsidP="00AA72B0">
      <w:pPr>
        <w:rPr>
          <w:bCs/>
        </w:rPr>
      </w:pPr>
    </w:p>
    <w:sectPr w:rsidR="00AA72B0" w:rsidRPr="00AA7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2261"/>
    <w:multiLevelType w:val="hybridMultilevel"/>
    <w:tmpl w:val="4C3E4EF2"/>
    <w:lvl w:ilvl="0" w:tplc="F8F0C646">
      <w:start w:val="1"/>
      <w:numFmt w:val="decimal"/>
      <w:lvlText w:val="(%1)"/>
      <w:lvlJc w:val="left"/>
      <w:pPr>
        <w:ind w:left="720" w:hanging="360"/>
      </w:pPr>
      <w:rPr>
        <w:rFonts w:ascii="Garamond" w:hAnsi="Garamond" w:hint="default"/>
        <w:b/>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9B27415"/>
    <w:multiLevelType w:val="hybridMultilevel"/>
    <w:tmpl w:val="5B22A636"/>
    <w:lvl w:ilvl="0" w:tplc="DBA6309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20140C5"/>
    <w:multiLevelType w:val="hybridMultilevel"/>
    <w:tmpl w:val="73D427D0"/>
    <w:lvl w:ilvl="0" w:tplc="504CEF7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73A0CA1"/>
    <w:multiLevelType w:val="hybridMultilevel"/>
    <w:tmpl w:val="6A36F056"/>
    <w:lvl w:ilvl="0" w:tplc="C3C02F9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27441351"/>
    <w:multiLevelType w:val="hybridMultilevel"/>
    <w:tmpl w:val="AECC43C2"/>
    <w:lvl w:ilvl="0" w:tplc="CC48827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23083E"/>
    <w:multiLevelType w:val="hybridMultilevel"/>
    <w:tmpl w:val="8D242CA0"/>
    <w:lvl w:ilvl="0" w:tplc="C19898E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47C33528"/>
    <w:multiLevelType w:val="hybridMultilevel"/>
    <w:tmpl w:val="7DA6B1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4C814205"/>
    <w:multiLevelType w:val="hybridMultilevel"/>
    <w:tmpl w:val="C0366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8EC1877"/>
    <w:multiLevelType w:val="hybridMultilevel"/>
    <w:tmpl w:val="E25C9390"/>
    <w:lvl w:ilvl="0" w:tplc="9A6A82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B06596"/>
    <w:multiLevelType w:val="hybridMultilevel"/>
    <w:tmpl w:val="C80AE38A"/>
    <w:lvl w:ilvl="0" w:tplc="6966EE6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D326A84"/>
    <w:multiLevelType w:val="hybridMultilevel"/>
    <w:tmpl w:val="54C0DA40"/>
    <w:lvl w:ilvl="0" w:tplc="BA6EB68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717187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46731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61261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0802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02981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93014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89364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0611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0560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0698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5876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B0"/>
    <w:rsid w:val="0022453F"/>
    <w:rsid w:val="0028620E"/>
    <w:rsid w:val="00307200"/>
    <w:rsid w:val="006B0170"/>
    <w:rsid w:val="00870121"/>
    <w:rsid w:val="00AA72B0"/>
    <w:rsid w:val="00B111F1"/>
    <w:rsid w:val="00D15317"/>
    <w:rsid w:val="00D7276C"/>
    <w:rsid w:val="00DE6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539B9"/>
  <w15:chartTrackingRefBased/>
  <w15:docId w15:val="{EB0E11BE-4E53-4A90-8E0C-FC7B3213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2B0"/>
    <w:rPr>
      <w:rFonts w:eastAsiaTheme="majorEastAsia" w:cstheme="majorBidi"/>
      <w:color w:val="272727" w:themeColor="text1" w:themeTint="D8"/>
    </w:rPr>
  </w:style>
  <w:style w:type="paragraph" w:styleId="Title">
    <w:name w:val="Title"/>
    <w:basedOn w:val="Normal"/>
    <w:next w:val="Normal"/>
    <w:link w:val="TitleChar"/>
    <w:uiPriority w:val="10"/>
    <w:qFormat/>
    <w:rsid w:val="00AA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2B0"/>
    <w:pPr>
      <w:spacing w:before="160"/>
      <w:jc w:val="center"/>
    </w:pPr>
    <w:rPr>
      <w:i/>
      <w:iCs/>
      <w:color w:val="404040" w:themeColor="text1" w:themeTint="BF"/>
    </w:rPr>
  </w:style>
  <w:style w:type="character" w:customStyle="1" w:styleId="QuoteChar">
    <w:name w:val="Quote Char"/>
    <w:basedOn w:val="DefaultParagraphFont"/>
    <w:link w:val="Quote"/>
    <w:uiPriority w:val="29"/>
    <w:rsid w:val="00AA72B0"/>
    <w:rPr>
      <w:i/>
      <w:iCs/>
      <w:color w:val="404040" w:themeColor="text1" w:themeTint="BF"/>
    </w:rPr>
  </w:style>
  <w:style w:type="paragraph" w:styleId="ListParagraph">
    <w:name w:val="List Paragraph"/>
    <w:basedOn w:val="Normal"/>
    <w:uiPriority w:val="34"/>
    <w:qFormat/>
    <w:rsid w:val="00AA72B0"/>
    <w:pPr>
      <w:ind w:left="720"/>
      <w:contextualSpacing/>
    </w:pPr>
  </w:style>
  <w:style w:type="character" w:styleId="IntenseEmphasis">
    <w:name w:val="Intense Emphasis"/>
    <w:basedOn w:val="DefaultParagraphFont"/>
    <w:uiPriority w:val="21"/>
    <w:qFormat/>
    <w:rsid w:val="00AA72B0"/>
    <w:rPr>
      <w:i/>
      <w:iCs/>
      <w:color w:val="0F4761" w:themeColor="accent1" w:themeShade="BF"/>
    </w:rPr>
  </w:style>
  <w:style w:type="paragraph" w:styleId="IntenseQuote">
    <w:name w:val="Intense Quote"/>
    <w:basedOn w:val="Normal"/>
    <w:next w:val="Normal"/>
    <w:link w:val="IntenseQuoteChar"/>
    <w:uiPriority w:val="30"/>
    <w:qFormat/>
    <w:rsid w:val="00AA7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2B0"/>
    <w:rPr>
      <w:i/>
      <w:iCs/>
      <w:color w:val="0F4761" w:themeColor="accent1" w:themeShade="BF"/>
    </w:rPr>
  </w:style>
  <w:style w:type="character" w:styleId="IntenseReference">
    <w:name w:val="Intense Reference"/>
    <w:basedOn w:val="DefaultParagraphFont"/>
    <w:uiPriority w:val="32"/>
    <w:qFormat/>
    <w:rsid w:val="00AA72B0"/>
    <w:rPr>
      <w:b/>
      <w:bCs/>
      <w:smallCaps/>
      <w:color w:val="0F4761" w:themeColor="accent1" w:themeShade="BF"/>
      <w:spacing w:val="5"/>
    </w:rPr>
  </w:style>
  <w:style w:type="table" w:styleId="TableGrid">
    <w:name w:val="Table Grid"/>
    <w:basedOn w:val="TableNormal"/>
    <w:uiPriority w:val="39"/>
    <w:rsid w:val="00AA7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Truskett, Harve A</dc:creator>
  <cp:keywords/>
  <dc:description/>
  <cp:lastModifiedBy>Truskett, Harve A</cp:lastModifiedBy>
  <cp:revision>1</cp:revision>
  <dcterms:created xsi:type="dcterms:W3CDTF">2026-09-07T18:45:00Z</dcterms:created>
  <dcterms:modified xsi:type="dcterms:W3CDTF">2026-09-07T19:17:00Z</dcterms:modified>
</cp:coreProperties>
</file>