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A9A71" w14:textId="77777777" w:rsidR="00E024E4" w:rsidRPr="00F829DE" w:rsidRDefault="00E024E4" w:rsidP="00E024E4">
      <w:pPr>
        <w:spacing w:line="240" w:lineRule="auto"/>
        <w:rPr>
          <w:rFonts w:ascii="Geneva" w:eastAsia="SkolarSansLatn-Sb" w:hAnsi="Geneva" w:cs="SkolarSansLatn-Sb"/>
          <w:color w:val="0070C0"/>
          <w:sz w:val="24"/>
          <w:szCs w:val="24"/>
        </w:rPr>
      </w:pPr>
      <w:r w:rsidRPr="00F829DE">
        <w:rPr>
          <w:rFonts w:ascii="Geneva" w:eastAsia="SkolarSansLatn-Sb" w:hAnsi="Geneva" w:cs="SkolarSansLatn-Sb"/>
          <w:color w:val="0070C0"/>
          <w:sz w:val="24"/>
          <w:szCs w:val="24"/>
        </w:rPr>
        <w:t>Exercise 7.1.1: Reviewing Rule Paragraphs</w:t>
      </w:r>
    </w:p>
    <w:p w14:paraId="3A33DC4F"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1. In Paragraph 1, the rules are stated using which verb tense?</w:t>
      </w:r>
    </w:p>
    <w:p w14:paraId="729794D1"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p>
    <w:p w14:paraId="3C351920"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a. Past.</w:t>
      </w:r>
    </w:p>
    <w:p w14:paraId="5C11BC90"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r w:rsidRPr="006A1BC0">
        <w:rPr>
          <w:rFonts w:ascii="Garamond" w:hAnsi="Garamond" w:cs="MinionPro-Regular"/>
          <w:b/>
          <w:bCs/>
          <w:sz w:val="24"/>
          <w:szCs w:val="24"/>
        </w:rPr>
        <w:t>b. Present (correct answer)</w:t>
      </w:r>
    </w:p>
    <w:p w14:paraId="2F7BB548"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c. Future.</w:t>
      </w:r>
    </w:p>
    <w:p w14:paraId="37E6643F" w14:textId="77777777" w:rsidR="00E024E4" w:rsidRPr="006A1BC0" w:rsidRDefault="00E024E4" w:rsidP="00E024E4">
      <w:pPr>
        <w:autoSpaceDE w:val="0"/>
        <w:autoSpaceDN w:val="0"/>
        <w:adjustRightInd w:val="0"/>
        <w:spacing w:after="0" w:line="240" w:lineRule="auto"/>
        <w:rPr>
          <w:rFonts w:ascii="Garamond" w:hAnsi="Garamond" w:cs="MinionPro-Semibold"/>
          <w:sz w:val="24"/>
          <w:szCs w:val="24"/>
        </w:rPr>
      </w:pPr>
    </w:p>
    <w:p w14:paraId="1CA09D9B"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2. Review Paragraphs 1 and 2. How did the writer organize the rules? (Select</w:t>
      </w:r>
      <w:r>
        <w:rPr>
          <w:rFonts w:ascii="Garamond" w:hAnsi="Garamond" w:cs="MinionPro-Semibold"/>
          <w:b/>
          <w:bCs/>
          <w:sz w:val="24"/>
          <w:szCs w:val="24"/>
        </w:rPr>
        <w:t xml:space="preserve"> </w:t>
      </w:r>
      <w:r w:rsidRPr="006A1BC0">
        <w:rPr>
          <w:rFonts w:ascii="Garamond" w:hAnsi="Garamond" w:cs="MinionPro-Semibold"/>
          <w:b/>
          <w:bCs/>
          <w:sz w:val="24"/>
          <w:szCs w:val="24"/>
        </w:rPr>
        <w:t>all responses that may apply)</w:t>
      </w:r>
    </w:p>
    <w:p w14:paraId="58CAF92E"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p>
    <w:p w14:paraId="7DC64A8D"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r w:rsidRPr="006A1BC0">
        <w:rPr>
          <w:rFonts w:ascii="Garamond" w:hAnsi="Garamond" w:cs="MinionPro-Regular"/>
          <w:sz w:val="24"/>
          <w:szCs w:val="24"/>
        </w:rPr>
        <w:t>a.</w:t>
      </w:r>
      <w:r w:rsidRPr="006A1BC0">
        <w:rPr>
          <w:rFonts w:ascii="Garamond" w:hAnsi="Garamond" w:cs="MinionPro-Regular"/>
          <w:b/>
          <w:bCs/>
          <w:sz w:val="24"/>
          <w:szCs w:val="24"/>
        </w:rPr>
        <w:t xml:space="preserve"> Broad to Narrow (correct answer)</w:t>
      </w:r>
    </w:p>
    <w:p w14:paraId="3B26F231"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b. Narrow to Broad.</w:t>
      </w:r>
    </w:p>
    <w:p w14:paraId="60261C16"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 xml:space="preserve">c. Primary Authority to Secondary Authority. </w:t>
      </w:r>
    </w:p>
    <w:p w14:paraId="3110737A"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d. Mandatory Authority to Persuasive Authority.</w:t>
      </w:r>
    </w:p>
    <w:p w14:paraId="5F2ACFFB" w14:textId="77777777" w:rsidR="00E024E4" w:rsidRPr="006A1BC0" w:rsidRDefault="00E024E4" w:rsidP="00E024E4">
      <w:pPr>
        <w:autoSpaceDE w:val="0"/>
        <w:autoSpaceDN w:val="0"/>
        <w:adjustRightInd w:val="0"/>
        <w:spacing w:after="0" w:line="240" w:lineRule="auto"/>
        <w:rPr>
          <w:rFonts w:ascii="Garamond" w:hAnsi="Garamond" w:cs="MinionPro-Semibold"/>
          <w:sz w:val="24"/>
          <w:szCs w:val="24"/>
        </w:rPr>
      </w:pPr>
    </w:p>
    <w:p w14:paraId="0879C706"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3. Consider the following rule from Paragraph 1:</w:t>
      </w:r>
    </w:p>
    <w:p w14:paraId="42D4E7CD"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p>
    <w:p w14:paraId="7CCD8D45"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In North Carolina, a claim for intentional infliction of emotional distress requires</w:t>
      </w:r>
      <w:r>
        <w:rPr>
          <w:rFonts w:ascii="Garamond" w:hAnsi="Garamond" w:cs="MinionPro-Regular"/>
          <w:sz w:val="24"/>
          <w:szCs w:val="24"/>
        </w:rPr>
        <w:t xml:space="preserve"> </w:t>
      </w:r>
      <w:r w:rsidRPr="006A1BC0">
        <w:rPr>
          <w:rFonts w:ascii="Garamond" w:hAnsi="Garamond" w:cs="MinionPro-Regular"/>
          <w:sz w:val="24"/>
          <w:szCs w:val="24"/>
        </w:rPr>
        <w:t>a plaintiff to prove that the defendant’s conduct (1) was extreme and outrageous,</w:t>
      </w:r>
      <w:r>
        <w:rPr>
          <w:rFonts w:ascii="Garamond" w:hAnsi="Garamond" w:cs="MinionPro-Regular"/>
          <w:sz w:val="24"/>
          <w:szCs w:val="24"/>
        </w:rPr>
        <w:t xml:space="preserve"> </w:t>
      </w:r>
      <w:r w:rsidRPr="006A1BC0">
        <w:rPr>
          <w:rFonts w:ascii="Garamond" w:hAnsi="Garamond" w:cs="MinionPro-Regular"/>
          <w:sz w:val="24"/>
          <w:szCs w:val="24"/>
        </w:rPr>
        <w:t>(2) was intended to cause severe emotional distress, and (3) did cause severe</w:t>
      </w:r>
      <w:r>
        <w:rPr>
          <w:rFonts w:ascii="Garamond" w:hAnsi="Garamond" w:cs="MinionPro-Regular"/>
          <w:sz w:val="24"/>
          <w:szCs w:val="24"/>
        </w:rPr>
        <w:t xml:space="preserve"> </w:t>
      </w:r>
      <w:r w:rsidRPr="006A1BC0">
        <w:rPr>
          <w:rFonts w:ascii="Garamond" w:hAnsi="Garamond" w:cs="MinionPro-Regular"/>
          <w:sz w:val="24"/>
          <w:szCs w:val="24"/>
        </w:rPr>
        <w:t xml:space="preserve">emotional distress. </w:t>
      </w:r>
      <w:r w:rsidRPr="006A1BC0">
        <w:rPr>
          <w:rFonts w:ascii="Garamond" w:hAnsi="Garamond" w:cs="MinionPro-It"/>
          <w:i/>
          <w:iCs/>
          <w:sz w:val="24"/>
          <w:szCs w:val="24"/>
        </w:rPr>
        <w:t>See Woodruff v. Miller</w:t>
      </w:r>
      <w:r w:rsidRPr="006A1BC0">
        <w:rPr>
          <w:rFonts w:ascii="Garamond" w:hAnsi="Garamond" w:cs="MinionPro-Regular"/>
          <w:sz w:val="24"/>
          <w:szCs w:val="24"/>
        </w:rPr>
        <w:t>, 307 S.E.2d 176, 178 (N.C. 1983).</w:t>
      </w:r>
    </w:p>
    <w:p w14:paraId="74B17C2F" w14:textId="77777777" w:rsidR="00E024E4" w:rsidRPr="006A1BC0" w:rsidRDefault="00E024E4" w:rsidP="00E024E4">
      <w:pPr>
        <w:autoSpaceDE w:val="0"/>
        <w:autoSpaceDN w:val="0"/>
        <w:adjustRightInd w:val="0"/>
        <w:spacing w:after="0" w:line="240" w:lineRule="auto"/>
        <w:rPr>
          <w:rFonts w:ascii="Garamond" w:hAnsi="Garamond" w:cs="MinionPro-Semibold"/>
          <w:sz w:val="24"/>
          <w:szCs w:val="24"/>
        </w:rPr>
      </w:pPr>
    </w:p>
    <w:p w14:paraId="57F61B79"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Identify the type of rule (more than one may apply):</w:t>
      </w:r>
    </w:p>
    <w:p w14:paraId="1788C94D"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p>
    <w:p w14:paraId="759F485D"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r w:rsidRPr="006A1BC0">
        <w:rPr>
          <w:rFonts w:ascii="Garamond" w:hAnsi="Garamond" w:cs="MinionPro-Regular"/>
          <w:b/>
          <w:bCs/>
          <w:sz w:val="24"/>
          <w:szCs w:val="24"/>
        </w:rPr>
        <w:t>a. Governing rule. (correct answer)</w:t>
      </w:r>
    </w:p>
    <w:p w14:paraId="7AA81D3B"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b. Rule synthesis paragraph.</w:t>
      </w:r>
    </w:p>
    <w:p w14:paraId="1E764D9B"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c. Sub-rule.</w:t>
      </w:r>
    </w:p>
    <w:p w14:paraId="3B8BFFD0"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 xml:space="preserve">d. </w:t>
      </w:r>
      <w:proofErr w:type="gramStart"/>
      <w:r w:rsidRPr="006A1BC0">
        <w:rPr>
          <w:rFonts w:ascii="Garamond" w:hAnsi="Garamond" w:cs="MinionPro-Regular"/>
          <w:sz w:val="24"/>
          <w:szCs w:val="24"/>
        </w:rPr>
        <w:t>All of</w:t>
      </w:r>
      <w:proofErr w:type="gramEnd"/>
      <w:r w:rsidRPr="006A1BC0">
        <w:rPr>
          <w:rFonts w:ascii="Garamond" w:hAnsi="Garamond" w:cs="MinionPro-Regular"/>
          <w:sz w:val="24"/>
          <w:szCs w:val="24"/>
        </w:rPr>
        <w:t xml:space="preserve"> the above.</w:t>
      </w:r>
    </w:p>
    <w:p w14:paraId="04E19380" w14:textId="77777777" w:rsidR="00E024E4" w:rsidRPr="006A1BC0" w:rsidRDefault="00E024E4" w:rsidP="00E024E4">
      <w:pPr>
        <w:spacing w:line="240" w:lineRule="auto"/>
        <w:rPr>
          <w:rFonts w:ascii="Garamond" w:hAnsi="Garamond" w:cs="MinionPro-Regular"/>
          <w:sz w:val="24"/>
          <w:szCs w:val="24"/>
        </w:rPr>
      </w:pPr>
      <w:r w:rsidRPr="006A1BC0">
        <w:rPr>
          <w:rFonts w:ascii="Garamond" w:hAnsi="Garamond" w:cs="MinionPro-Regular"/>
          <w:sz w:val="24"/>
          <w:szCs w:val="24"/>
        </w:rPr>
        <w:t>e. None of the above.</w:t>
      </w:r>
    </w:p>
    <w:p w14:paraId="5CE44D2C"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4. Consider Paragraph 1 as a whole:</w:t>
      </w:r>
    </w:p>
    <w:p w14:paraId="3D716940"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p>
    <w:p w14:paraId="42DF950A"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In North Carolina, a claim for intentional infliction of emotional distress requires</w:t>
      </w:r>
      <w:r>
        <w:rPr>
          <w:rFonts w:ascii="Garamond" w:hAnsi="Garamond" w:cs="MinionPro-Regular"/>
          <w:sz w:val="24"/>
          <w:szCs w:val="24"/>
        </w:rPr>
        <w:t xml:space="preserve"> </w:t>
      </w:r>
      <w:r w:rsidRPr="006A1BC0">
        <w:rPr>
          <w:rFonts w:ascii="Garamond" w:hAnsi="Garamond" w:cs="MinionPro-Regular"/>
          <w:sz w:val="24"/>
          <w:szCs w:val="24"/>
        </w:rPr>
        <w:t>a plaintiff to prove that the defendant’s conduct (1) was extreme and outrageous,</w:t>
      </w:r>
      <w:r>
        <w:rPr>
          <w:rFonts w:ascii="Garamond" w:hAnsi="Garamond" w:cs="MinionPro-Regular"/>
          <w:sz w:val="24"/>
          <w:szCs w:val="24"/>
        </w:rPr>
        <w:t xml:space="preserve"> </w:t>
      </w:r>
      <w:r w:rsidRPr="006A1BC0">
        <w:rPr>
          <w:rFonts w:ascii="Garamond" w:hAnsi="Garamond" w:cs="MinionPro-Regular"/>
          <w:sz w:val="24"/>
          <w:szCs w:val="24"/>
        </w:rPr>
        <w:t>(2) was intended to cause severe emotional distress, and (3) did cause severe</w:t>
      </w:r>
      <w:r>
        <w:rPr>
          <w:rFonts w:ascii="Garamond" w:hAnsi="Garamond" w:cs="MinionPro-Regular"/>
          <w:sz w:val="24"/>
          <w:szCs w:val="24"/>
        </w:rPr>
        <w:t xml:space="preserve"> </w:t>
      </w:r>
      <w:r w:rsidRPr="006A1BC0">
        <w:rPr>
          <w:rFonts w:ascii="Garamond" w:hAnsi="Garamond" w:cs="MinionPro-Regular"/>
          <w:sz w:val="24"/>
          <w:szCs w:val="24"/>
        </w:rPr>
        <w:t xml:space="preserve">emotional distress. </w:t>
      </w:r>
      <w:r w:rsidRPr="006A1BC0">
        <w:rPr>
          <w:rFonts w:ascii="Garamond" w:hAnsi="Garamond" w:cs="MinionPro-It"/>
          <w:i/>
          <w:iCs/>
          <w:sz w:val="24"/>
          <w:szCs w:val="24"/>
        </w:rPr>
        <w:t>See Woodruff v. Miller</w:t>
      </w:r>
      <w:r w:rsidRPr="006A1BC0">
        <w:rPr>
          <w:rFonts w:ascii="Garamond" w:hAnsi="Garamond" w:cs="MinionPro-Regular"/>
          <w:sz w:val="24"/>
          <w:szCs w:val="24"/>
        </w:rPr>
        <w:t>, 307 S.E.2d 176, 178 (N.C. 1983). Whether</w:t>
      </w:r>
      <w:r>
        <w:rPr>
          <w:rFonts w:ascii="Garamond" w:hAnsi="Garamond" w:cs="MinionPro-Regular"/>
          <w:sz w:val="24"/>
          <w:szCs w:val="24"/>
        </w:rPr>
        <w:t xml:space="preserve"> </w:t>
      </w:r>
      <w:r w:rsidRPr="006A1BC0">
        <w:rPr>
          <w:rFonts w:ascii="Garamond" w:hAnsi="Garamond" w:cs="MinionPro-Regular"/>
          <w:sz w:val="24"/>
          <w:szCs w:val="24"/>
        </w:rPr>
        <w:t>the defendant’s conduct reaches the level of extreme and outrageous conduct is</w:t>
      </w:r>
      <w:r>
        <w:rPr>
          <w:rFonts w:ascii="Garamond" w:hAnsi="Garamond" w:cs="MinionPro-Regular"/>
          <w:sz w:val="24"/>
          <w:szCs w:val="24"/>
        </w:rPr>
        <w:t xml:space="preserve"> </w:t>
      </w:r>
      <w:r w:rsidRPr="006A1BC0">
        <w:rPr>
          <w:rFonts w:ascii="Garamond" w:hAnsi="Garamond" w:cs="MinionPro-Regular"/>
          <w:sz w:val="24"/>
          <w:szCs w:val="24"/>
        </w:rPr>
        <w:t xml:space="preserve">one element of the tort and is usually a question of fact for a jury to decide. </w:t>
      </w:r>
      <w:r w:rsidRPr="006A1BC0">
        <w:rPr>
          <w:rFonts w:ascii="Garamond" w:hAnsi="Garamond" w:cs="MinionPro-It"/>
          <w:i/>
          <w:iCs/>
          <w:sz w:val="24"/>
          <w:szCs w:val="24"/>
        </w:rPr>
        <w:t>Briggs</w:t>
      </w:r>
    </w:p>
    <w:p w14:paraId="166583D7"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It"/>
          <w:i/>
          <w:iCs/>
          <w:sz w:val="24"/>
          <w:szCs w:val="24"/>
        </w:rPr>
        <w:t>v. Rosenthal</w:t>
      </w:r>
      <w:r w:rsidRPr="006A1BC0">
        <w:rPr>
          <w:rFonts w:ascii="Garamond" w:hAnsi="Garamond" w:cs="MinionPro-Regular"/>
          <w:sz w:val="24"/>
          <w:szCs w:val="24"/>
        </w:rPr>
        <w:t>, 327 S.E.2d 308, 311 (N.C. App. 1985). However, when it is clear to a</w:t>
      </w:r>
      <w:r>
        <w:rPr>
          <w:rFonts w:ascii="Garamond" w:hAnsi="Garamond" w:cs="MinionPro-Regular"/>
          <w:sz w:val="24"/>
          <w:szCs w:val="24"/>
        </w:rPr>
        <w:t xml:space="preserve"> </w:t>
      </w:r>
      <w:r w:rsidRPr="006A1BC0">
        <w:rPr>
          <w:rFonts w:ascii="Garamond" w:hAnsi="Garamond" w:cs="MinionPro-Regular"/>
          <w:sz w:val="24"/>
          <w:szCs w:val="24"/>
        </w:rPr>
        <w:t>court that the alleged facts do not approach that high standard, courts can decide</w:t>
      </w:r>
      <w:r>
        <w:rPr>
          <w:rFonts w:ascii="Garamond" w:hAnsi="Garamond" w:cs="MinionPro-Regular"/>
          <w:sz w:val="24"/>
          <w:szCs w:val="24"/>
        </w:rPr>
        <w:t xml:space="preserve"> </w:t>
      </w:r>
      <w:r w:rsidRPr="006A1BC0">
        <w:rPr>
          <w:rFonts w:ascii="Garamond" w:hAnsi="Garamond" w:cs="MinionPro-Regular"/>
          <w:sz w:val="24"/>
          <w:szCs w:val="24"/>
        </w:rPr>
        <w:t xml:space="preserve">as a matter of law that the element is not met. </w:t>
      </w:r>
      <w:r w:rsidRPr="006A1BC0">
        <w:rPr>
          <w:rFonts w:ascii="Garamond" w:hAnsi="Garamond" w:cs="MinionPro-It"/>
          <w:i/>
          <w:iCs/>
          <w:sz w:val="24"/>
          <w:szCs w:val="24"/>
        </w:rPr>
        <w:t>Id.</w:t>
      </w:r>
    </w:p>
    <w:p w14:paraId="4F7F9576" w14:textId="77777777" w:rsidR="00E024E4" w:rsidRPr="006A1BC0" w:rsidRDefault="00E024E4" w:rsidP="00E024E4">
      <w:pPr>
        <w:autoSpaceDE w:val="0"/>
        <w:autoSpaceDN w:val="0"/>
        <w:adjustRightInd w:val="0"/>
        <w:spacing w:after="0" w:line="240" w:lineRule="auto"/>
        <w:rPr>
          <w:rFonts w:ascii="Garamond" w:hAnsi="Garamond" w:cs="MinionPro-Semibold"/>
          <w:sz w:val="24"/>
          <w:szCs w:val="24"/>
        </w:rPr>
      </w:pPr>
    </w:p>
    <w:p w14:paraId="6C95BF35"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Identify the type of rule(s) in the paragraph (more than one may apply):</w:t>
      </w:r>
    </w:p>
    <w:p w14:paraId="47D5514F"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a. Synthesized rule.</w:t>
      </w:r>
    </w:p>
    <w:p w14:paraId="5D9D23AE"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b. Rule synthesis paragraph.</w:t>
      </w:r>
    </w:p>
    <w:p w14:paraId="706EBE33"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c. Sub-rule.</w:t>
      </w:r>
    </w:p>
    <w:p w14:paraId="63838B42"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r w:rsidRPr="006A1BC0">
        <w:rPr>
          <w:rFonts w:ascii="Garamond" w:hAnsi="Garamond" w:cs="MinionPro-Regular"/>
          <w:b/>
          <w:bCs/>
          <w:sz w:val="24"/>
          <w:szCs w:val="24"/>
        </w:rPr>
        <w:t xml:space="preserve">d. </w:t>
      </w:r>
      <w:proofErr w:type="gramStart"/>
      <w:r w:rsidRPr="006A1BC0">
        <w:rPr>
          <w:rFonts w:ascii="Garamond" w:hAnsi="Garamond" w:cs="MinionPro-Regular"/>
          <w:b/>
          <w:bCs/>
          <w:sz w:val="24"/>
          <w:szCs w:val="24"/>
        </w:rPr>
        <w:t>All of</w:t>
      </w:r>
      <w:proofErr w:type="gramEnd"/>
      <w:r w:rsidRPr="006A1BC0">
        <w:rPr>
          <w:rFonts w:ascii="Garamond" w:hAnsi="Garamond" w:cs="MinionPro-Regular"/>
          <w:b/>
          <w:bCs/>
          <w:sz w:val="24"/>
          <w:szCs w:val="24"/>
        </w:rPr>
        <w:t xml:space="preserve"> the above. (correct answer)</w:t>
      </w:r>
    </w:p>
    <w:p w14:paraId="48824FFF"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e. None of the above.</w:t>
      </w:r>
    </w:p>
    <w:p w14:paraId="4A43CE7D" w14:textId="77777777" w:rsidR="00E024E4" w:rsidRPr="006A1BC0" w:rsidRDefault="00E024E4" w:rsidP="00E024E4">
      <w:pPr>
        <w:autoSpaceDE w:val="0"/>
        <w:autoSpaceDN w:val="0"/>
        <w:adjustRightInd w:val="0"/>
        <w:spacing w:after="0" w:line="240" w:lineRule="auto"/>
        <w:rPr>
          <w:rFonts w:ascii="Garamond" w:hAnsi="Garamond" w:cs="MinionPro-Semibold"/>
          <w:sz w:val="24"/>
          <w:szCs w:val="24"/>
        </w:rPr>
      </w:pPr>
    </w:p>
    <w:p w14:paraId="26557DFC"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5. Consider the following rule from Paragraph 2:</w:t>
      </w:r>
    </w:p>
    <w:p w14:paraId="38CEE797"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p>
    <w:p w14:paraId="74976AC9"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For the first element, liability has been found only where the conduct has been</w:t>
      </w:r>
      <w:r>
        <w:rPr>
          <w:rFonts w:ascii="Garamond" w:hAnsi="Garamond" w:cs="MinionPro-Regular"/>
          <w:sz w:val="24"/>
          <w:szCs w:val="24"/>
        </w:rPr>
        <w:t xml:space="preserve"> </w:t>
      </w:r>
      <w:r w:rsidRPr="006A1BC0">
        <w:rPr>
          <w:rFonts w:ascii="Garamond" w:hAnsi="Garamond" w:cs="MinionPro-Regular"/>
          <w:sz w:val="24"/>
          <w:szCs w:val="24"/>
        </w:rPr>
        <w:t>so outrageous in character, and so extreme in degree, as to go beyond all possible</w:t>
      </w:r>
      <w:r>
        <w:rPr>
          <w:rFonts w:ascii="Garamond" w:hAnsi="Garamond" w:cs="MinionPro-Regular"/>
          <w:sz w:val="24"/>
          <w:szCs w:val="24"/>
        </w:rPr>
        <w:t xml:space="preserve"> </w:t>
      </w:r>
      <w:r w:rsidRPr="006A1BC0">
        <w:rPr>
          <w:rFonts w:ascii="Garamond" w:hAnsi="Garamond" w:cs="MinionPro-Regular"/>
          <w:sz w:val="24"/>
          <w:szCs w:val="24"/>
        </w:rPr>
        <w:t>bounds of decency, and to be regarded as atrocious, and utterly intolerable in a</w:t>
      </w:r>
      <w:r>
        <w:rPr>
          <w:rFonts w:ascii="Garamond" w:hAnsi="Garamond" w:cs="MinionPro-Regular"/>
          <w:sz w:val="24"/>
          <w:szCs w:val="24"/>
        </w:rPr>
        <w:t xml:space="preserve"> </w:t>
      </w:r>
      <w:r w:rsidRPr="006A1BC0">
        <w:rPr>
          <w:rFonts w:ascii="Garamond" w:hAnsi="Garamond" w:cs="MinionPro-Regular"/>
          <w:sz w:val="24"/>
          <w:szCs w:val="24"/>
        </w:rPr>
        <w:t xml:space="preserve">civilized community. </w:t>
      </w:r>
      <w:r w:rsidRPr="006A1BC0">
        <w:rPr>
          <w:rFonts w:ascii="Garamond" w:hAnsi="Garamond" w:cs="MinionPro-It"/>
          <w:i/>
          <w:iCs/>
          <w:sz w:val="24"/>
          <w:szCs w:val="24"/>
        </w:rPr>
        <w:t>Briggs</w:t>
      </w:r>
      <w:r w:rsidRPr="006A1BC0">
        <w:rPr>
          <w:rFonts w:ascii="Garamond" w:hAnsi="Garamond" w:cs="MinionPro-Regular"/>
          <w:sz w:val="24"/>
          <w:szCs w:val="24"/>
        </w:rPr>
        <w:t>, 327 S.E.2d at 308.</w:t>
      </w:r>
    </w:p>
    <w:p w14:paraId="6FE8A68A"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p>
    <w:p w14:paraId="4B49F059"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Identify the type of rule (more than one may apply):</w:t>
      </w:r>
    </w:p>
    <w:p w14:paraId="6E9655AE"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r w:rsidRPr="006A1BC0">
        <w:rPr>
          <w:rFonts w:ascii="Garamond" w:hAnsi="Garamond" w:cs="MinionPro-Regular"/>
          <w:b/>
          <w:bCs/>
          <w:sz w:val="24"/>
          <w:szCs w:val="24"/>
        </w:rPr>
        <w:t>a. Synthesized rule. (correct answer)</w:t>
      </w:r>
    </w:p>
    <w:p w14:paraId="1861DBC4"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 xml:space="preserve">b. Governing </w:t>
      </w:r>
      <w:proofErr w:type="gramStart"/>
      <w:r w:rsidRPr="006A1BC0">
        <w:rPr>
          <w:rFonts w:ascii="Garamond" w:hAnsi="Garamond" w:cs="MinionPro-Regular"/>
          <w:sz w:val="24"/>
          <w:szCs w:val="24"/>
        </w:rPr>
        <w:t>rule</w:t>
      </w:r>
      <w:proofErr w:type="gramEnd"/>
      <w:r w:rsidRPr="006A1BC0">
        <w:rPr>
          <w:rFonts w:ascii="Garamond" w:hAnsi="Garamond" w:cs="MinionPro-Regular"/>
          <w:sz w:val="24"/>
          <w:szCs w:val="24"/>
        </w:rPr>
        <w:t>.</w:t>
      </w:r>
    </w:p>
    <w:p w14:paraId="7D38A2E0"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r w:rsidRPr="006A1BC0">
        <w:rPr>
          <w:rFonts w:ascii="Garamond" w:hAnsi="Garamond" w:cs="MinionPro-Regular"/>
          <w:b/>
          <w:bCs/>
          <w:sz w:val="24"/>
          <w:szCs w:val="24"/>
        </w:rPr>
        <w:t>c. Sub-rule. (correct answer)</w:t>
      </w:r>
    </w:p>
    <w:p w14:paraId="00CD5FD1"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 xml:space="preserve">d. </w:t>
      </w:r>
      <w:proofErr w:type="gramStart"/>
      <w:r w:rsidRPr="006A1BC0">
        <w:rPr>
          <w:rFonts w:ascii="Garamond" w:hAnsi="Garamond" w:cs="MinionPro-Regular"/>
          <w:sz w:val="24"/>
          <w:szCs w:val="24"/>
        </w:rPr>
        <w:t>All of</w:t>
      </w:r>
      <w:proofErr w:type="gramEnd"/>
      <w:r w:rsidRPr="006A1BC0">
        <w:rPr>
          <w:rFonts w:ascii="Garamond" w:hAnsi="Garamond" w:cs="MinionPro-Regular"/>
          <w:sz w:val="24"/>
          <w:szCs w:val="24"/>
        </w:rPr>
        <w:t xml:space="preserve"> the above. </w:t>
      </w:r>
    </w:p>
    <w:p w14:paraId="61E192E4"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e. None of the above.</w:t>
      </w:r>
    </w:p>
    <w:p w14:paraId="25CD16FD" w14:textId="77777777" w:rsidR="00E024E4" w:rsidRPr="006A1BC0" w:rsidRDefault="00E024E4" w:rsidP="00E024E4">
      <w:pPr>
        <w:autoSpaceDE w:val="0"/>
        <w:autoSpaceDN w:val="0"/>
        <w:adjustRightInd w:val="0"/>
        <w:spacing w:after="0" w:line="240" w:lineRule="auto"/>
        <w:rPr>
          <w:rFonts w:ascii="Garamond" w:hAnsi="Garamond" w:cs="MinionPro-Semibold"/>
          <w:sz w:val="24"/>
          <w:szCs w:val="24"/>
        </w:rPr>
      </w:pPr>
    </w:p>
    <w:p w14:paraId="47F7A4E7"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6. Consider Paragraph 2 as a whole:</w:t>
      </w:r>
    </w:p>
    <w:p w14:paraId="027E0637"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p>
    <w:p w14:paraId="37C12CB8"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 xml:space="preserve">For the first element, liability has been found only where the conduct has been so outrageous in character, and so extreme in degree, as to go beyond all possible bounds of decency, and to be regarded as atrocious and utterly intolerable in a civilized community. </w:t>
      </w:r>
      <w:r w:rsidRPr="006A1BC0">
        <w:rPr>
          <w:rFonts w:ascii="Garamond" w:hAnsi="Garamond" w:cs="MinionPro-It"/>
          <w:i/>
          <w:iCs/>
          <w:sz w:val="24"/>
          <w:szCs w:val="24"/>
        </w:rPr>
        <w:t>Briggs</w:t>
      </w:r>
      <w:r w:rsidRPr="006A1BC0">
        <w:rPr>
          <w:rFonts w:ascii="Garamond" w:hAnsi="Garamond" w:cs="MinionPro-Regular"/>
          <w:sz w:val="24"/>
          <w:szCs w:val="24"/>
        </w:rPr>
        <w:t xml:space="preserve">, 327 S.E.2d at 308 (quoting Restatement (Second) of Torts 46, </w:t>
      </w:r>
      <w:proofErr w:type="spellStart"/>
      <w:r w:rsidRPr="006A1BC0">
        <w:rPr>
          <w:rFonts w:ascii="Garamond" w:hAnsi="Garamond" w:cs="MinionPro-Regular"/>
          <w:sz w:val="24"/>
          <w:szCs w:val="24"/>
        </w:rPr>
        <w:t>cmt</w:t>
      </w:r>
      <w:proofErr w:type="spellEnd"/>
      <w:r w:rsidRPr="006A1BC0">
        <w:rPr>
          <w:rFonts w:ascii="Garamond" w:hAnsi="Garamond" w:cs="MinionPro-Regular"/>
          <w:sz w:val="24"/>
          <w:szCs w:val="24"/>
        </w:rPr>
        <w:t>. f (1965) (“[O]</w:t>
      </w:r>
      <w:proofErr w:type="spellStart"/>
      <w:r w:rsidRPr="006A1BC0">
        <w:rPr>
          <w:rFonts w:ascii="Garamond" w:hAnsi="Garamond" w:cs="MinionPro-Regular"/>
          <w:sz w:val="24"/>
          <w:szCs w:val="24"/>
        </w:rPr>
        <w:t>utrage</w:t>
      </w:r>
      <w:proofErr w:type="spellEnd"/>
      <w:r w:rsidRPr="006A1BC0">
        <w:rPr>
          <w:rFonts w:ascii="Garamond" w:hAnsi="Garamond" w:cs="MinionPro-Regular"/>
          <w:sz w:val="24"/>
          <w:szCs w:val="24"/>
        </w:rPr>
        <w:t xml:space="preserve"> is essential to the tort; and the mere fact that an actor knows that the other will regard the conduct as insulting or will have his feelings hurt is not enough.”)). “Mere insults, indignities, threats, annoyances, petty oppressions,</w:t>
      </w:r>
    </w:p>
    <w:p w14:paraId="08DD664B"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 xml:space="preserve">or other trivialities” are insufficient. </w:t>
      </w:r>
      <w:r w:rsidRPr="006A1BC0">
        <w:rPr>
          <w:rFonts w:ascii="Garamond" w:hAnsi="Garamond" w:cs="MinionPro-It"/>
          <w:i/>
          <w:iCs/>
          <w:sz w:val="24"/>
          <w:szCs w:val="24"/>
        </w:rPr>
        <w:t xml:space="preserve">Id. </w:t>
      </w:r>
      <w:r w:rsidRPr="006A1BC0">
        <w:rPr>
          <w:rFonts w:ascii="Garamond" w:hAnsi="Garamond" w:cs="MinionPro-Regular"/>
          <w:sz w:val="24"/>
          <w:szCs w:val="24"/>
        </w:rPr>
        <w:t xml:space="preserve">A court determines, in the first </w:t>
      </w:r>
      <w:proofErr w:type="gramStart"/>
      <w:r w:rsidRPr="006A1BC0">
        <w:rPr>
          <w:rFonts w:ascii="Garamond" w:hAnsi="Garamond" w:cs="MinionPro-Regular"/>
          <w:sz w:val="24"/>
          <w:szCs w:val="24"/>
        </w:rPr>
        <w:t>instance</w:t>
      </w:r>
      <w:proofErr w:type="gramEnd"/>
      <w:r w:rsidRPr="006A1BC0">
        <w:rPr>
          <w:rFonts w:ascii="Garamond" w:hAnsi="Garamond" w:cs="MinionPro-Regular"/>
          <w:sz w:val="24"/>
          <w:szCs w:val="24"/>
        </w:rPr>
        <w:t xml:space="preserve"> whether the evidence could establish extreme and outrageous conduct. </w:t>
      </w:r>
      <w:r w:rsidRPr="006A1BC0">
        <w:rPr>
          <w:rFonts w:ascii="Garamond" w:hAnsi="Garamond" w:cs="MinionPro-It"/>
          <w:i/>
          <w:iCs/>
          <w:sz w:val="24"/>
          <w:szCs w:val="24"/>
        </w:rPr>
        <w:t xml:space="preserve">Hogan v. Forsyth County Country Club Co., </w:t>
      </w:r>
      <w:r w:rsidRPr="006A1BC0">
        <w:rPr>
          <w:rFonts w:ascii="Garamond" w:hAnsi="Garamond" w:cs="MinionPro-Regular"/>
          <w:sz w:val="24"/>
          <w:szCs w:val="24"/>
        </w:rPr>
        <w:t xml:space="preserve">340 S.E.2d 116, 121 (N.C. App. 1986). A jury, however, decides whether the conduct was in fact extreme and outrageous. </w:t>
      </w:r>
      <w:r w:rsidRPr="006A1BC0">
        <w:rPr>
          <w:rFonts w:ascii="Garamond" w:hAnsi="Garamond" w:cs="MinionPro-It"/>
          <w:i/>
          <w:iCs/>
          <w:sz w:val="24"/>
          <w:szCs w:val="24"/>
        </w:rPr>
        <w:t>Id</w:t>
      </w:r>
      <w:r w:rsidRPr="006A1BC0">
        <w:rPr>
          <w:rFonts w:ascii="Garamond" w:hAnsi="Garamond" w:cs="MinionPro-It"/>
          <w:b/>
          <w:bCs/>
          <w:i/>
          <w:iCs/>
          <w:sz w:val="24"/>
          <w:szCs w:val="24"/>
        </w:rPr>
        <w:t>.</w:t>
      </w:r>
    </w:p>
    <w:p w14:paraId="30A9EE64"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p>
    <w:p w14:paraId="022B2D13"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Identify the type(s) of rules (more than one may apply):</w:t>
      </w:r>
    </w:p>
    <w:p w14:paraId="4D6CF4F6"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a. Synthesized rule.</w:t>
      </w:r>
    </w:p>
    <w:p w14:paraId="67FE7103" w14:textId="77777777" w:rsidR="00E024E4" w:rsidRPr="006A1BC0" w:rsidRDefault="00E024E4" w:rsidP="00E024E4">
      <w:pPr>
        <w:spacing w:after="0" w:line="240" w:lineRule="auto"/>
        <w:rPr>
          <w:rFonts w:ascii="Garamond" w:hAnsi="Garamond" w:cs="MinionPro-Regular"/>
          <w:sz w:val="24"/>
          <w:szCs w:val="24"/>
        </w:rPr>
      </w:pPr>
      <w:r w:rsidRPr="006A1BC0">
        <w:rPr>
          <w:rFonts w:ascii="Garamond" w:hAnsi="Garamond" w:cs="MinionPro-Regular"/>
          <w:sz w:val="24"/>
          <w:szCs w:val="24"/>
        </w:rPr>
        <w:t>b. Rule synthesis paragraph.</w:t>
      </w:r>
    </w:p>
    <w:p w14:paraId="2742634C" w14:textId="77777777" w:rsidR="00E024E4" w:rsidRPr="006A1BC0" w:rsidRDefault="00E024E4" w:rsidP="00E024E4">
      <w:pPr>
        <w:spacing w:after="0" w:line="240" w:lineRule="auto"/>
        <w:rPr>
          <w:rFonts w:ascii="Garamond" w:hAnsi="Garamond" w:cs="MinionPro-Regular"/>
          <w:sz w:val="24"/>
          <w:szCs w:val="24"/>
        </w:rPr>
      </w:pPr>
      <w:r w:rsidRPr="006A1BC0">
        <w:rPr>
          <w:rFonts w:ascii="Garamond" w:hAnsi="Garamond" w:cs="MinionPro-Regular"/>
          <w:sz w:val="24"/>
          <w:szCs w:val="24"/>
        </w:rPr>
        <w:t>c. Sub-rule.</w:t>
      </w:r>
    </w:p>
    <w:p w14:paraId="38E820F8"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r w:rsidRPr="006A1BC0">
        <w:rPr>
          <w:rFonts w:ascii="Garamond" w:hAnsi="Garamond" w:cs="MinionPro-Regular"/>
          <w:b/>
          <w:bCs/>
          <w:sz w:val="24"/>
          <w:szCs w:val="24"/>
        </w:rPr>
        <w:t xml:space="preserve">d. </w:t>
      </w:r>
      <w:proofErr w:type="gramStart"/>
      <w:r w:rsidRPr="006A1BC0">
        <w:rPr>
          <w:rFonts w:ascii="Garamond" w:hAnsi="Garamond" w:cs="MinionPro-Regular"/>
          <w:b/>
          <w:bCs/>
          <w:sz w:val="24"/>
          <w:szCs w:val="24"/>
        </w:rPr>
        <w:t>All of</w:t>
      </w:r>
      <w:proofErr w:type="gramEnd"/>
      <w:r w:rsidRPr="006A1BC0">
        <w:rPr>
          <w:rFonts w:ascii="Garamond" w:hAnsi="Garamond" w:cs="MinionPro-Regular"/>
          <w:b/>
          <w:bCs/>
          <w:sz w:val="24"/>
          <w:szCs w:val="24"/>
        </w:rPr>
        <w:t xml:space="preserve"> the above. (correct answer)</w:t>
      </w:r>
    </w:p>
    <w:p w14:paraId="3C459313"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e. None of the above.</w:t>
      </w:r>
    </w:p>
    <w:p w14:paraId="54281698" w14:textId="77777777" w:rsidR="00E024E4" w:rsidRPr="006A1BC0" w:rsidRDefault="00E024E4" w:rsidP="00E024E4">
      <w:pPr>
        <w:autoSpaceDE w:val="0"/>
        <w:autoSpaceDN w:val="0"/>
        <w:adjustRightInd w:val="0"/>
        <w:spacing w:after="0" w:line="240" w:lineRule="auto"/>
        <w:rPr>
          <w:rFonts w:ascii="Garamond" w:hAnsi="Garamond" w:cs="MinionPro-Semibold"/>
          <w:sz w:val="24"/>
          <w:szCs w:val="24"/>
        </w:rPr>
      </w:pPr>
    </w:p>
    <w:p w14:paraId="20F7A521"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7. Consider the following from Paragraph 3:</w:t>
      </w:r>
    </w:p>
    <w:p w14:paraId="5786A9A5"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p>
    <w:p w14:paraId="642703CB"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Semibold"/>
          <w:sz w:val="24"/>
          <w:szCs w:val="24"/>
        </w:rPr>
        <w:t xml:space="preserve">[Paragraph 3] </w:t>
      </w:r>
      <w:r w:rsidRPr="006A1BC0">
        <w:rPr>
          <w:rFonts w:ascii="Garamond" w:hAnsi="Garamond" w:cs="MinionPro-Regular"/>
          <w:sz w:val="24"/>
          <w:szCs w:val="24"/>
        </w:rPr>
        <w:t>In making the initial determination about the sufficiency of the</w:t>
      </w:r>
      <w:r>
        <w:rPr>
          <w:rFonts w:ascii="Garamond" w:hAnsi="Garamond" w:cs="MinionPro-Regular"/>
          <w:sz w:val="24"/>
          <w:szCs w:val="24"/>
        </w:rPr>
        <w:t xml:space="preserve"> </w:t>
      </w:r>
      <w:r w:rsidRPr="006A1BC0">
        <w:rPr>
          <w:rFonts w:ascii="Garamond" w:hAnsi="Garamond" w:cs="MinionPro-Regular"/>
          <w:sz w:val="24"/>
          <w:szCs w:val="24"/>
        </w:rPr>
        <w:t>evidence, a court will consider many factors, including the following: the offensiveness</w:t>
      </w:r>
      <w:r>
        <w:rPr>
          <w:rFonts w:ascii="Garamond" w:hAnsi="Garamond" w:cs="MinionPro-Regular"/>
          <w:sz w:val="24"/>
          <w:szCs w:val="24"/>
        </w:rPr>
        <w:t xml:space="preserve"> </w:t>
      </w:r>
      <w:r w:rsidRPr="006A1BC0">
        <w:rPr>
          <w:rFonts w:ascii="Garamond" w:hAnsi="Garamond" w:cs="MinionPro-Regular"/>
          <w:sz w:val="24"/>
          <w:szCs w:val="24"/>
        </w:rPr>
        <w:t>of the conduct, the persistence of the conduct, the defendant’s purpose in</w:t>
      </w:r>
      <w:r>
        <w:rPr>
          <w:rFonts w:ascii="Garamond" w:hAnsi="Garamond" w:cs="MinionPro-Regular"/>
          <w:sz w:val="24"/>
          <w:szCs w:val="24"/>
        </w:rPr>
        <w:t xml:space="preserve"> </w:t>
      </w:r>
      <w:r w:rsidRPr="006A1BC0">
        <w:rPr>
          <w:rFonts w:ascii="Garamond" w:hAnsi="Garamond" w:cs="MinionPro-Regular"/>
          <w:sz w:val="24"/>
          <w:szCs w:val="24"/>
        </w:rPr>
        <w:t xml:space="preserve">acting, and the foreseeability of injury to the plaintiff. </w:t>
      </w:r>
      <w:r w:rsidRPr="006A1BC0">
        <w:rPr>
          <w:rFonts w:ascii="Garamond" w:hAnsi="Garamond" w:cs="MinionPro-It"/>
          <w:i/>
          <w:iCs/>
          <w:sz w:val="24"/>
          <w:szCs w:val="24"/>
        </w:rPr>
        <w:t xml:space="preserve">West v. King’s </w:t>
      </w:r>
      <w:proofErr w:type="spellStart"/>
      <w:r w:rsidRPr="006A1BC0">
        <w:rPr>
          <w:rFonts w:ascii="Garamond" w:hAnsi="Garamond" w:cs="MinionPro-It"/>
          <w:i/>
          <w:iCs/>
          <w:sz w:val="24"/>
          <w:szCs w:val="24"/>
        </w:rPr>
        <w:t>Dep’t</w:t>
      </w:r>
      <w:proofErr w:type="spellEnd"/>
      <w:r w:rsidRPr="006A1BC0">
        <w:rPr>
          <w:rFonts w:ascii="Garamond" w:hAnsi="Garamond" w:cs="MinionPro-It"/>
          <w:i/>
          <w:iCs/>
          <w:sz w:val="24"/>
          <w:szCs w:val="24"/>
        </w:rPr>
        <w:t xml:space="preserve"> Store,</w:t>
      </w:r>
      <w:r>
        <w:rPr>
          <w:rFonts w:ascii="Garamond" w:hAnsi="Garamond" w:cs="MinionPro-Regular"/>
          <w:sz w:val="24"/>
          <w:szCs w:val="24"/>
        </w:rPr>
        <w:t xml:space="preserve"> </w:t>
      </w:r>
      <w:r w:rsidRPr="006A1BC0">
        <w:rPr>
          <w:rFonts w:ascii="Garamond" w:hAnsi="Garamond" w:cs="MinionPro-It"/>
          <w:i/>
          <w:iCs/>
          <w:sz w:val="24"/>
          <w:szCs w:val="24"/>
        </w:rPr>
        <w:t>Inc</w:t>
      </w:r>
      <w:r w:rsidRPr="006A1BC0">
        <w:rPr>
          <w:rFonts w:ascii="Garamond" w:hAnsi="Garamond" w:cs="MinionPro-Regular"/>
          <w:sz w:val="24"/>
          <w:szCs w:val="24"/>
        </w:rPr>
        <w:t>. 365 S.E.2d 621, 625 (N.C. 1988) (offensiveness, persistence, and foreseeability);</w:t>
      </w:r>
    </w:p>
    <w:p w14:paraId="47C96F51"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It"/>
          <w:i/>
          <w:iCs/>
          <w:sz w:val="24"/>
          <w:szCs w:val="24"/>
        </w:rPr>
        <w:t>Briggs</w:t>
      </w:r>
      <w:r w:rsidRPr="006A1BC0">
        <w:rPr>
          <w:rFonts w:ascii="Garamond" w:hAnsi="Garamond" w:cs="MinionPro-Regular"/>
          <w:sz w:val="24"/>
          <w:szCs w:val="24"/>
        </w:rPr>
        <w:t xml:space="preserve">, 327 S.E.2d at 311–12 (offensiveness, purpose, and foreseeability); </w:t>
      </w:r>
      <w:r w:rsidRPr="006A1BC0">
        <w:rPr>
          <w:rFonts w:ascii="Garamond" w:hAnsi="Garamond" w:cs="MinionPro-It"/>
          <w:i/>
          <w:iCs/>
          <w:sz w:val="24"/>
          <w:szCs w:val="24"/>
        </w:rPr>
        <w:t>Woodruff</w:t>
      </w:r>
      <w:r w:rsidRPr="006A1BC0">
        <w:rPr>
          <w:rFonts w:ascii="Garamond" w:hAnsi="Garamond" w:cs="MinionPro-Regular"/>
          <w:sz w:val="24"/>
          <w:szCs w:val="24"/>
        </w:rPr>
        <w:t>,</w:t>
      </w:r>
      <w:r>
        <w:rPr>
          <w:rFonts w:ascii="Garamond" w:hAnsi="Garamond" w:cs="MinionPro-Regular"/>
          <w:sz w:val="24"/>
          <w:szCs w:val="24"/>
        </w:rPr>
        <w:t xml:space="preserve"> </w:t>
      </w:r>
      <w:r w:rsidRPr="006A1BC0">
        <w:rPr>
          <w:rFonts w:ascii="Garamond" w:hAnsi="Garamond" w:cs="MinionPro-Regular"/>
          <w:sz w:val="24"/>
          <w:szCs w:val="24"/>
        </w:rPr>
        <w:t>307 S.E.2d at 178 (offensiveness, purpose, and persistence).</w:t>
      </w:r>
    </w:p>
    <w:p w14:paraId="15C057D6"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p>
    <w:p w14:paraId="0EF66551" w14:textId="77777777" w:rsidR="00E024E4" w:rsidRPr="006A1BC0" w:rsidRDefault="00E024E4" w:rsidP="00E024E4">
      <w:pPr>
        <w:autoSpaceDE w:val="0"/>
        <w:autoSpaceDN w:val="0"/>
        <w:adjustRightInd w:val="0"/>
        <w:spacing w:after="0" w:line="240" w:lineRule="auto"/>
        <w:rPr>
          <w:rFonts w:ascii="Garamond" w:hAnsi="Garamond" w:cs="MinionPro-Semibold"/>
          <w:b/>
          <w:bCs/>
          <w:sz w:val="24"/>
          <w:szCs w:val="24"/>
        </w:rPr>
      </w:pPr>
      <w:r w:rsidRPr="006A1BC0">
        <w:rPr>
          <w:rFonts w:ascii="Garamond" w:hAnsi="Garamond" w:cs="MinionPro-Semibold"/>
          <w:b/>
          <w:bCs/>
          <w:sz w:val="24"/>
          <w:szCs w:val="24"/>
        </w:rPr>
        <w:t>Identify the type of rule (more than one may apply):</w:t>
      </w:r>
    </w:p>
    <w:p w14:paraId="1D998D39"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r w:rsidRPr="006A1BC0">
        <w:rPr>
          <w:rFonts w:ascii="Garamond" w:hAnsi="Garamond" w:cs="MinionPro-Regular"/>
          <w:b/>
          <w:bCs/>
          <w:sz w:val="24"/>
          <w:szCs w:val="24"/>
        </w:rPr>
        <w:t>a. Synthesized rule. (correct answer)</w:t>
      </w:r>
    </w:p>
    <w:p w14:paraId="26CB9169"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 xml:space="preserve">b. Governing </w:t>
      </w:r>
      <w:proofErr w:type="gramStart"/>
      <w:r w:rsidRPr="006A1BC0">
        <w:rPr>
          <w:rFonts w:ascii="Garamond" w:hAnsi="Garamond" w:cs="MinionPro-Regular"/>
          <w:sz w:val="24"/>
          <w:szCs w:val="24"/>
        </w:rPr>
        <w:t>rule</w:t>
      </w:r>
      <w:proofErr w:type="gramEnd"/>
      <w:r w:rsidRPr="006A1BC0">
        <w:rPr>
          <w:rFonts w:ascii="Garamond" w:hAnsi="Garamond" w:cs="MinionPro-Regular"/>
          <w:sz w:val="24"/>
          <w:szCs w:val="24"/>
        </w:rPr>
        <w:t>.</w:t>
      </w:r>
    </w:p>
    <w:p w14:paraId="6A962A7B" w14:textId="77777777" w:rsidR="00E024E4" w:rsidRPr="006A1BC0" w:rsidRDefault="00E024E4" w:rsidP="00E024E4">
      <w:pPr>
        <w:autoSpaceDE w:val="0"/>
        <w:autoSpaceDN w:val="0"/>
        <w:adjustRightInd w:val="0"/>
        <w:spacing w:after="0" w:line="240" w:lineRule="auto"/>
        <w:rPr>
          <w:rFonts w:ascii="Garamond" w:hAnsi="Garamond" w:cs="MinionPro-Regular"/>
          <w:b/>
          <w:bCs/>
          <w:sz w:val="24"/>
          <w:szCs w:val="24"/>
        </w:rPr>
      </w:pPr>
      <w:r w:rsidRPr="006A1BC0">
        <w:rPr>
          <w:rFonts w:ascii="Garamond" w:hAnsi="Garamond" w:cs="MinionPro-Regular"/>
          <w:b/>
          <w:bCs/>
          <w:sz w:val="24"/>
          <w:szCs w:val="24"/>
        </w:rPr>
        <w:t>c. Sub-rule. (correct answer)</w:t>
      </w:r>
    </w:p>
    <w:p w14:paraId="1DE89983" w14:textId="77777777" w:rsidR="00E024E4" w:rsidRPr="006A1BC0" w:rsidRDefault="00E024E4" w:rsidP="00E024E4">
      <w:pPr>
        <w:autoSpaceDE w:val="0"/>
        <w:autoSpaceDN w:val="0"/>
        <w:adjustRightInd w:val="0"/>
        <w:spacing w:after="0" w:line="240" w:lineRule="auto"/>
        <w:rPr>
          <w:rFonts w:ascii="Garamond" w:hAnsi="Garamond" w:cs="MinionPro-Regular"/>
          <w:sz w:val="24"/>
          <w:szCs w:val="24"/>
        </w:rPr>
      </w:pPr>
      <w:r w:rsidRPr="006A1BC0">
        <w:rPr>
          <w:rFonts w:ascii="Garamond" w:hAnsi="Garamond" w:cs="MinionPro-Regular"/>
          <w:sz w:val="24"/>
          <w:szCs w:val="24"/>
        </w:rPr>
        <w:t xml:space="preserve">d. </w:t>
      </w:r>
      <w:proofErr w:type="gramStart"/>
      <w:r w:rsidRPr="006A1BC0">
        <w:rPr>
          <w:rFonts w:ascii="Garamond" w:hAnsi="Garamond" w:cs="MinionPro-Regular"/>
          <w:sz w:val="24"/>
          <w:szCs w:val="24"/>
        </w:rPr>
        <w:t>All of</w:t>
      </w:r>
      <w:proofErr w:type="gramEnd"/>
      <w:r w:rsidRPr="006A1BC0">
        <w:rPr>
          <w:rFonts w:ascii="Garamond" w:hAnsi="Garamond" w:cs="MinionPro-Regular"/>
          <w:sz w:val="24"/>
          <w:szCs w:val="24"/>
        </w:rPr>
        <w:t xml:space="preserve"> the above.</w:t>
      </w:r>
    </w:p>
    <w:p w14:paraId="72947BFB" w14:textId="7F55EE7C" w:rsidR="00870121" w:rsidRDefault="00E024E4" w:rsidP="00E024E4">
      <w:pPr>
        <w:rPr>
          <w:rFonts w:ascii="Garamond" w:hAnsi="Garamond" w:cs="MinionPro-Regular"/>
          <w:sz w:val="24"/>
          <w:szCs w:val="24"/>
        </w:rPr>
      </w:pPr>
      <w:r w:rsidRPr="006A1BC0">
        <w:rPr>
          <w:rFonts w:ascii="Garamond" w:hAnsi="Garamond" w:cs="MinionPro-Regular"/>
          <w:sz w:val="24"/>
          <w:szCs w:val="24"/>
        </w:rPr>
        <w:lastRenderedPageBreak/>
        <w:t>e. None of the above.</w:t>
      </w:r>
    </w:p>
    <w:p w14:paraId="2F420886" w14:textId="77777777" w:rsidR="00E024E4" w:rsidRDefault="00E024E4" w:rsidP="00E024E4">
      <w:pPr>
        <w:rPr>
          <w:rFonts w:ascii="Garamond" w:hAnsi="Garamond" w:cs="MinionPro-Regular"/>
          <w:sz w:val="24"/>
          <w:szCs w:val="24"/>
        </w:rPr>
      </w:pPr>
    </w:p>
    <w:p w14:paraId="47377A4F" w14:textId="77777777" w:rsidR="00E024E4" w:rsidRPr="00FB79B1" w:rsidRDefault="00E024E4" w:rsidP="00E024E4">
      <w:pPr>
        <w:rPr>
          <w:rFonts w:ascii="Geneva" w:hAnsi="Geneva"/>
          <w:color w:val="156082" w:themeColor="accent1"/>
          <w:sz w:val="24"/>
          <w:szCs w:val="24"/>
        </w:rPr>
      </w:pPr>
      <w:r w:rsidRPr="00FB79B1">
        <w:rPr>
          <w:rFonts w:ascii="Geneva" w:hAnsi="Geneva"/>
          <w:color w:val="156082" w:themeColor="accent1"/>
          <w:sz w:val="24"/>
          <w:szCs w:val="24"/>
        </w:rPr>
        <w:t>Exercise 7.2.1</w:t>
      </w:r>
      <w:proofErr w:type="gramStart"/>
      <w:r w:rsidRPr="00FB79B1">
        <w:rPr>
          <w:rFonts w:ascii="Geneva" w:hAnsi="Geneva"/>
          <w:color w:val="156082" w:themeColor="accent1"/>
          <w:sz w:val="24"/>
          <w:szCs w:val="24"/>
        </w:rPr>
        <w:t>:  Identifying</w:t>
      </w:r>
      <w:proofErr w:type="gramEnd"/>
      <w:r w:rsidRPr="00FB79B1">
        <w:rPr>
          <w:rFonts w:ascii="Geneva" w:hAnsi="Geneva"/>
          <w:color w:val="156082" w:themeColor="accent1"/>
          <w:sz w:val="24"/>
          <w:szCs w:val="24"/>
        </w:rPr>
        <w:t xml:space="preserve"> the Parts of a Case Illustration</w:t>
      </w:r>
    </w:p>
    <w:p w14:paraId="365BFF18" w14:textId="77777777" w:rsidR="00E024E4" w:rsidRPr="00053DC1" w:rsidRDefault="00E024E4" w:rsidP="00E024E4">
      <w:pPr>
        <w:autoSpaceDE w:val="0"/>
        <w:autoSpaceDN w:val="0"/>
        <w:adjustRightInd w:val="0"/>
        <w:spacing w:after="0" w:line="240" w:lineRule="auto"/>
        <w:rPr>
          <w:rFonts w:ascii="Garamond" w:hAnsi="Garamond" w:cs="MyriadPro-SemiCn"/>
          <w:b/>
          <w:sz w:val="24"/>
          <w:szCs w:val="24"/>
        </w:rPr>
      </w:pPr>
      <w:r>
        <w:rPr>
          <w:rFonts w:ascii="Garamond" w:hAnsi="Garamond" w:cs="MyriadPro-SemiCn"/>
          <w:b/>
          <w:sz w:val="24"/>
          <w:szCs w:val="24"/>
        </w:rPr>
        <w:t>1.</w:t>
      </w:r>
      <w:r>
        <w:rPr>
          <w:rFonts w:ascii="Garamond" w:hAnsi="Garamond" w:cs="MyriadPro-SemiCn"/>
          <w:b/>
          <w:sz w:val="24"/>
          <w:szCs w:val="24"/>
        </w:rPr>
        <w:tab/>
      </w:r>
      <w:r w:rsidRPr="00053DC1">
        <w:rPr>
          <w:rFonts w:ascii="Garamond" w:hAnsi="Garamond" w:cs="MyriadPro-SemiCn"/>
          <w:b/>
          <w:sz w:val="24"/>
          <w:szCs w:val="24"/>
        </w:rPr>
        <w:t>Were both case illustrations complete?  If not, identify what was missing in each illustration and how the missing parts might affect a reader’s ability to understand the relevance of the cases.</w:t>
      </w:r>
    </w:p>
    <w:p w14:paraId="0255FFC2" w14:textId="77777777" w:rsidR="00E024E4" w:rsidRDefault="00E024E4" w:rsidP="00E024E4">
      <w:pPr>
        <w:autoSpaceDE w:val="0"/>
        <w:autoSpaceDN w:val="0"/>
        <w:adjustRightInd w:val="0"/>
        <w:spacing w:after="0" w:line="240" w:lineRule="auto"/>
        <w:rPr>
          <w:rFonts w:ascii="Garamond" w:hAnsi="Garamond" w:cs="MyriadPro-SemiCn"/>
          <w:b/>
          <w:sz w:val="24"/>
          <w:szCs w:val="24"/>
        </w:rPr>
      </w:pPr>
    </w:p>
    <w:p w14:paraId="38416641" w14:textId="77777777" w:rsidR="00E024E4" w:rsidRPr="00FB79B1" w:rsidRDefault="00E024E4" w:rsidP="00E024E4">
      <w:pPr>
        <w:pStyle w:val="ListParagraph"/>
        <w:numPr>
          <w:ilvl w:val="0"/>
          <w:numId w:val="1"/>
        </w:numPr>
        <w:autoSpaceDE w:val="0"/>
        <w:autoSpaceDN w:val="0"/>
        <w:adjustRightInd w:val="0"/>
        <w:spacing w:after="0" w:line="240" w:lineRule="auto"/>
        <w:rPr>
          <w:rFonts w:ascii="Garamond" w:hAnsi="Garamond" w:cs="MyriadPro-SemiCn"/>
          <w:sz w:val="24"/>
          <w:szCs w:val="24"/>
        </w:rPr>
      </w:pPr>
      <w:r w:rsidRPr="00FB79B1">
        <w:rPr>
          <w:rFonts w:ascii="Garamond" w:hAnsi="Garamond" w:cs="MyriadPro-SemiCn"/>
          <w:b/>
          <w:sz w:val="24"/>
          <w:szCs w:val="24"/>
        </w:rPr>
        <w:t xml:space="preserve">Missing hook </w:t>
      </w:r>
      <w:r w:rsidRPr="00473777">
        <w:rPr>
          <w:rFonts w:ascii="Garamond" w:hAnsi="Garamond" w:cs="MyriadPro-SemiCn"/>
          <w:b/>
          <w:sz w:val="24"/>
          <w:szCs w:val="24"/>
        </w:rPr>
        <w:t>sentences</w:t>
      </w:r>
      <w:proofErr w:type="gramStart"/>
      <w:r w:rsidRPr="00473777">
        <w:rPr>
          <w:rFonts w:ascii="Garamond" w:hAnsi="Garamond" w:cs="MyriadPro-SemiCn"/>
          <w:b/>
          <w:sz w:val="24"/>
          <w:szCs w:val="24"/>
        </w:rPr>
        <w:t>:</w:t>
      </w:r>
      <w:r w:rsidRPr="00FB79B1">
        <w:rPr>
          <w:rFonts w:ascii="Garamond" w:hAnsi="Garamond" w:cs="MyriadPro-SemiCn"/>
          <w:sz w:val="24"/>
          <w:szCs w:val="24"/>
        </w:rPr>
        <w:t xml:space="preserve">  As</w:t>
      </w:r>
      <w:proofErr w:type="gramEnd"/>
      <w:r w:rsidRPr="00FB79B1">
        <w:rPr>
          <w:rFonts w:ascii="Garamond" w:hAnsi="Garamond" w:cs="MyriadPro-SemiCn"/>
          <w:sz w:val="24"/>
          <w:szCs w:val="24"/>
        </w:rPr>
        <w:t xml:space="preserve"> the Workbook explains, case illustrations</w:t>
      </w:r>
      <w:r>
        <w:rPr>
          <w:rFonts w:ascii="Garamond" w:hAnsi="Garamond" w:cs="MyriadPro-SemiCn"/>
          <w:sz w:val="24"/>
          <w:szCs w:val="24"/>
        </w:rPr>
        <w:t xml:space="preserve"> are best introduced</w:t>
      </w:r>
      <w:r w:rsidRPr="00FB79B1">
        <w:rPr>
          <w:rFonts w:ascii="Garamond" w:hAnsi="Garamond" w:cs="MyriadPro-SemiCn"/>
          <w:sz w:val="24"/>
          <w:szCs w:val="24"/>
        </w:rPr>
        <w:t xml:space="preserve"> with a legal principle</w:t>
      </w:r>
      <w:r>
        <w:rPr>
          <w:rFonts w:ascii="Garamond" w:hAnsi="Garamond" w:cs="MyriadPro-SemiCn"/>
          <w:sz w:val="24"/>
          <w:szCs w:val="24"/>
        </w:rPr>
        <w:t xml:space="preserve"> </w:t>
      </w:r>
      <w:r w:rsidRPr="00FB79B1">
        <w:rPr>
          <w:rFonts w:ascii="Garamond" w:hAnsi="Garamond" w:cs="MyriadPro-SemiCn"/>
          <w:sz w:val="24"/>
          <w:szCs w:val="24"/>
        </w:rPr>
        <w:t xml:space="preserve">(sometimes called a </w:t>
      </w:r>
      <w:r w:rsidRPr="00FB79B1">
        <w:rPr>
          <w:rFonts w:ascii="Garamond" w:hAnsi="Garamond" w:cs="MyriadPro-SemiCn"/>
          <w:b/>
          <w:sz w:val="24"/>
          <w:szCs w:val="24"/>
        </w:rPr>
        <w:t>hook</w:t>
      </w:r>
      <w:r w:rsidRPr="00FB79B1">
        <w:rPr>
          <w:rFonts w:ascii="Garamond" w:hAnsi="Garamond" w:cs="MyriadPro-SemiCn"/>
          <w:sz w:val="24"/>
          <w:szCs w:val="24"/>
        </w:rPr>
        <w:t xml:space="preserve">).  The Workbook explains that </w:t>
      </w:r>
      <w:r>
        <w:rPr>
          <w:rFonts w:ascii="Garamond" w:hAnsi="Garamond" w:cs="MyriadPro-SemiCn"/>
          <w:sz w:val="24"/>
          <w:szCs w:val="24"/>
        </w:rPr>
        <w:t>the legal principle can be</w:t>
      </w:r>
      <w:r w:rsidRPr="00FB79B1">
        <w:rPr>
          <w:rFonts w:ascii="Garamond" w:hAnsi="Garamond" w:cs="MyriadPro-SemiCn"/>
          <w:sz w:val="24"/>
          <w:szCs w:val="24"/>
        </w:rPr>
        <w:t xml:space="preserve"> the rule for which the case</w:t>
      </w:r>
      <w:r>
        <w:rPr>
          <w:rFonts w:ascii="Garamond" w:hAnsi="Garamond" w:cs="MyriadPro-SemiCn"/>
          <w:sz w:val="24"/>
          <w:szCs w:val="24"/>
        </w:rPr>
        <w:t xml:space="preserve"> stands</w:t>
      </w:r>
      <w:r w:rsidRPr="00FB79B1">
        <w:rPr>
          <w:rFonts w:ascii="Garamond" w:hAnsi="Garamond" w:cs="MyriadPro-SemiCn"/>
          <w:sz w:val="24"/>
          <w:szCs w:val="24"/>
        </w:rPr>
        <w:t xml:space="preserve">, the court’s holding as to the </w:t>
      </w:r>
      <w:proofErr w:type="gramStart"/>
      <w:r w:rsidRPr="00FB79B1">
        <w:rPr>
          <w:rFonts w:ascii="Garamond" w:hAnsi="Garamond" w:cs="MyriadPro-SemiCn"/>
          <w:sz w:val="24"/>
          <w:szCs w:val="24"/>
        </w:rPr>
        <w:t>particular legal</w:t>
      </w:r>
      <w:proofErr w:type="gramEnd"/>
      <w:r w:rsidRPr="00FB79B1">
        <w:rPr>
          <w:rFonts w:ascii="Garamond" w:hAnsi="Garamond" w:cs="MyriadPro-SemiCn"/>
          <w:sz w:val="24"/>
          <w:szCs w:val="24"/>
        </w:rPr>
        <w:t xml:space="preserve"> issue, or a general thesis statement.</w:t>
      </w:r>
    </w:p>
    <w:p w14:paraId="3FFCAEF9" w14:textId="77777777" w:rsidR="00E024E4" w:rsidRPr="004E03F6" w:rsidRDefault="00E024E4" w:rsidP="00E024E4">
      <w:pPr>
        <w:autoSpaceDE w:val="0"/>
        <w:autoSpaceDN w:val="0"/>
        <w:adjustRightInd w:val="0"/>
        <w:spacing w:after="0" w:line="240" w:lineRule="auto"/>
        <w:rPr>
          <w:rFonts w:ascii="Garamond" w:hAnsi="Garamond" w:cs="MyriadPro-SemiCn"/>
          <w:sz w:val="24"/>
          <w:szCs w:val="24"/>
        </w:rPr>
      </w:pPr>
    </w:p>
    <w:p w14:paraId="5BD14B64" w14:textId="77777777" w:rsidR="00E024E4" w:rsidRDefault="00E024E4" w:rsidP="00E024E4">
      <w:pPr>
        <w:pStyle w:val="ListParagraph"/>
        <w:numPr>
          <w:ilvl w:val="0"/>
          <w:numId w:val="1"/>
        </w:numPr>
        <w:spacing w:line="240" w:lineRule="auto"/>
        <w:rPr>
          <w:rFonts w:ascii="Garamond" w:hAnsi="Garamond"/>
          <w:sz w:val="24"/>
          <w:szCs w:val="24"/>
        </w:rPr>
      </w:pPr>
      <w:r w:rsidRPr="00FB79B1">
        <w:rPr>
          <w:rFonts w:ascii="Garamond" w:hAnsi="Garamond"/>
          <w:b/>
          <w:sz w:val="24"/>
          <w:szCs w:val="24"/>
        </w:rPr>
        <w:t>Missing key facts</w:t>
      </w:r>
      <w:r w:rsidRPr="00473777">
        <w:rPr>
          <w:rFonts w:ascii="Garamond" w:hAnsi="Garamond"/>
          <w:b/>
          <w:sz w:val="24"/>
          <w:szCs w:val="24"/>
        </w:rPr>
        <w:t xml:space="preserve">:  </w:t>
      </w:r>
      <w:proofErr w:type="spellStart"/>
      <w:r w:rsidRPr="00FB79B1">
        <w:rPr>
          <w:rFonts w:ascii="Garamond" w:hAnsi="Garamond"/>
          <w:i/>
          <w:sz w:val="24"/>
          <w:szCs w:val="24"/>
        </w:rPr>
        <w:t>Sheirod</w:t>
      </w:r>
      <w:proofErr w:type="spellEnd"/>
      <w:r>
        <w:rPr>
          <w:rFonts w:ascii="Garamond" w:hAnsi="Garamond"/>
          <w:sz w:val="24"/>
          <w:szCs w:val="24"/>
        </w:rPr>
        <w:t>—</w:t>
      </w:r>
      <w:r w:rsidRPr="00FB79B1">
        <w:rPr>
          <w:rFonts w:ascii="Garamond" w:hAnsi="Garamond"/>
          <w:sz w:val="24"/>
          <w:szCs w:val="24"/>
        </w:rPr>
        <w:t>which facts led the court to find “temporary absence”?   Which facts led the court to find it was suitable for “overnight accommodations”?</w:t>
      </w:r>
    </w:p>
    <w:p w14:paraId="0746195E" w14:textId="77777777" w:rsidR="00E024E4" w:rsidRPr="00FB79B1" w:rsidRDefault="00E024E4" w:rsidP="00E024E4">
      <w:pPr>
        <w:pStyle w:val="ListParagraph"/>
        <w:spacing w:line="240" w:lineRule="auto"/>
        <w:rPr>
          <w:rFonts w:ascii="Garamond" w:hAnsi="Garamond"/>
          <w:b/>
          <w:sz w:val="24"/>
          <w:szCs w:val="24"/>
        </w:rPr>
      </w:pPr>
    </w:p>
    <w:p w14:paraId="2747DD0D" w14:textId="77777777" w:rsidR="00E024E4" w:rsidRPr="00FB79B1" w:rsidRDefault="00E024E4" w:rsidP="00E024E4">
      <w:pPr>
        <w:pStyle w:val="ListParagraph"/>
        <w:numPr>
          <w:ilvl w:val="0"/>
          <w:numId w:val="1"/>
        </w:numPr>
        <w:spacing w:line="240" w:lineRule="auto"/>
        <w:rPr>
          <w:rFonts w:ascii="Garamond" w:hAnsi="Garamond"/>
          <w:sz w:val="24"/>
          <w:szCs w:val="24"/>
        </w:rPr>
      </w:pPr>
      <w:r w:rsidRPr="00FB79B1">
        <w:rPr>
          <w:rFonts w:ascii="Garamond" w:hAnsi="Garamond"/>
          <w:b/>
          <w:sz w:val="24"/>
          <w:szCs w:val="24"/>
        </w:rPr>
        <w:t>Missing reasonin</w:t>
      </w:r>
      <w:r>
        <w:rPr>
          <w:rFonts w:ascii="Garamond" w:hAnsi="Garamond"/>
          <w:b/>
          <w:sz w:val="24"/>
          <w:szCs w:val="24"/>
        </w:rPr>
        <w:t xml:space="preserve">g:  </w:t>
      </w:r>
      <w:proofErr w:type="spellStart"/>
      <w:r w:rsidRPr="00FB79B1">
        <w:rPr>
          <w:rFonts w:ascii="Garamond" w:hAnsi="Garamond"/>
          <w:i/>
          <w:sz w:val="24"/>
          <w:szCs w:val="24"/>
        </w:rPr>
        <w:t>Sheirod</w:t>
      </w:r>
      <w:proofErr w:type="spellEnd"/>
      <w:r>
        <w:rPr>
          <w:rFonts w:ascii="Garamond" w:hAnsi="Garamond"/>
          <w:sz w:val="24"/>
          <w:szCs w:val="24"/>
        </w:rPr>
        <w:t>—</w:t>
      </w:r>
      <w:r w:rsidRPr="00FB79B1">
        <w:rPr>
          <w:rFonts w:ascii="Garamond" w:hAnsi="Garamond"/>
          <w:sz w:val="24"/>
          <w:szCs w:val="24"/>
        </w:rPr>
        <w:t>missing is a connection between the key facts and</w:t>
      </w:r>
      <w:r>
        <w:rPr>
          <w:rFonts w:ascii="Garamond" w:hAnsi="Garamond"/>
          <w:sz w:val="24"/>
          <w:szCs w:val="24"/>
        </w:rPr>
        <w:t xml:space="preserve"> the</w:t>
      </w:r>
      <w:r w:rsidRPr="00FB79B1">
        <w:rPr>
          <w:rFonts w:ascii="Garamond" w:hAnsi="Garamond"/>
          <w:sz w:val="24"/>
          <w:szCs w:val="24"/>
        </w:rPr>
        <w:t xml:space="preserve"> three-part test, which the court used to provide its holding.</w:t>
      </w:r>
      <w:r>
        <w:rPr>
          <w:rFonts w:ascii="Garamond" w:hAnsi="Garamond"/>
          <w:sz w:val="24"/>
          <w:szCs w:val="24"/>
        </w:rPr>
        <w:t xml:space="preserve">  </w:t>
      </w:r>
      <w:r w:rsidRPr="00FB79B1">
        <w:rPr>
          <w:rFonts w:ascii="Garamond" w:hAnsi="Garamond"/>
          <w:i/>
          <w:sz w:val="24"/>
          <w:szCs w:val="24"/>
        </w:rPr>
        <w:t>Quattlebaum</w:t>
      </w:r>
      <w:r>
        <w:rPr>
          <w:rFonts w:ascii="Garamond" w:hAnsi="Garamond"/>
          <w:sz w:val="24"/>
          <w:szCs w:val="24"/>
        </w:rPr>
        <w:t>—</w:t>
      </w:r>
      <w:r w:rsidRPr="00FB79B1">
        <w:rPr>
          <w:rFonts w:ascii="Garamond" w:hAnsi="Garamond"/>
          <w:sz w:val="24"/>
          <w:szCs w:val="24"/>
        </w:rPr>
        <w:t>missing</w:t>
      </w:r>
      <w:r>
        <w:rPr>
          <w:rFonts w:ascii="Garamond" w:hAnsi="Garamond"/>
          <w:sz w:val="24"/>
          <w:szCs w:val="24"/>
        </w:rPr>
        <w:t xml:space="preserve"> </w:t>
      </w:r>
      <w:r w:rsidRPr="00FB79B1">
        <w:rPr>
          <w:rFonts w:ascii="Garamond" w:hAnsi="Garamond"/>
          <w:sz w:val="24"/>
          <w:szCs w:val="24"/>
        </w:rPr>
        <w:t xml:space="preserve">is the reasoning.  In </w:t>
      </w:r>
      <w:r>
        <w:rPr>
          <w:rFonts w:ascii="Garamond" w:hAnsi="Garamond"/>
          <w:sz w:val="24"/>
          <w:szCs w:val="24"/>
        </w:rPr>
        <w:t>that</w:t>
      </w:r>
      <w:r w:rsidRPr="00FB79B1">
        <w:rPr>
          <w:rFonts w:ascii="Garamond" w:hAnsi="Garamond"/>
          <w:sz w:val="24"/>
          <w:szCs w:val="24"/>
        </w:rPr>
        <w:t xml:space="preserve"> case, the court stated that “these offices were ‘rarely’ used for overnight stays, typically only 20 to 30 times a year.”</w:t>
      </w:r>
    </w:p>
    <w:p w14:paraId="6A37C8CB" w14:textId="77777777" w:rsidR="00E024E4" w:rsidRPr="00053DC1" w:rsidRDefault="00E024E4" w:rsidP="00E024E4">
      <w:pPr>
        <w:spacing w:line="240" w:lineRule="auto"/>
        <w:rPr>
          <w:rFonts w:ascii="Garamond" w:hAnsi="Garamond"/>
          <w:b/>
          <w:sz w:val="24"/>
          <w:szCs w:val="24"/>
        </w:rPr>
      </w:pPr>
      <w:r>
        <w:rPr>
          <w:rFonts w:ascii="Garamond" w:hAnsi="Garamond"/>
          <w:b/>
          <w:sz w:val="24"/>
          <w:szCs w:val="24"/>
        </w:rPr>
        <w:t>2.</w:t>
      </w:r>
      <w:r>
        <w:rPr>
          <w:rFonts w:ascii="Garamond" w:hAnsi="Garamond"/>
          <w:b/>
          <w:sz w:val="24"/>
          <w:szCs w:val="24"/>
        </w:rPr>
        <w:tab/>
      </w:r>
      <w:r w:rsidRPr="00053DC1">
        <w:rPr>
          <w:rFonts w:ascii="Garamond" w:hAnsi="Garamond"/>
          <w:b/>
          <w:sz w:val="24"/>
          <w:szCs w:val="24"/>
        </w:rPr>
        <w:t>What does the transition “in contrast” signify to you as the reader?  Was the hook in the second case illustration effective? If not, why not?</w:t>
      </w:r>
    </w:p>
    <w:p w14:paraId="791F0077" w14:textId="77777777" w:rsidR="00E024E4" w:rsidRDefault="00E024E4" w:rsidP="00E024E4">
      <w:pPr>
        <w:pStyle w:val="ListParagraph"/>
        <w:numPr>
          <w:ilvl w:val="0"/>
          <w:numId w:val="2"/>
        </w:numPr>
        <w:spacing w:line="240" w:lineRule="auto"/>
        <w:rPr>
          <w:rFonts w:ascii="Garamond" w:hAnsi="Garamond"/>
          <w:sz w:val="24"/>
          <w:szCs w:val="24"/>
        </w:rPr>
      </w:pPr>
      <w:r w:rsidRPr="00FB79B1">
        <w:rPr>
          <w:rFonts w:ascii="Garamond" w:hAnsi="Garamond"/>
          <w:sz w:val="24"/>
          <w:szCs w:val="24"/>
        </w:rPr>
        <w:t>“In contrast” should signal to the reader that what she is about to read will have the opposite holding of what she read above.  Putting two contrasting case holdings together, as this example shows, helps the reader see a broader picture of the courts’ reasoning processes.  Another common transition is “on the other hand.”</w:t>
      </w:r>
    </w:p>
    <w:p w14:paraId="3561C493" w14:textId="77777777" w:rsidR="00E024E4" w:rsidRDefault="00E024E4" w:rsidP="00E024E4">
      <w:pPr>
        <w:pStyle w:val="ListParagraph"/>
        <w:ind w:left="1440"/>
        <w:rPr>
          <w:rFonts w:ascii="Garamond" w:hAnsi="Garamond"/>
          <w:sz w:val="24"/>
          <w:szCs w:val="24"/>
        </w:rPr>
      </w:pPr>
    </w:p>
    <w:p w14:paraId="02BF1240" w14:textId="77777777" w:rsidR="00E024E4" w:rsidRPr="00FB79B1" w:rsidRDefault="00E024E4" w:rsidP="00E024E4">
      <w:pPr>
        <w:pStyle w:val="ListParagraph"/>
        <w:numPr>
          <w:ilvl w:val="0"/>
          <w:numId w:val="2"/>
        </w:numPr>
        <w:spacing w:line="240" w:lineRule="auto"/>
        <w:rPr>
          <w:rFonts w:ascii="Garamond" w:hAnsi="Garamond"/>
          <w:sz w:val="24"/>
          <w:szCs w:val="24"/>
        </w:rPr>
      </w:pPr>
      <w:r w:rsidRPr="00FB79B1">
        <w:rPr>
          <w:rFonts w:ascii="Garamond" w:hAnsi="Garamond"/>
          <w:sz w:val="24"/>
          <w:szCs w:val="24"/>
        </w:rPr>
        <w:t xml:space="preserve">In deconstructing the </w:t>
      </w:r>
      <w:r w:rsidRPr="00FB79B1">
        <w:rPr>
          <w:rFonts w:ascii="Garamond" w:hAnsi="Garamond"/>
          <w:i/>
          <w:sz w:val="24"/>
          <w:szCs w:val="24"/>
        </w:rPr>
        <w:t>Quattlebaum</w:t>
      </w:r>
      <w:r w:rsidRPr="00FB79B1">
        <w:rPr>
          <w:rFonts w:ascii="Garamond" w:hAnsi="Garamond"/>
          <w:sz w:val="24"/>
          <w:szCs w:val="24"/>
        </w:rPr>
        <w:t xml:space="preserve"> paragraph, the first sentence would be called a “transition sentence.”  The next sentence, ideally, would be the “hook.”  Let’s look more closely at sentence two—it announces an issue</w:t>
      </w:r>
      <w:r>
        <w:rPr>
          <w:rFonts w:ascii="Garamond" w:hAnsi="Garamond"/>
          <w:sz w:val="24"/>
          <w:szCs w:val="24"/>
        </w:rPr>
        <w:t xml:space="preserve"> and</w:t>
      </w:r>
      <w:r w:rsidRPr="00FB79B1">
        <w:rPr>
          <w:rFonts w:ascii="Garamond" w:hAnsi="Garamond"/>
          <w:sz w:val="24"/>
          <w:szCs w:val="24"/>
        </w:rPr>
        <w:t xml:space="preserve"> states significant facts (school, offices on a certain floor, and the furniture inside these rooms), framed within a legal question of </w:t>
      </w:r>
      <w:r>
        <w:rPr>
          <w:rFonts w:ascii="Garamond" w:hAnsi="Garamond"/>
          <w:sz w:val="24"/>
          <w:szCs w:val="24"/>
        </w:rPr>
        <w:t>the</w:t>
      </w:r>
      <w:r w:rsidRPr="00FB79B1">
        <w:rPr>
          <w:rFonts w:ascii="Garamond" w:hAnsi="Garamond"/>
          <w:sz w:val="24"/>
          <w:szCs w:val="24"/>
        </w:rPr>
        <w:t xml:space="preserve"> statutory term “dwelling.”  Returning to the explanation of a hook sentence (above and in the workbook)</w:t>
      </w:r>
      <w:r>
        <w:rPr>
          <w:rFonts w:ascii="Garamond" w:hAnsi="Garamond"/>
          <w:sz w:val="24"/>
          <w:szCs w:val="24"/>
        </w:rPr>
        <w:t>,</w:t>
      </w:r>
      <w:r w:rsidRPr="00FB79B1">
        <w:rPr>
          <w:rFonts w:ascii="Garamond" w:hAnsi="Garamond"/>
          <w:sz w:val="24"/>
          <w:szCs w:val="24"/>
        </w:rPr>
        <w:t xml:space="preserve"> this </w:t>
      </w:r>
      <w:r>
        <w:rPr>
          <w:rFonts w:ascii="Garamond" w:hAnsi="Garamond"/>
          <w:sz w:val="24"/>
          <w:szCs w:val="24"/>
        </w:rPr>
        <w:t xml:space="preserve">second </w:t>
      </w:r>
      <w:r w:rsidRPr="00FB79B1">
        <w:rPr>
          <w:rFonts w:ascii="Garamond" w:hAnsi="Garamond"/>
          <w:sz w:val="24"/>
          <w:szCs w:val="24"/>
        </w:rPr>
        <w:t>sentence does not flat-out tell us the rule, holding, or thesis</w:t>
      </w:r>
      <w:r>
        <w:rPr>
          <w:rFonts w:ascii="Garamond" w:hAnsi="Garamond"/>
          <w:sz w:val="24"/>
          <w:szCs w:val="24"/>
        </w:rPr>
        <w:t>, as a hook should</w:t>
      </w:r>
      <w:r w:rsidRPr="00FB79B1">
        <w:rPr>
          <w:rFonts w:ascii="Garamond" w:hAnsi="Garamond"/>
          <w:sz w:val="24"/>
          <w:szCs w:val="24"/>
        </w:rPr>
        <w:t>.</w:t>
      </w:r>
    </w:p>
    <w:p w14:paraId="772BC25E" w14:textId="77777777" w:rsidR="00E024E4" w:rsidRPr="00FB79B1" w:rsidRDefault="00E024E4" w:rsidP="00E024E4">
      <w:pPr>
        <w:rPr>
          <w:rFonts w:ascii="Geneva" w:hAnsi="Geneva"/>
          <w:color w:val="156082" w:themeColor="accent1"/>
          <w:sz w:val="24"/>
          <w:szCs w:val="24"/>
        </w:rPr>
      </w:pPr>
      <w:r w:rsidRPr="00FB79B1">
        <w:rPr>
          <w:rFonts w:ascii="Geneva" w:hAnsi="Geneva"/>
          <w:color w:val="156082" w:themeColor="accent1"/>
          <w:sz w:val="24"/>
          <w:szCs w:val="24"/>
        </w:rPr>
        <w:t>Exercise 7.2.2: Evaluating Case Illustrations for Effectiveness</w:t>
      </w:r>
    </w:p>
    <w:p w14:paraId="12AEA4B5" w14:textId="77777777" w:rsidR="00E024E4" w:rsidRPr="00053DC1" w:rsidRDefault="00E024E4" w:rsidP="00E024E4">
      <w:pPr>
        <w:spacing w:line="240" w:lineRule="auto"/>
        <w:rPr>
          <w:rFonts w:ascii="Garamond" w:hAnsi="Garamond"/>
          <w:b/>
          <w:bCs/>
          <w:sz w:val="24"/>
          <w:szCs w:val="24"/>
        </w:rPr>
      </w:pPr>
      <w:r>
        <w:rPr>
          <w:rFonts w:ascii="Garamond" w:hAnsi="Garamond"/>
          <w:b/>
          <w:bCs/>
          <w:sz w:val="24"/>
          <w:szCs w:val="24"/>
        </w:rPr>
        <w:t>1.</w:t>
      </w:r>
      <w:r>
        <w:rPr>
          <w:rFonts w:ascii="Garamond" w:hAnsi="Garamond"/>
          <w:b/>
          <w:bCs/>
          <w:sz w:val="24"/>
          <w:szCs w:val="24"/>
        </w:rPr>
        <w:tab/>
      </w:r>
      <w:r w:rsidRPr="00053DC1">
        <w:rPr>
          <w:rFonts w:ascii="Garamond" w:hAnsi="Garamond"/>
          <w:b/>
          <w:bCs/>
          <w:sz w:val="24"/>
          <w:szCs w:val="24"/>
        </w:rPr>
        <w:t>Ineffective</w:t>
      </w:r>
      <w:proofErr w:type="gramStart"/>
      <w:r w:rsidRPr="00053DC1">
        <w:rPr>
          <w:rFonts w:ascii="Garamond" w:hAnsi="Garamond"/>
          <w:b/>
          <w:bCs/>
          <w:sz w:val="24"/>
          <w:szCs w:val="24"/>
        </w:rPr>
        <w:t xml:space="preserve">:  </w:t>
      </w:r>
      <w:r w:rsidRPr="00053DC1">
        <w:rPr>
          <w:rFonts w:ascii="Garamond" w:hAnsi="Garamond"/>
          <w:sz w:val="24"/>
          <w:szCs w:val="24"/>
        </w:rPr>
        <w:t>This</w:t>
      </w:r>
      <w:proofErr w:type="gramEnd"/>
      <w:r w:rsidRPr="00053DC1">
        <w:rPr>
          <w:rFonts w:ascii="Garamond" w:hAnsi="Garamond"/>
          <w:sz w:val="24"/>
          <w:szCs w:val="24"/>
        </w:rPr>
        <w:t xml:space="preserve"> </w:t>
      </w:r>
      <w:r>
        <w:rPr>
          <w:rFonts w:ascii="Garamond" w:hAnsi="Garamond"/>
          <w:sz w:val="24"/>
          <w:szCs w:val="24"/>
        </w:rPr>
        <w:t xml:space="preserve">example </w:t>
      </w:r>
      <w:r w:rsidRPr="00053DC1">
        <w:rPr>
          <w:rFonts w:ascii="Garamond" w:hAnsi="Garamond"/>
          <w:sz w:val="24"/>
          <w:szCs w:val="24"/>
        </w:rPr>
        <w:t>could be characterized as a hook sentence</w:t>
      </w:r>
      <w:r>
        <w:rPr>
          <w:rFonts w:ascii="Garamond" w:hAnsi="Garamond"/>
          <w:sz w:val="24"/>
          <w:szCs w:val="24"/>
        </w:rPr>
        <w:t xml:space="preserve"> because it</w:t>
      </w:r>
      <w:r w:rsidRPr="00053DC1">
        <w:rPr>
          <w:rFonts w:ascii="Garamond" w:hAnsi="Garamond"/>
          <w:sz w:val="24"/>
          <w:szCs w:val="24"/>
        </w:rPr>
        <w:t xml:space="preserve"> provides the holding of </w:t>
      </w:r>
      <w:proofErr w:type="spellStart"/>
      <w:r w:rsidRPr="00053DC1">
        <w:rPr>
          <w:rFonts w:ascii="Garamond" w:hAnsi="Garamond"/>
          <w:i/>
          <w:sz w:val="24"/>
          <w:szCs w:val="24"/>
        </w:rPr>
        <w:t>Picaroni</w:t>
      </w:r>
      <w:proofErr w:type="spellEnd"/>
      <w:r w:rsidRPr="00053DC1">
        <w:rPr>
          <w:rFonts w:ascii="Garamond" w:hAnsi="Garamond"/>
          <w:sz w:val="24"/>
          <w:szCs w:val="24"/>
        </w:rPr>
        <w:t xml:space="preserve">.  </w:t>
      </w:r>
      <w:r>
        <w:rPr>
          <w:rFonts w:ascii="Garamond" w:hAnsi="Garamond"/>
          <w:sz w:val="24"/>
          <w:szCs w:val="24"/>
        </w:rPr>
        <w:t>The statement does not, however, give any details to show why the garage was not an inhabited dwelling house.  The writer could add</w:t>
      </w:r>
      <w:r w:rsidRPr="00053DC1">
        <w:rPr>
          <w:rFonts w:ascii="Garamond" w:hAnsi="Garamond"/>
          <w:sz w:val="24"/>
          <w:szCs w:val="24"/>
        </w:rPr>
        <w:t xml:space="preserve"> either</w:t>
      </w:r>
      <w:r>
        <w:rPr>
          <w:rFonts w:ascii="Garamond" w:hAnsi="Garamond"/>
          <w:sz w:val="24"/>
          <w:szCs w:val="24"/>
        </w:rPr>
        <w:t xml:space="preserve"> the word</w:t>
      </w:r>
      <w:r w:rsidRPr="00053DC1">
        <w:rPr>
          <w:rFonts w:ascii="Garamond" w:hAnsi="Garamond"/>
          <w:sz w:val="24"/>
          <w:szCs w:val="24"/>
        </w:rPr>
        <w:t xml:space="preserve"> “attached” or “unattached” to describe the garage.  </w:t>
      </w:r>
      <w:r>
        <w:rPr>
          <w:rFonts w:ascii="Garamond" w:hAnsi="Garamond"/>
          <w:sz w:val="24"/>
          <w:szCs w:val="24"/>
        </w:rPr>
        <w:t xml:space="preserve">Inclusion of this simple </w:t>
      </w:r>
      <w:r w:rsidRPr="00053DC1">
        <w:rPr>
          <w:rFonts w:ascii="Garamond" w:hAnsi="Garamond"/>
          <w:sz w:val="24"/>
          <w:szCs w:val="24"/>
        </w:rPr>
        <w:t>adjective would</w:t>
      </w:r>
      <w:r>
        <w:rPr>
          <w:rFonts w:ascii="Garamond" w:hAnsi="Garamond"/>
          <w:sz w:val="24"/>
          <w:szCs w:val="24"/>
        </w:rPr>
        <w:t xml:space="preserve"> give the reader more information about the applicable legal principle, and it would also</w:t>
      </w:r>
      <w:r w:rsidRPr="00053DC1">
        <w:rPr>
          <w:rFonts w:ascii="Garamond" w:hAnsi="Garamond"/>
          <w:sz w:val="24"/>
          <w:szCs w:val="24"/>
        </w:rPr>
        <w:t xml:space="preserve"> be useful </w:t>
      </w:r>
      <w:r>
        <w:rPr>
          <w:rFonts w:ascii="Garamond" w:hAnsi="Garamond"/>
          <w:sz w:val="24"/>
          <w:szCs w:val="24"/>
        </w:rPr>
        <w:t>later in</w:t>
      </w:r>
      <w:r w:rsidRPr="00053DC1">
        <w:rPr>
          <w:rFonts w:ascii="Garamond" w:hAnsi="Garamond"/>
          <w:sz w:val="24"/>
          <w:szCs w:val="24"/>
        </w:rPr>
        <w:t xml:space="preserve"> the application</w:t>
      </w:r>
      <w:r>
        <w:rPr>
          <w:rFonts w:ascii="Garamond" w:hAnsi="Garamond"/>
          <w:sz w:val="24"/>
          <w:szCs w:val="24"/>
        </w:rPr>
        <w:t xml:space="preserve"> section</w:t>
      </w:r>
      <w:r w:rsidRPr="00053DC1">
        <w:rPr>
          <w:rFonts w:ascii="Garamond" w:hAnsi="Garamond"/>
          <w:sz w:val="24"/>
          <w:szCs w:val="24"/>
        </w:rPr>
        <w:t xml:space="preserve"> to assess whether a shed is a dwelling.</w:t>
      </w:r>
    </w:p>
    <w:p w14:paraId="50F169DA" w14:textId="77777777" w:rsidR="00E024E4" w:rsidRPr="00053DC1" w:rsidRDefault="00E024E4" w:rsidP="00E024E4">
      <w:pPr>
        <w:spacing w:line="240" w:lineRule="auto"/>
        <w:rPr>
          <w:rFonts w:ascii="Garamond" w:hAnsi="Garamond"/>
          <w:b/>
          <w:bCs/>
          <w:sz w:val="24"/>
          <w:szCs w:val="24"/>
        </w:rPr>
      </w:pPr>
      <w:r>
        <w:rPr>
          <w:rFonts w:ascii="Garamond" w:hAnsi="Garamond"/>
          <w:b/>
          <w:bCs/>
          <w:sz w:val="24"/>
          <w:szCs w:val="24"/>
        </w:rPr>
        <w:lastRenderedPageBreak/>
        <w:t>2.</w:t>
      </w:r>
      <w:r>
        <w:rPr>
          <w:rFonts w:ascii="Garamond" w:hAnsi="Garamond"/>
          <w:b/>
          <w:bCs/>
          <w:sz w:val="24"/>
          <w:szCs w:val="24"/>
        </w:rPr>
        <w:tab/>
      </w:r>
      <w:r w:rsidRPr="00053DC1">
        <w:rPr>
          <w:rFonts w:ascii="Garamond" w:hAnsi="Garamond"/>
          <w:b/>
          <w:bCs/>
          <w:sz w:val="24"/>
          <w:szCs w:val="24"/>
        </w:rPr>
        <w:t>Ineffective</w:t>
      </w:r>
      <w:proofErr w:type="gramStart"/>
      <w:r w:rsidRPr="00053DC1">
        <w:rPr>
          <w:rFonts w:ascii="Garamond" w:hAnsi="Garamond"/>
          <w:b/>
          <w:bCs/>
          <w:sz w:val="24"/>
          <w:szCs w:val="24"/>
        </w:rPr>
        <w:t xml:space="preserve">:  </w:t>
      </w:r>
      <w:r w:rsidRPr="00053DC1">
        <w:rPr>
          <w:rFonts w:ascii="Garamond" w:hAnsi="Garamond"/>
          <w:sz w:val="24"/>
          <w:szCs w:val="24"/>
        </w:rPr>
        <w:t>In</w:t>
      </w:r>
      <w:proofErr w:type="gramEnd"/>
      <w:r w:rsidRPr="00053DC1">
        <w:rPr>
          <w:rFonts w:ascii="Garamond" w:hAnsi="Garamond"/>
          <w:sz w:val="24"/>
          <w:szCs w:val="24"/>
        </w:rPr>
        <w:t xml:space="preserve"> this long sentence, these words</w:t>
      </w:r>
      <w:r>
        <w:rPr>
          <w:rFonts w:ascii="Garamond" w:hAnsi="Garamond"/>
          <w:sz w:val="24"/>
          <w:szCs w:val="24"/>
        </w:rPr>
        <w:t xml:space="preserve"> (</w:t>
      </w:r>
      <w:r w:rsidRPr="00053DC1">
        <w:rPr>
          <w:rFonts w:ascii="Garamond" w:hAnsi="Garamond"/>
          <w:sz w:val="24"/>
          <w:szCs w:val="24"/>
        </w:rPr>
        <w:t>affirmed, rejected, conviction, inconsistent, acquittal</w:t>
      </w:r>
      <w:r>
        <w:rPr>
          <w:rFonts w:ascii="Garamond" w:hAnsi="Garamond"/>
          <w:sz w:val="24"/>
          <w:szCs w:val="24"/>
        </w:rPr>
        <w:t>)</w:t>
      </w:r>
      <w:r w:rsidRPr="00053DC1">
        <w:rPr>
          <w:rFonts w:ascii="Garamond" w:hAnsi="Garamond"/>
          <w:sz w:val="24"/>
          <w:szCs w:val="24"/>
        </w:rPr>
        <w:t xml:space="preserve"> jump out as important in understanding the history of this case, but it takes extra effort to piece together the meaning.  Furthermore, why are facts about dishes important?  The sentence says “including,” indicating these were not the only items</w:t>
      </w:r>
      <w:r>
        <w:rPr>
          <w:rFonts w:ascii="Garamond" w:hAnsi="Garamond"/>
          <w:sz w:val="24"/>
          <w:szCs w:val="24"/>
        </w:rPr>
        <w:t>—</w:t>
      </w:r>
      <w:r w:rsidRPr="00053DC1">
        <w:rPr>
          <w:rFonts w:ascii="Garamond" w:hAnsi="Garamond"/>
          <w:sz w:val="24"/>
          <w:szCs w:val="24"/>
        </w:rPr>
        <w:t>but why focus on them at all?</w:t>
      </w:r>
      <w:r>
        <w:rPr>
          <w:rFonts w:ascii="Garamond" w:hAnsi="Garamond"/>
          <w:sz w:val="24"/>
          <w:szCs w:val="24"/>
        </w:rPr>
        <w:t xml:space="preserve">  Use the example to help students understand what context can be useful and what can be distracting.</w:t>
      </w:r>
    </w:p>
    <w:p w14:paraId="5876AF94" w14:textId="77777777" w:rsidR="00E024E4" w:rsidRPr="00053DC1" w:rsidRDefault="00E024E4" w:rsidP="00E024E4">
      <w:pPr>
        <w:spacing w:line="240" w:lineRule="auto"/>
        <w:rPr>
          <w:rFonts w:ascii="Garamond" w:hAnsi="Garamond"/>
          <w:sz w:val="24"/>
          <w:szCs w:val="24"/>
        </w:rPr>
      </w:pPr>
      <w:r>
        <w:rPr>
          <w:rFonts w:ascii="Garamond" w:hAnsi="Garamond"/>
          <w:b/>
          <w:bCs/>
          <w:sz w:val="24"/>
          <w:szCs w:val="24"/>
        </w:rPr>
        <w:t>3.</w:t>
      </w:r>
      <w:r>
        <w:rPr>
          <w:rFonts w:ascii="Garamond" w:hAnsi="Garamond"/>
          <w:b/>
          <w:bCs/>
          <w:sz w:val="24"/>
          <w:szCs w:val="24"/>
        </w:rPr>
        <w:tab/>
      </w:r>
      <w:r w:rsidRPr="00053DC1">
        <w:rPr>
          <w:rFonts w:ascii="Garamond" w:hAnsi="Garamond"/>
          <w:b/>
          <w:bCs/>
          <w:sz w:val="24"/>
          <w:szCs w:val="24"/>
        </w:rPr>
        <w:t>Effective</w:t>
      </w:r>
      <w:proofErr w:type="gramStart"/>
      <w:r w:rsidRPr="00053DC1">
        <w:rPr>
          <w:rFonts w:ascii="Garamond" w:hAnsi="Garamond"/>
          <w:b/>
          <w:bCs/>
          <w:sz w:val="24"/>
          <w:szCs w:val="24"/>
        </w:rPr>
        <w:t>:</w:t>
      </w:r>
      <w:r w:rsidRPr="00053DC1">
        <w:rPr>
          <w:rFonts w:ascii="Garamond" w:hAnsi="Garamond"/>
          <w:sz w:val="24"/>
          <w:szCs w:val="24"/>
        </w:rPr>
        <w:t xml:space="preserve">  The</w:t>
      </w:r>
      <w:proofErr w:type="gramEnd"/>
      <w:r w:rsidRPr="00053DC1">
        <w:rPr>
          <w:rFonts w:ascii="Garamond" w:hAnsi="Garamond"/>
          <w:sz w:val="24"/>
          <w:szCs w:val="24"/>
        </w:rPr>
        <w:t xml:space="preserve"> rules and reasoning were set forth in clear language.</w:t>
      </w:r>
    </w:p>
    <w:p w14:paraId="5C3AA35F" w14:textId="77777777" w:rsidR="00E024E4" w:rsidRPr="00FB79B1" w:rsidRDefault="00E024E4" w:rsidP="00E024E4">
      <w:pPr>
        <w:spacing w:line="240" w:lineRule="auto"/>
        <w:rPr>
          <w:rFonts w:ascii="Garamond" w:hAnsi="Garamond"/>
          <w:b/>
          <w:bCs/>
          <w:sz w:val="24"/>
          <w:szCs w:val="24"/>
        </w:rPr>
      </w:pPr>
      <w:r>
        <w:rPr>
          <w:rFonts w:ascii="Garamond" w:hAnsi="Garamond"/>
          <w:b/>
          <w:bCs/>
          <w:sz w:val="24"/>
          <w:szCs w:val="24"/>
        </w:rPr>
        <w:t>4.</w:t>
      </w:r>
      <w:r>
        <w:rPr>
          <w:rFonts w:ascii="Garamond" w:hAnsi="Garamond"/>
          <w:b/>
          <w:bCs/>
          <w:sz w:val="24"/>
          <w:szCs w:val="24"/>
        </w:rPr>
        <w:tab/>
      </w:r>
      <w:r w:rsidRPr="00053DC1">
        <w:rPr>
          <w:rFonts w:ascii="Garamond" w:hAnsi="Garamond"/>
          <w:b/>
          <w:bCs/>
          <w:sz w:val="24"/>
          <w:szCs w:val="24"/>
        </w:rPr>
        <w:t>Ineffective</w:t>
      </w:r>
      <w:proofErr w:type="gramStart"/>
      <w:r w:rsidRPr="00053DC1">
        <w:rPr>
          <w:rFonts w:ascii="Garamond" w:hAnsi="Garamond"/>
          <w:b/>
          <w:bCs/>
          <w:sz w:val="24"/>
          <w:szCs w:val="24"/>
        </w:rPr>
        <w:t xml:space="preserve">:  </w:t>
      </w:r>
      <w:r w:rsidRPr="00053DC1">
        <w:rPr>
          <w:rFonts w:ascii="Garamond" w:hAnsi="Garamond"/>
          <w:sz w:val="24"/>
          <w:szCs w:val="24"/>
        </w:rPr>
        <w:t>The</w:t>
      </w:r>
      <w:proofErr w:type="gramEnd"/>
      <w:r w:rsidRPr="00053DC1">
        <w:rPr>
          <w:rFonts w:ascii="Garamond" w:hAnsi="Garamond"/>
          <w:sz w:val="24"/>
          <w:szCs w:val="24"/>
        </w:rPr>
        <w:t xml:space="preserve"> explanation could be clearer.  How can a “building” be an integral part of the house? Is there another word for this?  In looking at the actual </w:t>
      </w:r>
      <w:r w:rsidRPr="00053DC1">
        <w:rPr>
          <w:rFonts w:ascii="Garamond" w:hAnsi="Garamond"/>
          <w:i/>
          <w:sz w:val="24"/>
          <w:szCs w:val="24"/>
        </w:rPr>
        <w:t>Cook</w:t>
      </w:r>
      <w:r w:rsidRPr="00053DC1">
        <w:rPr>
          <w:rFonts w:ascii="Garamond" w:hAnsi="Garamond"/>
          <w:sz w:val="24"/>
          <w:szCs w:val="24"/>
        </w:rPr>
        <w:t xml:space="preserve"> case, the facts involved an “enclosed patio” next to an “attached garage.”</w:t>
      </w:r>
    </w:p>
    <w:p w14:paraId="509A4ED9" w14:textId="77777777" w:rsidR="00E024E4" w:rsidRPr="00053DC1" w:rsidRDefault="00E024E4" w:rsidP="00E024E4">
      <w:pPr>
        <w:spacing w:line="240" w:lineRule="auto"/>
        <w:rPr>
          <w:rFonts w:ascii="Garamond" w:hAnsi="Garamond"/>
          <w:sz w:val="24"/>
          <w:szCs w:val="24"/>
        </w:rPr>
      </w:pPr>
      <w:r>
        <w:rPr>
          <w:rFonts w:ascii="Garamond" w:hAnsi="Garamond"/>
          <w:b/>
          <w:bCs/>
          <w:sz w:val="24"/>
          <w:szCs w:val="24"/>
        </w:rPr>
        <w:t>5.</w:t>
      </w:r>
      <w:r>
        <w:rPr>
          <w:rFonts w:ascii="Garamond" w:hAnsi="Garamond"/>
          <w:b/>
          <w:bCs/>
          <w:sz w:val="24"/>
          <w:szCs w:val="24"/>
        </w:rPr>
        <w:tab/>
      </w:r>
      <w:r w:rsidRPr="00053DC1">
        <w:rPr>
          <w:rFonts w:ascii="Garamond" w:hAnsi="Garamond"/>
          <w:b/>
          <w:bCs/>
          <w:sz w:val="24"/>
          <w:szCs w:val="24"/>
        </w:rPr>
        <w:t>Ineffective</w:t>
      </w:r>
      <w:proofErr w:type="gramStart"/>
      <w:r w:rsidRPr="00053DC1">
        <w:rPr>
          <w:rFonts w:ascii="Garamond" w:hAnsi="Garamond"/>
          <w:b/>
          <w:bCs/>
          <w:sz w:val="24"/>
          <w:szCs w:val="24"/>
        </w:rPr>
        <w:t>:</w:t>
      </w:r>
      <w:r w:rsidRPr="00053DC1">
        <w:rPr>
          <w:rFonts w:ascii="Garamond" w:hAnsi="Garamond"/>
          <w:sz w:val="24"/>
          <w:szCs w:val="24"/>
        </w:rPr>
        <w:t xml:space="preserve">  The</w:t>
      </w:r>
      <w:proofErr w:type="gramEnd"/>
      <w:r w:rsidRPr="00053DC1">
        <w:rPr>
          <w:rFonts w:ascii="Garamond" w:hAnsi="Garamond"/>
          <w:sz w:val="24"/>
          <w:szCs w:val="24"/>
        </w:rPr>
        <w:t xml:space="preserve"> explanation can be clearer.  There are extra words that do not aid the reader in understanding the connection between these structures and the crime of burglarizing a dwelling.   For instance, “early morning” and the repeated phrase “garage and patio.”  What would be more helpful are adjectives, such as “enclosed” patio and “attached” garage.  Also, the items stolen (chairs, radio, toolbox) are unimportant to the rule and can be shortened to “goods.”</w:t>
      </w:r>
    </w:p>
    <w:p w14:paraId="4ACFC4C8" w14:textId="77777777" w:rsidR="00E024E4" w:rsidRPr="00053DC1" w:rsidRDefault="00E024E4" w:rsidP="00E024E4">
      <w:pPr>
        <w:spacing w:line="240" w:lineRule="auto"/>
        <w:rPr>
          <w:rFonts w:ascii="Garamond" w:hAnsi="Garamond"/>
          <w:sz w:val="24"/>
          <w:szCs w:val="24"/>
        </w:rPr>
      </w:pPr>
      <w:r>
        <w:rPr>
          <w:rFonts w:ascii="Garamond" w:hAnsi="Garamond"/>
          <w:b/>
          <w:sz w:val="24"/>
          <w:szCs w:val="24"/>
        </w:rPr>
        <w:t>6.</w:t>
      </w:r>
      <w:r>
        <w:rPr>
          <w:rFonts w:ascii="Garamond" w:hAnsi="Garamond"/>
          <w:b/>
          <w:sz w:val="24"/>
          <w:szCs w:val="24"/>
        </w:rPr>
        <w:tab/>
      </w:r>
      <w:r w:rsidRPr="00053DC1">
        <w:rPr>
          <w:rFonts w:ascii="Garamond" w:hAnsi="Garamond"/>
          <w:b/>
          <w:sz w:val="24"/>
          <w:szCs w:val="24"/>
        </w:rPr>
        <w:t>Effective</w:t>
      </w:r>
      <w:proofErr w:type="gramStart"/>
      <w:r w:rsidRPr="00053DC1">
        <w:rPr>
          <w:rFonts w:ascii="Garamond" w:hAnsi="Garamond"/>
          <w:b/>
          <w:sz w:val="24"/>
          <w:szCs w:val="24"/>
        </w:rPr>
        <w:t>:</w:t>
      </w:r>
      <w:r w:rsidRPr="00053DC1">
        <w:rPr>
          <w:rFonts w:ascii="Garamond" w:hAnsi="Garamond"/>
          <w:sz w:val="24"/>
          <w:szCs w:val="24"/>
        </w:rPr>
        <w:t xml:space="preserve">  The</w:t>
      </w:r>
      <w:proofErr w:type="gramEnd"/>
      <w:r w:rsidRPr="00053DC1">
        <w:rPr>
          <w:rFonts w:ascii="Garamond" w:hAnsi="Garamond"/>
          <w:sz w:val="24"/>
          <w:szCs w:val="24"/>
        </w:rPr>
        <w:t xml:space="preserve"> first sentence states the main rule. However, you may point out to students that it is within the writer’s discretion whether to include the court name (it is not necessary to include the court name in the textual part of the sentence).  A transition could be added in the beginning of the second sentence so that the reader understands the connection between the rule in the first sentence and the description in the second</w:t>
      </w:r>
      <w:proofErr w:type="gramStart"/>
      <w:r w:rsidRPr="00053DC1">
        <w:rPr>
          <w:rFonts w:ascii="Garamond" w:hAnsi="Garamond"/>
          <w:sz w:val="24"/>
          <w:szCs w:val="24"/>
        </w:rPr>
        <w:t>:  In</w:t>
      </w:r>
      <w:proofErr w:type="gramEnd"/>
      <w:r w:rsidRPr="00053DC1">
        <w:rPr>
          <w:rFonts w:ascii="Garamond" w:hAnsi="Garamond"/>
          <w:sz w:val="24"/>
          <w:szCs w:val="24"/>
        </w:rPr>
        <w:t xml:space="preserve"> </w:t>
      </w:r>
      <w:r w:rsidRPr="00053DC1">
        <w:rPr>
          <w:rFonts w:ascii="Garamond" w:hAnsi="Garamond"/>
          <w:i/>
          <w:sz w:val="24"/>
          <w:szCs w:val="24"/>
        </w:rPr>
        <w:t>Cook</w:t>
      </w:r>
      <w:r w:rsidRPr="00053DC1">
        <w:rPr>
          <w:rFonts w:ascii="Garamond" w:hAnsi="Garamond"/>
          <w:sz w:val="24"/>
          <w:szCs w:val="24"/>
        </w:rPr>
        <w:t xml:space="preserve">, the Wyoming </w:t>
      </w:r>
      <w:proofErr w:type="gramStart"/>
      <w:r w:rsidRPr="00053DC1">
        <w:rPr>
          <w:rFonts w:ascii="Garamond" w:hAnsi="Garamond"/>
          <w:sz w:val="24"/>
          <w:szCs w:val="24"/>
        </w:rPr>
        <w:t>. . . .</w:t>
      </w:r>
      <w:proofErr w:type="gramEnd"/>
    </w:p>
    <w:p w14:paraId="1FBD005A" w14:textId="77777777" w:rsidR="00E024E4" w:rsidRDefault="00E024E4" w:rsidP="00E024E4">
      <w:pPr>
        <w:spacing w:line="240" w:lineRule="auto"/>
        <w:rPr>
          <w:rFonts w:ascii="Garamond" w:hAnsi="Garamond"/>
          <w:sz w:val="24"/>
          <w:szCs w:val="24"/>
        </w:rPr>
      </w:pPr>
      <w:r w:rsidRPr="00BF3D82">
        <w:rPr>
          <w:rFonts w:ascii="Garamond" w:hAnsi="Garamond"/>
          <w:b/>
          <w:bCs/>
          <w:sz w:val="24"/>
          <w:szCs w:val="24"/>
        </w:rPr>
        <w:t>Improved second sentence</w:t>
      </w:r>
      <w:proofErr w:type="gramStart"/>
      <w:r w:rsidRPr="00BF3D82">
        <w:rPr>
          <w:rFonts w:ascii="Garamond" w:hAnsi="Garamond"/>
          <w:b/>
          <w:bCs/>
          <w:sz w:val="24"/>
          <w:szCs w:val="24"/>
        </w:rPr>
        <w:t xml:space="preserve">:  </w:t>
      </w:r>
      <w:r w:rsidRPr="00053DC1">
        <w:rPr>
          <w:rFonts w:ascii="Garamond" w:hAnsi="Garamond"/>
          <w:sz w:val="24"/>
          <w:szCs w:val="24"/>
        </w:rPr>
        <w:t>When</w:t>
      </w:r>
      <w:proofErr w:type="gramEnd"/>
      <w:r w:rsidRPr="00053DC1">
        <w:rPr>
          <w:rFonts w:ascii="Garamond" w:hAnsi="Garamond"/>
          <w:sz w:val="24"/>
          <w:szCs w:val="24"/>
        </w:rPr>
        <w:t xml:space="preserve"> goods were stolen from an enclosed patio and a garage attached to a house, the defendant was properly convicted of a crime of burglary.</w:t>
      </w:r>
    </w:p>
    <w:p w14:paraId="2A1D75A8" w14:textId="77777777" w:rsidR="00E024E4" w:rsidRDefault="00E024E4" w:rsidP="00E024E4"/>
    <w:sectPr w:rsidR="00E02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neva">
    <w:altName w:val="Segoe UI Symbol"/>
    <w:charset w:val="00"/>
    <w:family w:val="swiss"/>
    <w:pitch w:val="variable"/>
    <w:sig w:usb0="E00002FF" w:usb1="5200205F" w:usb2="00A0C000" w:usb3="00000000" w:csb0="0000019F" w:csb1="00000000"/>
  </w:font>
  <w:font w:name="SkolarSansLatn-Sb">
    <w:altName w:val="Yu Gothic"/>
    <w:panose1 w:val="00000000000000000000"/>
    <w:charset w:val="80"/>
    <w:family w:val="swiss"/>
    <w:notTrueType/>
    <w:pitch w:val="default"/>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MinionPro-Semibold">
    <w:altName w:val="Cambria"/>
    <w:panose1 w:val="00000000000000000000"/>
    <w:charset w:val="00"/>
    <w:family w:val="roman"/>
    <w:notTrueType/>
    <w:pitch w:val="default"/>
    <w:sig w:usb0="00000003" w:usb1="00000000" w:usb2="00000000" w:usb3="00000000" w:csb0="00000001" w:csb1="00000000"/>
  </w:font>
  <w:font w:name="MinionPro-Regular">
    <w:altName w:val="Cambria"/>
    <w:panose1 w:val="00000000000000000000"/>
    <w:charset w:val="A1"/>
    <w:family w:val="roman"/>
    <w:notTrueType/>
    <w:pitch w:val="default"/>
    <w:sig w:usb0="00000081" w:usb1="00000000" w:usb2="00000000" w:usb3="00000000" w:csb0="00000008" w:csb1="00000000"/>
  </w:font>
  <w:font w:name="MinionPro-It">
    <w:altName w:val="Cambria"/>
    <w:panose1 w:val="00000000000000000000"/>
    <w:charset w:val="00"/>
    <w:family w:val="roman"/>
    <w:notTrueType/>
    <w:pitch w:val="default"/>
    <w:sig w:usb0="00000003" w:usb1="00000000" w:usb2="00000000" w:usb3="00000000" w:csb0="00000001" w:csb1="00000000"/>
  </w:font>
  <w:font w:name="MyriadPro-SemiCn">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47FB2"/>
    <w:multiLevelType w:val="hybridMultilevel"/>
    <w:tmpl w:val="C630B6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AC332E1"/>
    <w:multiLevelType w:val="hybridMultilevel"/>
    <w:tmpl w:val="40FA0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3449881">
    <w:abstractNumId w:val="0"/>
  </w:num>
  <w:num w:numId="2" w16cid:durableId="161474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E4"/>
    <w:rsid w:val="0022453F"/>
    <w:rsid w:val="0028620E"/>
    <w:rsid w:val="00870121"/>
    <w:rsid w:val="008952F4"/>
    <w:rsid w:val="009F5196"/>
    <w:rsid w:val="00B111F1"/>
    <w:rsid w:val="00D57B64"/>
    <w:rsid w:val="00D7276C"/>
    <w:rsid w:val="00E02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3520"/>
  <w15:chartTrackingRefBased/>
  <w15:docId w15:val="{7BDD817C-D877-4A49-A08B-36174B4A5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4E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02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4E4"/>
    <w:rPr>
      <w:rFonts w:eastAsiaTheme="majorEastAsia" w:cstheme="majorBidi"/>
      <w:color w:val="272727" w:themeColor="text1" w:themeTint="D8"/>
    </w:rPr>
  </w:style>
  <w:style w:type="paragraph" w:styleId="Title">
    <w:name w:val="Title"/>
    <w:basedOn w:val="Normal"/>
    <w:next w:val="Normal"/>
    <w:link w:val="TitleChar"/>
    <w:uiPriority w:val="10"/>
    <w:qFormat/>
    <w:rsid w:val="00E02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4E4"/>
    <w:pPr>
      <w:spacing w:before="160"/>
      <w:jc w:val="center"/>
    </w:pPr>
    <w:rPr>
      <w:i/>
      <w:iCs/>
      <w:color w:val="404040" w:themeColor="text1" w:themeTint="BF"/>
    </w:rPr>
  </w:style>
  <w:style w:type="character" w:customStyle="1" w:styleId="QuoteChar">
    <w:name w:val="Quote Char"/>
    <w:basedOn w:val="DefaultParagraphFont"/>
    <w:link w:val="Quote"/>
    <w:uiPriority w:val="29"/>
    <w:rsid w:val="00E024E4"/>
    <w:rPr>
      <w:i/>
      <w:iCs/>
      <w:color w:val="404040" w:themeColor="text1" w:themeTint="BF"/>
    </w:rPr>
  </w:style>
  <w:style w:type="paragraph" w:styleId="ListParagraph">
    <w:name w:val="List Paragraph"/>
    <w:basedOn w:val="Normal"/>
    <w:uiPriority w:val="34"/>
    <w:qFormat/>
    <w:rsid w:val="00E024E4"/>
    <w:pPr>
      <w:ind w:left="720"/>
      <w:contextualSpacing/>
    </w:pPr>
  </w:style>
  <w:style w:type="character" w:styleId="IntenseEmphasis">
    <w:name w:val="Intense Emphasis"/>
    <w:basedOn w:val="DefaultParagraphFont"/>
    <w:uiPriority w:val="21"/>
    <w:qFormat/>
    <w:rsid w:val="00E024E4"/>
    <w:rPr>
      <w:i/>
      <w:iCs/>
      <w:color w:val="0F4761" w:themeColor="accent1" w:themeShade="BF"/>
    </w:rPr>
  </w:style>
  <w:style w:type="paragraph" w:styleId="IntenseQuote">
    <w:name w:val="Intense Quote"/>
    <w:basedOn w:val="Normal"/>
    <w:next w:val="Normal"/>
    <w:link w:val="IntenseQuoteChar"/>
    <w:uiPriority w:val="30"/>
    <w:qFormat/>
    <w:rsid w:val="00E02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4E4"/>
    <w:rPr>
      <w:i/>
      <w:iCs/>
      <w:color w:val="0F4761" w:themeColor="accent1" w:themeShade="BF"/>
    </w:rPr>
  </w:style>
  <w:style w:type="character" w:styleId="IntenseReference">
    <w:name w:val="Intense Reference"/>
    <w:basedOn w:val="DefaultParagraphFont"/>
    <w:uiPriority w:val="32"/>
    <w:qFormat/>
    <w:rsid w:val="00E02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1340</Words>
  <Characters>7641</Characters>
  <Application>Microsoft Office Word</Application>
  <DocSecurity>0</DocSecurity>
  <Lines>63</Lines>
  <Paragraphs>17</Paragraphs>
  <ScaleCrop>false</ScaleCrop>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Truskett, Harve A</dc:creator>
  <cp:keywords/>
  <dc:description/>
  <cp:lastModifiedBy>Truskett, Harve A</cp:lastModifiedBy>
  <cp:revision>1</cp:revision>
  <dcterms:created xsi:type="dcterms:W3CDTF">2026-09-10T22:44:00Z</dcterms:created>
  <dcterms:modified xsi:type="dcterms:W3CDTF">2026-09-10T22:51:00Z</dcterms:modified>
</cp:coreProperties>
</file>