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1C8EB" w14:textId="580D22C7" w:rsidR="00237C74" w:rsidRPr="00C600E3" w:rsidRDefault="00237C74" w:rsidP="00237C74">
      <w:pPr>
        <w:spacing w:line="360" w:lineRule="auto"/>
        <w:ind w:right="720" w:firstLine="0"/>
        <w:rPr>
          <w:rFonts w:ascii="Garamond" w:hAnsi="Garamond"/>
        </w:rPr>
      </w:pPr>
      <w:r w:rsidRPr="00426E25">
        <w:rPr>
          <w:rFonts w:ascii="Garamond" w:hAnsi="Garamond"/>
          <w:sz w:val="26"/>
          <w:szCs w:val="26"/>
        </w:rPr>
        <w:t xml:space="preserve">A person </w:t>
      </w:r>
      <w:r w:rsidR="00573F72">
        <w:rPr>
          <w:rFonts w:ascii="Garamond" w:hAnsi="Garamond"/>
          <w:sz w:val="26"/>
          <w:szCs w:val="26"/>
        </w:rPr>
        <w:t xml:space="preserve">(1) </w:t>
      </w:r>
      <w:r w:rsidRPr="00426E25">
        <w:rPr>
          <w:rFonts w:ascii="Garamond" w:hAnsi="Garamond"/>
          <w:sz w:val="26"/>
          <w:szCs w:val="26"/>
        </w:rPr>
        <w:t xml:space="preserve">who sees a red traffic light and </w:t>
      </w:r>
      <w:r>
        <w:rPr>
          <w:rFonts w:ascii="Garamond" w:hAnsi="Garamond"/>
          <w:sz w:val="26"/>
          <w:szCs w:val="26"/>
        </w:rPr>
        <w:t xml:space="preserve">(2) </w:t>
      </w:r>
      <w:r w:rsidRPr="00426E25">
        <w:rPr>
          <w:rFonts w:ascii="Garamond" w:hAnsi="Garamond"/>
          <w:sz w:val="26"/>
          <w:szCs w:val="26"/>
        </w:rPr>
        <w:t xml:space="preserve">fails to stop </w:t>
      </w:r>
      <w:r>
        <w:rPr>
          <w:rFonts w:ascii="Garamond" w:hAnsi="Garamond"/>
          <w:sz w:val="26"/>
          <w:szCs w:val="26"/>
        </w:rPr>
        <w:t xml:space="preserve">(3) </w:t>
      </w:r>
      <w:r w:rsidRPr="00426E25">
        <w:rPr>
          <w:rFonts w:ascii="Garamond" w:hAnsi="Garamond"/>
          <w:sz w:val="26"/>
          <w:szCs w:val="26"/>
        </w:rPr>
        <w:t>in the City of Houston shall be fined $150.00.</w:t>
      </w:r>
      <w:r>
        <w:rPr>
          <w:rFonts w:ascii="Garamond" w:hAnsi="Garamond"/>
          <w:sz w:val="26"/>
          <w:szCs w:val="26"/>
        </w:rPr>
        <w:t xml:space="preserve"> </w:t>
      </w:r>
      <w:r w:rsidRPr="00985BAC">
        <w:rPr>
          <w:rFonts w:ascii="Garamond" w:hAnsi="Garamond"/>
          <w:sz w:val="26"/>
          <w:szCs w:val="26"/>
        </w:rPr>
        <w:t>HMC § 46.333</w:t>
      </w:r>
      <w:r>
        <w:rPr>
          <w:rFonts w:ascii="Garamond" w:hAnsi="Garamond"/>
          <w:sz w:val="26"/>
          <w:szCs w:val="26"/>
        </w:rPr>
        <w:t xml:space="preserve">. A driver “fails to stop” under the statue even if they initially stop but fail to remain stopped during the duration of the red light. </w:t>
      </w:r>
      <w:r w:rsidRPr="00BD2A0E">
        <w:rPr>
          <w:rFonts w:ascii="Garamond" w:hAnsi="Garamond"/>
          <w:i/>
          <w:iCs/>
          <w:sz w:val="26"/>
          <w:szCs w:val="26"/>
        </w:rPr>
        <w:t>Blue.</w:t>
      </w:r>
      <w:r>
        <w:rPr>
          <w:rFonts w:ascii="Garamond" w:hAnsi="Garamond"/>
          <w:sz w:val="26"/>
          <w:szCs w:val="26"/>
        </w:rPr>
        <w:t xml:space="preserve"> </w:t>
      </w:r>
      <w:r w:rsidR="00916F92">
        <w:rPr>
          <w:rFonts w:ascii="Garamond" w:hAnsi="Garamond"/>
          <w:sz w:val="26"/>
          <w:szCs w:val="26"/>
        </w:rPr>
        <w:t>The driver’s intention</w:t>
      </w:r>
      <w:r>
        <w:rPr>
          <w:rFonts w:ascii="Garamond" w:hAnsi="Garamond"/>
          <w:sz w:val="26"/>
          <w:szCs w:val="26"/>
        </w:rPr>
        <w:t xml:space="preserve"> to stop or remain stopped is not relevant, only a driver that actually</w:t>
      </w:r>
      <w:r w:rsidR="00754050">
        <w:rPr>
          <w:rFonts w:ascii="Garamond" w:hAnsi="Garamond"/>
          <w:sz w:val="26"/>
          <w:szCs w:val="26"/>
        </w:rPr>
        <w:t xml:space="preserve"> </w:t>
      </w:r>
      <w:r>
        <w:rPr>
          <w:rFonts w:ascii="Garamond" w:hAnsi="Garamond"/>
          <w:sz w:val="26"/>
          <w:szCs w:val="26"/>
        </w:rPr>
        <w:t xml:space="preserve">stops and remains stopped has complied with the statute. </w:t>
      </w:r>
      <w:r w:rsidRPr="00BD2A0E">
        <w:rPr>
          <w:rFonts w:ascii="Garamond" w:hAnsi="Garamond"/>
          <w:i/>
          <w:iCs/>
          <w:sz w:val="26"/>
          <w:szCs w:val="26"/>
        </w:rPr>
        <w:t>Id.</w:t>
      </w:r>
      <w:r>
        <w:rPr>
          <w:rFonts w:ascii="Garamond" w:hAnsi="Garamond"/>
          <w:sz w:val="26"/>
          <w:szCs w:val="26"/>
        </w:rPr>
        <w:t xml:space="preserve"> Courts have recognized several limited exceptions to that statute. </w:t>
      </w:r>
      <w:r w:rsidRPr="00D6082C">
        <w:rPr>
          <w:rFonts w:ascii="Garamond" w:hAnsi="Garamond"/>
          <w:i/>
          <w:iCs/>
          <w:sz w:val="26"/>
          <w:szCs w:val="26"/>
        </w:rPr>
        <w:t>Green</w:t>
      </w:r>
      <w:r>
        <w:rPr>
          <w:rFonts w:ascii="Garamond" w:hAnsi="Garamond"/>
          <w:sz w:val="26"/>
          <w:szCs w:val="26"/>
        </w:rPr>
        <w:t xml:space="preserve">; </w:t>
      </w:r>
      <w:r w:rsidRPr="00D6082C">
        <w:rPr>
          <w:rFonts w:ascii="Garamond" w:hAnsi="Garamond"/>
          <w:i/>
          <w:iCs/>
          <w:sz w:val="26"/>
          <w:szCs w:val="26"/>
        </w:rPr>
        <w:t>Purple</w:t>
      </w:r>
      <w:r>
        <w:rPr>
          <w:rFonts w:ascii="Garamond" w:hAnsi="Garamond"/>
          <w:sz w:val="26"/>
          <w:szCs w:val="26"/>
        </w:rPr>
        <w:t xml:space="preserve">. If a driver reasonably believes that stopping at the red light creates an actual and imminent risk of </w:t>
      </w:r>
      <w:r w:rsidR="004266DD">
        <w:rPr>
          <w:rFonts w:ascii="Garamond" w:hAnsi="Garamond"/>
          <w:sz w:val="26"/>
          <w:szCs w:val="26"/>
        </w:rPr>
        <w:t xml:space="preserve">(1) </w:t>
      </w:r>
      <w:r w:rsidRPr="00C23FB8">
        <w:rPr>
          <w:rFonts w:ascii="Garamond" w:hAnsi="Garamond"/>
        </w:rPr>
        <w:t>disrupt</w:t>
      </w:r>
      <w:r>
        <w:rPr>
          <w:rFonts w:ascii="Garamond" w:hAnsi="Garamond"/>
        </w:rPr>
        <w:t>ing</w:t>
      </w:r>
      <w:r w:rsidRPr="00C23FB8">
        <w:rPr>
          <w:rFonts w:ascii="Garamond" w:hAnsi="Garamond"/>
        </w:rPr>
        <w:t xml:space="preserve"> traffic flow</w:t>
      </w:r>
      <w:r w:rsidR="004266DD">
        <w:rPr>
          <w:rFonts w:ascii="Garamond" w:hAnsi="Garamond"/>
        </w:rPr>
        <w:t xml:space="preserve"> or </w:t>
      </w:r>
      <w:r>
        <w:rPr>
          <w:rFonts w:ascii="Garamond" w:hAnsi="Garamond"/>
        </w:rPr>
        <w:t>endangering public</w:t>
      </w:r>
      <w:r w:rsidRPr="00C23FB8">
        <w:rPr>
          <w:rFonts w:ascii="Garamond" w:hAnsi="Garamond"/>
        </w:rPr>
        <w:t xml:space="preserve"> safety</w:t>
      </w:r>
      <w:r>
        <w:rPr>
          <w:rFonts w:ascii="Garamond" w:hAnsi="Garamond"/>
        </w:rPr>
        <w:t xml:space="preserve">, or </w:t>
      </w:r>
      <w:r w:rsidR="004266DD">
        <w:rPr>
          <w:rFonts w:ascii="Garamond" w:hAnsi="Garamond"/>
        </w:rPr>
        <w:t xml:space="preserve">(2) </w:t>
      </w:r>
      <w:r>
        <w:rPr>
          <w:rFonts w:ascii="Garamond" w:hAnsi="Garamond"/>
        </w:rPr>
        <w:t xml:space="preserve">endangering the personal safety of the driver or </w:t>
      </w:r>
      <w:r w:rsidR="0095239F">
        <w:rPr>
          <w:rFonts w:ascii="Garamond" w:hAnsi="Garamond"/>
        </w:rPr>
        <w:t xml:space="preserve">a </w:t>
      </w:r>
      <w:r>
        <w:rPr>
          <w:rFonts w:ascii="Garamond" w:hAnsi="Garamond"/>
        </w:rPr>
        <w:t>passenger of the vehicle, failure to stop at the red li</w:t>
      </w:r>
      <w:r w:rsidR="00E4298F">
        <w:rPr>
          <w:rFonts w:ascii="Garamond" w:hAnsi="Garamond"/>
        </w:rPr>
        <w:t>ght</w:t>
      </w:r>
      <w:r>
        <w:rPr>
          <w:rFonts w:ascii="Garamond" w:hAnsi="Garamond"/>
        </w:rPr>
        <w:t xml:space="preserve"> is not a violation of </w:t>
      </w:r>
      <w:r w:rsidRPr="00985BAC">
        <w:rPr>
          <w:rFonts w:ascii="Garamond" w:hAnsi="Garamond"/>
          <w:sz w:val="26"/>
          <w:szCs w:val="26"/>
        </w:rPr>
        <w:t>HMC § 46.333</w:t>
      </w:r>
      <w:r>
        <w:rPr>
          <w:rFonts w:ascii="Garamond" w:hAnsi="Garamond"/>
        </w:rPr>
        <w:t xml:space="preserve">. </w:t>
      </w:r>
      <w:r w:rsidRPr="00513F51">
        <w:rPr>
          <w:rFonts w:ascii="Garamond" w:hAnsi="Garamond"/>
          <w:i/>
          <w:iCs/>
        </w:rPr>
        <w:t>Purple</w:t>
      </w:r>
      <w:r>
        <w:rPr>
          <w:rFonts w:ascii="Garamond" w:hAnsi="Garamond"/>
          <w:i/>
          <w:iCs/>
        </w:rPr>
        <w:t xml:space="preserve">. </w:t>
      </w:r>
      <w:r w:rsidR="008F1ABC">
        <w:rPr>
          <w:rFonts w:ascii="Garamond" w:hAnsi="Garamond"/>
        </w:rPr>
        <w:t>E</w:t>
      </w:r>
      <w:r>
        <w:rPr>
          <w:rFonts w:ascii="Garamond" w:hAnsi="Garamond"/>
        </w:rPr>
        <w:t xml:space="preserve">ntering intersection under a yellow light in heavy traffic </w:t>
      </w:r>
      <w:r w:rsidR="008F1ABC">
        <w:rPr>
          <w:rFonts w:ascii="Garamond" w:hAnsi="Garamond"/>
        </w:rPr>
        <w:t xml:space="preserve">to simply “follow the flow of traffic” </w:t>
      </w:r>
      <w:r>
        <w:rPr>
          <w:rFonts w:ascii="Garamond" w:hAnsi="Garamond"/>
        </w:rPr>
        <w:t xml:space="preserve">only to get caught </w:t>
      </w:r>
      <w:r w:rsidR="00927857">
        <w:rPr>
          <w:rFonts w:ascii="Garamond" w:hAnsi="Garamond"/>
        </w:rPr>
        <w:t xml:space="preserve">intersection </w:t>
      </w:r>
      <w:r>
        <w:rPr>
          <w:rFonts w:ascii="Garamond" w:hAnsi="Garamond"/>
        </w:rPr>
        <w:t xml:space="preserve">as the light changed to red is a violation of the statute absent such actual and imminent risks. </w:t>
      </w:r>
      <w:r w:rsidRPr="00B20981">
        <w:rPr>
          <w:rFonts w:ascii="Garamond" w:hAnsi="Garamond"/>
          <w:i/>
          <w:iCs/>
        </w:rPr>
        <w:t>Green</w:t>
      </w:r>
      <w:r w:rsidR="00754050">
        <w:rPr>
          <w:rFonts w:ascii="Garamond" w:hAnsi="Garamond"/>
          <w:i/>
          <w:iCs/>
        </w:rPr>
        <w:t>.</w:t>
      </w:r>
      <w:r>
        <w:rPr>
          <w:rFonts w:ascii="Garamond" w:hAnsi="Garamond"/>
        </w:rPr>
        <w:t xml:space="preserve"> </w:t>
      </w:r>
    </w:p>
    <w:p w14:paraId="021B1492" w14:textId="77777777" w:rsidR="00870121" w:rsidRDefault="00870121"/>
    <w:sectPr w:rsidR="00870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74"/>
    <w:rsid w:val="0022453F"/>
    <w:rsid w:val="002279DB"/>
    <w:rsid w:val="00234245"/>
    <w:rsid w:val="00237C74"/>
    <w:rsid w:val="0028620E"/>
    <w:rsid w:val="0041202F"/>
    <w:rsid w:val="004266DD"/>
    <w:rsid w:val="00573F72"/>
    <w:rsid w:val="00754050"/>
    <w:rsid w:val="00870121"/>
    <w:rsid w:val="008952F4"/>
    <w:rsid w:val="008F1ABC"/>
    <w:rsid w:val="00916F92"/>
    <w:rsid w:val="00927857"/>
    <w:rsid w:val="0095239F"/>
    <w:rsid w:val="009F5196"/>
    <w:rsid w:val="00B111F1"/>
    <w:rsid w:val="00D57B64"/>
    <w:rsid w:val="00D7276C"/>
    <w:rsid w:val="00E4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47C2F"/>
  <w15:chartTrackingRefBased/>
  <w15:docId w15:val="{3ED03CD1-3F59-4C89-8363-5C7C4A91C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C74"/>
    <w:pPr>
      <w:spacing w:after="240" w:line="480" w:lineRule="auto"/>
      <w:ind w:firstLine="720"/>
      <w:contextualSpacing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7C74"/>
    <w:pPr>
      <w:keepNext/>
      <w:keepLines/>
      <w:spacing w:before="360" w:after="80" w:line="278" w:lineRule="auto"/>
      <w:ind w:firstLine="0"/>
      <w:contextualSpacing w:val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C74"/>
    <w:pPr>
      <w:keepNext/>
      <w:keepLines/>
      <w:spacing w:before="160" w:after="80" w:line="278" w:lineRule="auto"/>
      <w:ind w:firstLine="0"/>
      <w:contextualSpacing w:val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C74"/>
    <w:pPr>
      <w:keepNext/>
      <w:keepLines/>
      <w:spacing w:before="160" w:after="80" w:line="278" w:lineRule="auto"/>
      <w:ind w:firstLine="0"/>
      <w:contextualSpacing w:val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C74"/>
    <w:pPr>
      <w:keepNext/>
      <w:keepLines/>
      <w:spacing w:before="80" w:after="40" w:line="278" w:lineRule="auto"/>
      <w:ind w:firstLine="0"/>
      <w:contextualSpacing w:val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C74"/>
    <w:pPr>
      <w:keepNext/>
      <w:keepLines/>
      <w:spacing w:before="80" w:after="40" w:line="278" w:lineRule="auto"/>
      <w:ind w:firstLine="0"/>
      <w:contextualSpacing w:val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C74"/>
    <w:pPr>
      <w:keepNext/>
      <w:keepLines/>
      <w:spacing w:before="40" w:after="0" w:line="278" w:lineRule="auto"/>
      <w:ind w:firstLine="0"/>
      <w:contextualSpacing w:val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C74"/>
    <w:pPr>
      <w:keepNext/>
      <w:keepLines/>
      <w:spacing w:before="40" w:after="0" w:line="278" w:lineRule="auto"/>
      <w:ind w:firstLine="0"/>
      <w:contextualSpacing w:val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C74"/>
    <w:pPr>
      <w:keepNext/>
      <w:keepLines/>
      <w:spacing w:after="0" w:line="278" w:lineRule="auto"/>
      <w:ind w:firstLine="0"/>
      <w:contextualSpacing w:val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C74"/>
    <w:pPr>
      <w:keepNext/>
      <w:keepLines/>
      <w:spacing w:after="0" w:line="278" w:lineRule="auto"/>
      <w:ind w:firstLine="0"/>
      <w:contextualSpacing w:val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C74"/>
    <w:pPr>
      <w:spacing w:after="80" w:line="240" w:lineRule="auto"/>
      <w:ind w:firstLine="0"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C74"/>
    <w:pPr>
      <w:numPr>
        <w:ilvl w:val="1"/>
      </w:numPr>
      <w:spacing w:after="160" w:line="278" w:lineRule="auto"/>
      <w:ind w:firstLine="720"/>
      <w:contextualSpacing w:val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C74"/>
    <w:pPr>
      <w:spacing w:before="160" w:after="160" w:line="278" w:lineRule="auto"/>
      <w:ind w:firstLine="0"/>
      <w:contextualSpacing w:val="0"/>
      <w:jc w:val="center"/>
    </w:pPr>
    <w:rPr>
      <w:rFonts w:asciiTheme="minorHAnsi" w:hAnsiTheme="minorHAnsi"/>
      <w:i/>
      <w:iCs/>
      <w:color w:val="404040" w:themeColor="text1" w:themeTint="BF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37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C74"/>
    <w:pPr>
      <w:spacing w:after="160" w:line="278" w:lineRule="auto"/>
      <w:ind w:left="720" w:firstLine="0"/>
      <w:jc w:val="left"/>
    </w:pPr>
    <w:rPr>
      <w:rFonts w:asciiTheme="minorHAnsi" w:hAnsiTheme="minorHAnsi"/>
      <w:szCs w:val="24"/>
    </w:rPr>
  </w:style>
  <w:style w:type="character" w:styleId="IntenseEmphasis">
    <w:name w:val="Intense Emphasis"/>
    <w:basedOn w:val="DefaultParagraphFont"/>
    <w:uiPriority w:val="21"/>
    <w:qFormat/>
    <w:rsid w:val="00237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contextualSpacing w:val="0"/>
      <w:jc w:val="center"/>
    </w:pPr>
    <w:rPr>
      <w:rFonts w:asciiTheme="minorHAnsi" w:hAnsiTheme="minorHAnsi"/>
      <w:i/>
      <w:iCs/>
      <w:color w:val="0F4761" w:themeColor="accent1" w:themeShade="BF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Truskett, Harve A</dc:creator>
  <cp:keywords/>
  <dc:description/>
  <cp:lastModifiedBy>Truskett, Harve A</cp:lastModifiedBy>
  <cp:revision>11</cp:revision>
  <dcterms:created xsi:type="dcterms:W3CDTF">2026-09-09T23:15:00Z</dcterms:created>
  <dcterms:modified xsi:type="dcterms:W3CDTF">2026-09-10T22:28:00Z</dcterms:modified>
</cp:coreProperties>
</file>