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1DC6" w14:textId="77777777" w:rsidR="00A04AEA" w:rsidRDefault="00270342">
      <w:pPr>
        <w:spacing w:after="160"/>
      </w:pPr>
      <w:r>
        <w:rPr>
          <w:sz w:val="36"/>
        </w:rPr>
        <w:t>Research Exercise 4: Citators and Case Law Research</w:t>
      </w:r>
    </w:p>
    <w:p w14:paraId="137EE590" w14:textId="77777777" w:rsidR="00A04AEA" w:rsidRDefault="00270342">
      <w:r>
        <w:t xml:space="preserve">Your statutory research identified the habitation issue raised by the Bennett/Glass facts. We are now going to use case law to deepen that research. </w:t>
      </w:r>
      <w:r>
        <w:rPr>
          <w:b/>
        </w:rPr>
        <w:t>For this exercise, use Westlaw.</w:t>
      </w:r>
    </w:p>
    <w:p w14:paraId="0639745F" w14:textId="77777777" w:rsidR="00A04AEA" w:rsidRDefault="00270342">
      <w:pPr>
        <w:spacing w:after="140"/>
      </w:pPr>
      <w:r>
        <w:t>Your focus is not simply finding more cases. You will use a citator both to evaluate authority you already have and to find additional authority that may be more useful for your analysis.</w:t>
      </w:r>
    </w:p>
    <w:p w14:paraId="653216AF" w14:textId="77777777" w:rsidR="00A04AEA" w:rsidRDefault="00270342">
      <w:pPr>
        <w:keepNext/>
        <w:spacing w:before="100" w:after="80"/>
      </w:pPr>
      <w:r>
        <w:rPr>
          <w:b/>
        </w:rPr>
        <w:t>Part A — Know What You Are Looking For</w:t>
      </w:r>
    </w:p>
    <w:p w14:paraId="1F91EB96" w14:textId="46E707BD" w:rsidR="00A04AEA" w:rsidRDefault="00270342" w:rsidP="00C4566B">
      <w:r>
        <w:t>Before opening Westlaw, return to the Bennett/Glass facts. Bennett modified her Yukon for sleeping but continued to use it for ordinary transportation.</w:t>
      </w:r>
      <w:r w:rsidR="00F03651">
        <w:t xml:space="preserve"> Now look at the relevant burglary statute, Tex. Penal Code §</w:t>
      </w:r>
      <w:r w:rsidR="00483708">
        <w:t xml:space="preserve"> 30.02. </w:t>
      </w:r>
      <w:r w:rsidR="00294456">
        <w:t xml:space="preserve">Look around that section of the code by checking Westlaw’s table of contents to review surrounding statutory provisions. Do any of them define “habitation” as that term is used in </w:t>
      </w:r>
      <w:r w:rsidR="00913EEB">
        <w:t>§ 30.02?</w:t>
      </w:r>
    </w:p>
    <w:p w14:paraId="3C078ED7" w14:textId="0D0B0A41" w:rsidR="00A04AEA" w:rsidRDefault="00B75F5F">
      <w:pPr>
        <w:keepLines/>
        <w:spacing w:after="60"/>
      </w:pPr>
      <w:r>
        <w:rPr>
          <w:sz w:val="20"/>
        </w:rPr>
        <w:t>_____________________________________</w:t>
      </w:r>
      <w:r w:rsidR="00270342">
        <w:rPr>
          <w:sz w:val="20"/>
        </w:rPr>
        <w:t>________________________________________________________________________________</w:t>
      </w:r>
    </w:p>
    <w:p w14:paraId="54BDAADC" w14:textId="79E8CF8D" w:rsidR="00A04AEA" w:rsidRDefault="00270342">
      <w:pPr>
        <w:pStyle w:val="ListParagraph"/>
        <w:ind w:left="360" w:hanging="360"/>
      </w:pPr>
      <w:r>
        <w:t xml:space="preserve">2. </w:t>
      </w:r>
      <w:r w:rsidR="006276AE">
        <w:t>If so, is the statutory definition the end of your inquiry? Why or why not?</w:t>
      </w:r>
    </w:p>
    <w:p w14:paraId="160A5B75" w14:textId="77777777" w:rsidR="00B75F5F" w:rsidRDefault="00B75F5F" w:rsidP="00B75F5F">
      <w:pPr>
        <w:keepLines/>
        <w:spacing w:after="60"/>
      </w:pPr>
      <w:r>
        <w:rPr>
          <w:sz w:val="20"/>
        </w:rPr>
        <w:t>_____________________________________________________________________________________________________________________</w:t>
      </w:r>
    </w:p>
    <w:p w14:paraId="26635B04" w14:textId="77777777" w:rsidR="00B75F5F" w:rsidRDefault="00B75F5F" w:rsidP="00B75F5F">
      <w:pPr>
        <w:keepLines/>
        <w:spacing w:after="60"/>
      </w:pPr>
      <w:r>
        <w:rPr>
          <w:sz w:val="20"/>
        </w:rPr>
        <w:t>_____________________________________________________________________________________________________________________</w:t>
      </w:r>
    </w:p>
    <w:p w14:paraId="566C1F42" w14:textId="66E3ABA4" w:rsidR="00A04AEA" w:rsidRDefault="00270342">
      <w:r>
        <w:rPr>
          <w:b/>
        </w:rPr>
        <w:t xml:space="preserve">Do not search yet. By the time you </w:t>
      </w:r>
      <w:r w:rsidR="003A4EF1">
        <w:rPr>
          <w:b/>
        </w:rPr>
        <w:t>begin</w:t>
      </w:r>
      <w:r>
        <w:rPr>
          <w:b/>
        </w:rPr>
        <w:t xml:space="preserve"> case-law research, you should have a clear idea what you need a case to do for your analysis.</w:t>
      </w:r>
    </w:p>
    <w:p w14:paraId="53099AA6" w14:textId="77777777" w:rsidR="00B75F5F" w:rsidRDefault="00B75F5F">
      <w:pPr>
        <w:keepNext/>
        <w:spacing w:before="100" w:after="80"/>
        <w:rPr>
          <w:b/>
        </w:rPr>
      </w:pPr>
    </w:p>
    <w:p w14:paraId="0CF81054" w14:textId="3E4EDE01" w:rsidR="00A04AEA" w:rsidRDefault="00270342">
      <w:pPr>
        <w:keepNext/>
        <w:spacing w:before="100" w:after="80"/>
        <w:rPr>
          <w:b/>
        </w:rPr>
      </w:pPr>
      <w:r>
        <w:rPr>
          <w:b/>
        </w:rPr>
        <w:t xml:space="preserve">Part B — </w:t>
      </w:r>
      <w:r w:rsidR="005547D2">
        <w:rPr>
          <w:b/>
        </w:rPr>
        <w:t xml:space="preserve">Identify a </w:t>
      </w:r>
      <w:r>
        <w:rPr>
          <w:b/>
        </w:rPr>
        <w:t>Good Case</w:t>
      </w:r>
    </w:p>
    <w:p w14:paraId="260B54B0" w14:textId="468664EE" w:rsidR="00E95C54" w:rsidRDefault="005A3D26">
      <w:pPr>
        <w:keepNext/>
        <w:spacing w:before="100" w:after="80"/>
        <w:rPr>
          <w:bCs/>
        </w:rPr>
      </w:pPr>
      <w:r>
        <w:rPr>
          <w:bCs/>
        </w:rPr>
        <w:t>For today’s exercise, begin with</w:t>
      </w:r>
      <w:r w:rsidR="00E95C54">
        <w:rPr>
          <w:bCs/>
        </w:rPr>
        <w:t xml:space="preserve"> </w:t>
      </w:r>
      <w:r w:rsidR="00E95C54">
        <w:rPr>
          <w:bCs/>
          <w:i/>
          <w:iCs/>
        </w:rPr>
        <w:t>Salazar v. State</w:t>
      </w:r>
      <w:r w:rsidR="00E95C54">
        <w:rPr>
          <w:bCs/>
        </w:rPr>
        <w:t xml:space="preserve">, </w:t>
      </w:r>
      <w:r w:rsidR="00EE38A0">
        <w:rPr>
          <w:bCs/>
        </w:rPr>
        <w:t>284 S.W.3d 874 (Tex. Crim. App. 2009).</w:t>
      </w:r>
    </w:p>
    <w:p w14:paraId="4F3DE686" w14:textId="77777777" w:rsidR="00EE38A0" w:rsidRPr="00E95C54" w:rsidRDefault="00EE38A0" w:rsidP="00EE38A0">
      <w:pPr>
        <w:keepNext/>
        <w:spacing w:after="0"/>
        <w:rPr>
          <w:bCs/>
        </w:rPr>
      </w:pPr>
    </w:p>
    <w:p w14:paraId="2965014A" w14:textId="5CC19493" w:rsidR="00EE38A0" w:rsidRDefault="00EE38A0" w:rsidP="00EE38A0">
      <w:pPr>
        <w:pStyle w:val="ListParagraph"/>
        <w:numPr>
          <w:ilvl w:val="0"/>
          <w:numId w:val="10"/>
        </w:numPr>
        <w:spacing w:after="0"/>
      </w:pPr>
      <w:r>
        <w:t>Review this case. Is it binding or persuasive authority?</w:t>
      </w:r>
      <w:r w:rsidR="00880480">
        <w:t xml:space="preserve"> </w:t>
      </w:r>
      <w:r w:rsidR="00C57F1B" w:rsidRPr="00C57F1B">
        <w:rPr>
          <w:color w:val="EE0000"/>
        </w:rPr>
        <w:t xml:space="preserve">Mandatory or </w:t>
      </w:r>
      <w:r w:rsidR="00880480" w:rsidRPr="00880480">
        <w:rPr>
          <w:color w:val="EE0000"/>
        </w:rPr>
        <w:t>Binding</w:t>
      </w:r>
    </w:p>
    <w:p w14:paraId="22EF4BB3" w14:textId="77777777" w:rsidR="00EE38A0" w:rsidRDefault="00EE38A0" w:rsidP="00EE38A0">
      <w:pPr>
        <w:keepLines/>
        <w:spacing w:before="240"/>
      </w:pPr>
      <w:r w:rsidRPr="001C5A84">
        <w:rPr>
          <w:sz w:val="20"/>
        </w:rPr>
        <w:t>_____________________________________________________________________________________________________________________</w:t>
      </w:r>
    </w:p>
    <w:p w14:paraId="5137E75F" w14:textId="2C6F038B" w:rsidR="00EE38A0" w:rsidRDefault="00EE38A0" w:rsidP="00EE38A0">
      <w:pPr>
        <w:pStyle w:val="ListParagraph"/>
        <w:numPr>
          <w:ilvl w:val="0"/>
          <w:numId w:val="10"/>
        </w:numPr>
        <w:spacing w:before="240"/>
      </w:pPr>
      <w:r>
        <w:t>Skim the case’s headnotes. Identify the headnote(s) most relevant to the habitation issue in Bennett/Glass. Record the headnote number(s). (</w:t>
      </w:r>
      <w:r>
        <w:rPr>
          <w:i/>
          <w:iCs/>
        </w:rPr>
        <w:t>Remember that headnotes are merely research tools, not the law. Read and rely only on the opinion itself).</w:t>
      </w:r>
      <w:r w:rsidR="00880480">
        <w:rPr>
          <w:i/>
          <w:iCs/>
        </w:rPr>
        <w:t xml:space="preserve"> </w:t>
      </w:r>
      <w:r w:rsidR="00880480" w:rsidRPr="00880480">
        <w:rPr>
          <w:color w:val="EE0000"/>
        </w:rPr>
        <w:t>Only headnote 1 is relevant here</w:t>
      </w:r>
    </w:p>
    <w:p w14:paraId="68B3FD14" w14:textId="77777777" w:rsidR="00EE38A0" w:rsidRDefault="00EE38A0" w:rsidP="00EE38A0">
      <w:pPr>
        <w:keepLines/>
        <w:spacing w:before="240" w:after="60"/>
      </w:pPr>
      <w:r>
        <w:rPr>
          <w:sz w:val="20"/>
        </w:rPr>
        <w:t>_____________________________________________________________________________________________________________________</w:t>
      </w:r>
    </w:p>
    <w:p w14:paraId="25721C70" w14:textId="77777777" w:rsidR="006E7671" w:rsidRDefault="00880480" w:rsidP="00880480">
      <w:pPr>
        <w:pStyle w:val="ListParagraph"/>
        <w:numPr>
          <w:ilvl w:val="0"/>
          <w:numId w:val="10"/>
        </w:numPr>
        <w:spacing w:before="240"/>
      </w:pPr>
      <w:r>
        <w:t xml:space="preserve">Click on </w:t>
      </w:r>
      <w:r w:rsidR="007316A0">
        <w:t xml:space="preserve">the relevant </w:t>
      </w:r>
      <w:r>
        <w:t xml:space="preserve">headnote </w:t>
      </w:r>
      <w:r w:rsidRPr="00157CB2">
        <w:rPr>
          <w:b/>
          <w:bCs/>
        </w:rPr>
        <w:t>number</w:t>
      </w:r>
      <w:r>
        <w:t xml:space="preserve">. This will take you to the corresponding portion of the opinion. Read it. What proposition or issue might this case help you with, and is there another case you think you probably should </w:t>
      </w:r>
      <w:proofErr w:type="gramStart"/>
      <w:r>
        <w:t>take a look</w:t>
      </w:r>
      <w:proofErr w:type="gramEnd"/>
      <w:r>
        <w:t xml:space="preserve"> at?</w:t>
      </w:r>
      <w:r w:rsidR="001C57F9">
        <w:t xml:space="preserve"> Don’t neglect the footnotes!</w:t>
      </w:r>
      <w:r>
        <w:t xml:space="preserve"> If so, record its citation.</w:t>
      </w:r>
      <w:r w:rsidR="000831A6">
        <w:t xml:space="preserve"> </w:t>
      </w:r>
    </w:p>
    <w:p w14:paraId="00872E32" w14:textId="77777777" w:rsidR="006E7671" w:rsidRDefault="006E7671" w:rsidP="006E7671">
      <w:pPr>
        <w:pStyle w:val="ListParagraph"/>
        <w:spacing w:before="240"/>
        <w:ind w:left="360"/>
      </w:pPr>
    </w:p>
    <w:p w14:paraId="0AAFCFBF" w14:textId="1217CF7C" w:rsidR="00880480" w:rsidRPr="00803EA9" w:rsidRDefault="00471269" w:rsidP="00404327">
      <w:pPr>
        <w:pStyle w:val="ListParagraph"/>
        <w:spacing w:before="240" w:after="0"/>
        <w:ind w:left="360"/>
        <w:rPr>
          <w:color w:val="EE0000"/>
        </w:rPr>
      </w:pPr>
      <w:r w:rsidRPr="00803EA9">
        <w:rPr>
          <w:color w:val="EE0000"/>
        </w:rPr>
        <w:t xml:space="preserve">Defines “adaptation for overnight accommodation of </w:t>
      </w:r>
      <w:r w:rsidR="001C57F9" w:rsidRPr="00803EA9">
        <w:rPr>
          <w:color w:val="EE0000"/>
        </w:rPr>
        <w:t>persons.”</w:t>
      </w:r>
      <w:r w:rsidR="006E7671" w:rsidRPr="00803EA9">
        <w:rPr>
          <w:color w:val="EE0000"/>
        </w:rPr>
        <w:t xml:space="preserve"> References </w:t>
      </w:r>
      <w:r w:rsidR="006E7671" w:rsidRPr="00803EA9">
        <w:rPr>
          <w:i/>
          <w:iCs/>
          <w:color w:val="EE0000"/>
        </w:rPr>
        <w:t>Blankenship v. State</w:t>
      </w:r>
      <w:r w:rsidR="006E7671" w:rsidRPr="00803EA9">
        <w:rPr>
          <w:color w:val="EE0000"/>
        </w:rPr>
        <w:t>, 780 S.W.2d 198, 209-10 (Tex. Crim. App. 1989)</w:t>
      </w:r>
      <w:r w:rsidR="007A4ADB" w:rsidRPr="00803EA9">
        <w:rPr>
          <w:color w:val="EE0000"/>
        </w:rPr>
        <w:t xml:space="preserve"> (identifying factors courts should consider when determining this question; notes </w:t>
      </w:r>
      <w:r w:rsidR="00803EA9" w:rsidRPr="00803EA9">
        <w:rPr>
          <w:color w:val="EE0000"/>
        </w:rPr>
        <w:t>none of the factors is essential or necessarily dispositive)</w:t>
      </w:r>
      <w:r w:rsidR="006E7671" w:rsidRPr="00803EA9">
        <w:rPr>
          <w:color w:val="EE0000"/>
        </w:rPr>
        <w:t>.</w:t>
      </w:r>
    </w:p>
    <w:p w14:paraId="4467B417" w14:textId="77777777" w:rsidR="00FC5934" w:rsidRDefault="00FC5934" w:rsidP="00FC5934">
      <w:pPr>
        <w:keepLines/>
        <w:spacing w:after="60"/>
      </w:pPr>
      <w:r>
        <w:rPr>
          <w:sz w:val="20"/>
        </w:rPr>
        <w:t>_____________________________________________________________________________________________________________________</w:t>
      </w:r>
    </w:p>
    <w:p w14:paraId="5974B224" w14:textId="77777777" w:rsidR="00FC5934" w:rsidRDefault="00FC5934" w:rsidP="00FC5934">
      <w:pPr>
        <w:keepLines/>
        <w:spacing w:after="60"/>
      </w:pPr>
      <w:r>
        <w:rPr>
          <w:sz w:val="20"/>
        </w:rPr>
        <w:t>_____________________________________________________________________________________________________________________</w:t>
      </w:r>
    </w:p>
    <w:p w14:paraId="2D17EE89" w14:textId="77777777" w:rsidR="00E95C54" w:rsidRDefault="00E95C54" w:rsidP="00FC5934">
      <w:pPr>
        <w:keepNext/>
        <w:spacing w:after="0"/>
        <w:rPr>
          <w:bCs/>
        </w:rPr>
      </w:pPr>
    </w:p>
    <w:p w14:paraId="0DD1811E" w14:textId="3D65E0F5" w:rsidR="00803EA9" w:rsidRDefault="00D57870" w:rsidP="00803EA9">
      <w:pPr>
        <w:pStyle w:val="ListParagraph"/>
        <w:keepNext/>
        <w:numPr>
          <w:ilvl w:val="0"/>
          <w:numId w:val="10"/>
        </w:numPr>
        <w:spacing w:before="100"/>
        <w:rPr>
          <w:bCs/>
        </w:rPr>
      </w:pPr>
      <w:r>
        <w:rPr>
          <w:bCs/>
        </w:rPr>
        <w:t xml:space="preserve">Which is better authority for you to dig into? </w:t>
      </w:r>
      <w:r>
        <w:rPr>
          <w:bCs/>
          <w:i/>
          <w:iCs/>
        </w:rPr>
        <w:t xml:space="preserve">Salazar </w:t>
      </w:r>
      <w:r>
        <w:rPr>
          <w:bCs/>
        </w:rPr>
        <w:t>or this new case? Why?</w:t>
      </w:r>
    </w:p>
    <w:p w14:paraId="1D625680" w14:textId="77777777" w:rsidR="00D57870" w:rsidRDefault="00D57870" w:rsidP="00D57870">
      <w:pPr>
        <w:keepLines/>
        <w:spacing w:before="240" w:after="60"/>
      </w:pPr>
      <w:r w:rsidRPr="00D57870">
        <w:rPr>
          <w:sz w:val="20"/>
        </w:rPr>
        <w:t>_____________________________________________________________________________________________________________________</w:t>
      </w:r>
    </w:p>
    <w:p w14:paraId="5FEBF9AC" w14:textId="13DDEDFD" w:rsidR="00D57870" w:rsidRPr="00404327" w:rsidRDefault="00404327" w:rsidP="00404327">
      <w:pPr>
        <w:keepNext/>
        <w:ind w:left="720"/>
        <w:rPr>
          <w:bCs/>
          <w:color w:val="EE0000"/>
        </w:rPr>
      </w:pPr>
      <w:r w:rsidRPr="00404327">
        <w:rPr>
          <w:bCs/>
          <w:color w:val="EE0000"/>
        </w:rPr>
        <w:lastRenderedPageBreak/>
        <w:t>Blankenship is the case that created the factors test; Salazar simply applied it.</w:t>
      </w:r>
    </w:p>
    <w:p w14:paraId="4DD16DD8" w14:textId="77777777" w:rsidR="005547D2" w:rsidRDefault="005547D2">
      <w:pPr>
        <w:keepNext/>
        <w:spacing w:before="100" w:after="80"/>
        <w:rPr>
          <w:bCs/>
        </w:rPr>
      </w:pPr>
    </w:p>
    <w:p w14:paraId="5E913139" w14:textId="77D43B55" w:rsidR="009251FB" w:rsidRPr="005A3D26" w:rsidRDefault="00C92E6D">
      <w:pPr>
        <w:keepNext/>
        <w:spacing w:before="100" w:after="80"/>
        <w:rPr>
          <w:bCs/>
        </w:rPr>
      </w:pPr>
      <w:r>
        <w:rPr>
          <w:b/>
        </w:rPr>
        <w:t xml:space="preserve">Part C — </w:t>
      </w:r>
      <w:r w:rsidR="00BB62D4">
        <w:rPr>
          <w:b/>
        </w:rPr>
        <w:t>Begin Research with the “Any Good Case” Method</w:t>
      </w:r>
    </w:p>
    <w:p w14:paraId="4006C902" w14:textId="124E48CF" w:rsidR="00575914" w:rsidRDefault="00F356A5" w:rsidP="00FC1F53">
      <w:pPr>
        <w:pStyle w:val="ListParagraph"/>
        <w:numPr>
          <w:ilvl w:val="0"/>
          <w:numId w:val="10"/>
        </w:numPr>
      </w:pPr>
      <w:r>
        <w:rPr>
          <w:bCs/>
        </w:rPr>
        <w:t xml:space="preserve">Locate </w:t>
      </w:r>
      <w:r>
        <w:rPr>
          <w:bCs/>
          <w:i/>
          <w:iCs/>
        </w:rPr>
        <w:t xml:space="preserve">Blankenship v. State </w:t>
      </w:r>
      <w:r>
        <w:rPr>
          <w:bCs/>
        </w:rPr>
        <w:t xml:space="preserve">on Westlaw (780 S.W.2d 198 (Tex. Crim. App. 1988). </w:t>
      </w:r>
      <w:r w:rsidR="00270342">
        <w:t xml:space="preserve">Skim </w:t>
      </w:r>
      <w:r w:rsidR="00AF3605">
        <w:t>the case’s</w:t>
      </w:r>
      <w:r w:rsidR="00270342">
        <w:t xml:space="preserve"> headnotes. Identify the headnote(s) most relevant to the habitation issue in Bennett/Glass. Record the headnote number(s).</w:t>
      </w:r>
      <w:r w:rsidR="00844ABE">
        <w:t xml:space="preserve"> (</w:t>
      </w:r>
      <w:r w:rsidR="00575914">
        <w:rPr>
          <w:i/>
          <w:iCs/>
        </w:rPr>
        <w:t>R</w:t>
      </w:r>
      <w:r w:rsidR="00844ABE">
        <w:rPr>
          <w:i/>
          <w:iCs/>
        </w:rPr>
        <w:t>emember that headnotes are merely research tools, not the law. Read and rely only on the opinion itself</w:t>
      </w:r>
      <w:r w:rsidR="00575914">
        <w:rPr>
          <w:i/>
          <w:iCs/>
        </w:rPr>
        <w:t>)</w:t>
      </w:r>
      <w:r w:rsidR="00844ABE">
        <w:rPr>
          <w:i/>
          <w:iCs/>
        </w:rPr>
        <w:t>.</w:t>
      </w:r>
      <w:r>
        <w:rPr>
          <w:i/>
          <w:iCs/>
        </w:rPr>
        <w:t xml:space="preserve"> </w:t>
      </w:r>
      <w:r w:rsidRPr="00F356A5">
        <w:rPr>
          <w:color w:val="EE0000"/>
        </w:rPr>
        <w:t>3, 4, and 6 (but 4 and 6 look the most promising)</w:t>
      </w:r>
    </w:p>
    <w:p w14:paraId="7D469D2D" w14:textId="77777777" w:rsidR="00B75F5F" w:rsidRDefault="00B75F5F" w:rsidP="00FC1F53">
      <w:pPr>
        <w:keepLines/>
        <w:spacing w:before="240" w:after="60"/>
      </w:pPr>
      <w:r>
        <w:rPr>
          <w:sz w:val="20"/>
        </w:rPr>
        <w:t>_____________________________________________________________________________________________________________________</w:t>
      </w:r>
    </w:p>
    <w:p w14:paraId="294F2C13" w14:textId="776C82FD" w:rsidR="00A04AEA" w:rsidRDefault="00242EC2" w:rsidP="00406998">
      <w:pPr>
        <w:pStyle w:val="ListParagraph"/>
        <w:numPr>
          <w:ilvl w:val="0"/>
          <w:numId w:val="10"/>
        </w:numPr>
      </w:pPr>
      <w:r>
        <w:t xml:space="preserve">Click on headnote </w:t>
      </w:r>
      <w:r w:rsidR="00157CB2" w:rsidRPr="00157CB2">
        <w:rPr>
          <w:b/>
          <w:bCs/>
        </w:rPr>
        <w:t>number</w:t>
      </w:r>
      <w:r w:rsidR="00F32136">
        <w:t xml:space="preserve"> 4.</w:t>
      </w:r>
      <w:r w:rsidR="00157CB2">
        <w:t xml:space="preserve"> This will take you to </w:t>
      </w:r>
      <w:r w:rsidR="00270342">
        <w:t xml:space="preserve">the corresponding portion of the opinion. </w:t>
      </w:r>
      <w:r w:rsidR="00157CB2">
        <w:t>Read it.</w:t>
      </w:r>
      <w:r w:rsidR="00DE02BB">
        <w:t xml:space="preserve"> </w:t>
      </w:r>
      <w:r w:rsidR="00270342">
        <w:t xml:space="preserve">What proposition or issue might </w:t>
      </w:r>
      <w:r w:rsidR="00195908">
        <w:t>this case</w:t>
      </w:r>
      <w:r w:rsidR="00270342">
        <w:t xml:space="preserve"> help you with</w:t>
      </w:r>
      <w:r w:rsidR="002F6981">
        <w:t xml:space="preserve">, and is there another case you think you </w:t>
      </w:r>
      <w:r w:rsidR="001D6A5B">
        <w:t xml:space="preserve">probably should </w:t>
      </w:r>
      <w:proofErr w:type="gramStart"/>
      <w:r w:rsidR="002F6981">
        <w:t>take a look</w:t>
      </w:r>
      <w:proofErr w:type="gramEnd"/>
      <w:r w:rsidR="002F6981">
        <w:t xml:space="preserve"> at</w:t>
      </w:r>
      <w:r w:rsidR="00270342">
        <w:t>?</w:t>
      </w:r>
      <w:r w:rsidR="00404EE3">
        <w:t xml:space="preserve"> If so, record its citation.</w:t>
      </w:r>
      <w:r w:rsidR="00425BCF">
        <w:t xml:space="preserve"> </w:t>
      </w:r>
      <w:r w:rsidR="00425BCF" w:rsidRPr="00803EA9">
        <w:rPr>
          <w:color w:val="EE0000"/>
        </w:rPr>
        <w:t>Defines “adaptation for overnight accommodation of persons.” References</w:t>
      </w:r>
      <w:r w:rsidR="00214F75">
        <w:rPr>
          <w:color w:val="EE0000"/>
        </w:rPr>
        <w:t xml:space="preserve"> </w:t>
      </w:r>
      <w:r w:rsidR="00214F75">
        <w:rPr>
          <w:i/>
          <w:iCs/>
          <w:color w:val="EE0000"/>
        </w:rPr>
        <w:t>Jones v. State</w:t>
      </w:r>
      <w:r w:rsidR="00214F75">
        <w:rPr>
          <w:color w:val="EE0000"/>
        </w:rPr>
        <w:t>, 532 S.W.2d 596 (Tex. Crim. App. 1976).</w:t>
      </w:r>
    </w:p>
    <w:p w14:paraId="1908B366" w14:textId="77777777" w:rsidR="00B75F5F" w:rsidRDefault="00B75F5F" w:rsidP="00B75F5F">
      <w:pPr>
        <w:keepLines/>
        <w:spacing w:after="60"/>
      </w:pPr>
      <w:r>
        <w:rPr>
          <w:sz w:val="20"/>
        </w:rPr>
        <w:t>_____________________________________________________________________________________________________________________</w:t>
      </w:r>
    </w:p>
    <w:p w14:paraId="7DD700AE" w14:textId="77777777" w:rsidR="00B75F5F" w:rsidRDefault="00B75F5F" w:rsidP="00B75F5F">
      <w:pPr>
        <w:keepLines/>
        <w:spacing w:after="60"/>
      </w:pPr>
      <w:r>
        <w:rPr>
          <w:sz w:val="20"/>
        </w:rPr>
        <w:t>_____________________________________________________________________________________________________________________</w:t>
      </w:r>
    </w:p>
    <w:p w14:paraId="1AFDAC44" w14:textId="77777777" w:rsidR="00FC5934" w:rsidRDefault="008369EA" w:rsidP="00C45041">
      <w:pPr>
        <w:pStyle w:val="ListParagraph"/>
        <w:numPr>
          <w:ilvl w:val="0"/>
          <w:numId w:val="10"/>
        </w:numPr>
        <w:rPr>
          <w:bCs/>
        </w:rPr>
      </w:pPr>
      <w:r>
        <w:rPr>
          <w:bCs/>
        </w:rPr>
        <w:t xml:space="preserve">Do you want to stick with </w:t>
      </w:r>
      <w:r w:rsidRPr="008369EA">
        <w:rPr>
          <w:bCs/>
        </w:rPr>
        <w:t>Blankenship</w:t>
      </w:r>
      <w:r>
        <w:rPr>
          <w:bCs/>
        </w:rPr>
        <w:t>, or jump to this new case?</w:t>
      </w:r>
      <w:r w:rsidR="00FC5934">
        <w:rPr>
          <w:bCs/>
        </w:rPr>
        <w:t xml:space="preserve"> Explain your answer.</w:t>
      </w:r>
    </w:p>
    <w:p w14:paraId="33A25A31" w14:textId="77777777" w:rsidR="00FC5934" w:rsidRDefault="00FC5934" w:rsidP="00FC5934">
      <w:pPr>
        <w:keepLines/>
        <w:spacing w:after="60"/>
      </w:pPr>
      <w:r w:rsidRPr="00FC5934">
        <w:rPr>
          <w:sz w:val="20"/>
        </w:rPr>
        <w:t>_____________________________________________________________________________________________________________________</w:t>
      </w:r>
    </w:p>
    <w:p w14:paraId="766AE164" w14:textId="77777777" w:rsidR="00FC5934" w:rsidRDefault="00FC5934" w:rsidP="00FC5934">
      <w:pPr>
        <w:keepLines/>
        <w:spacing w:after="60"/>
      </w:pPr>
      <w:r w:rsidRPr="00FC5934">
        <w:rPr>
          <w:sz w:val="20"/>
        </w:rPr>
        <w:t>_____________________________________________________________________________________________________________________</w:t>
      </w:r>
    </w:p>
    <w:p w14:paraId="27951D2B" w14:textId="6331FCDE" w:rsidR="00FC5934" w:rsidRPr="001223B9" w:rsidRDefault="00825631" w:rsidP="00FC5934">
      <w:pPr>
        <w:rPr>
          <w:bCs/>
          <w:color w:val="EE0000"/>
        </w:rPr>
      </w:pPr>
      <w:r w:rsidRPr="001223B9">
        <w:rPr>
          <w:bCs/>
          <w:color w:val="EE0000"/>
        </w:rPr>
        <w:t xml:space="preserve">Stay with </w:t>
      </w:r>
      <w:r w:rsidRPr="001223B9">
        <w:rPr>
          <w:bCs/>
          <w:i/>
          <w:iCs/>
          <w:color w:val="EE0000"/>
        </w:rPr>
        <w:t>Blankenship</w:t>
      </w:r>
      <w:r w:rsidRPr="001223B9">
        <w:rPr>
          <w:bCs/>
          <w:color w:val="EE0000"/>
        </w:rPr>
        <w:t xml:space="preserve"> because </w:t>
      </w:r>
      <w:r w:rsidRPr="001223B9">
        <w:rPr>
          <w:bCs/>
          <w:i/>
          <w:iCs/>
          <w:color w:val="EE0000"/>
        </w:rPr>
        <w:t>Jones</w:t>
      </w:r>
      <w:r w:rsidRPr="001223B9">
        <w:rPr>
          <w:bCs/>
          <w:color w:val="EE0000"/>
        </w:rPr>
        <w:t xml:space="preserve"> has been reversed on other </w:t>
      </w:r>
      <w:r w:rsidR="001223B9" w:rsidRPr="001223B9">
        <w:rPr>
          <w:bCs/>
          <w:color w:val="EE0000"/>
        </w:rPr>
        <w:t xml:space="preserve">(but important) </w:t>
      </w:r>
      <w:r w:rsidRPr="001223B9">
        <w:rPr>
          <w:bCs/>
          <w:color w:val="EE0000"/>
        </w:rPr>
        <w:t>grounds</w:t>
      </w:r>
      <w:r w:rsidR="001223B9" w:rsidRPr="001223B9">
        <w:rPr>
          <w:bCs/>
          <w:color w:val="EE0000"/>
        </w:rPr>
        <w:t xml:space="preserve"> related to the sufficiency of the evidence. This is explained in </w:t>
      </w:r>
      <w:r w:rsidR="001223B9" w:rsidRPr="001223B9">
        <w:rPr>
          <w:bCs/>
          <w:i/>
          <w:iCs/>
          <w:color w:val="EE0000"/>
        </w:rPr>
        <w:t>Blankenship</w:t>
      </w:r>
      <w:r w:rsidR="001223B9" w:rsidRPr="001223B9">
        <w:rPr>
          <w:bCs/>
          <w:color w:val="EE0000"/>
        </w:rPr>
        <w:t xml:space="preserve"> headnotes 1 &amp; 2</w:t>
      </w:r>
      <w:r w:rsidRPr="001223B9">
        <w:rPr>
          <w:bCs/>
          <w:color w:val="EE0000"/>
        </w:rPr>
        <w:t xml:space="preserve">. </w:t>
      </w:r>
    </w:p>
    <w:p w14:paraId="07D8328E" w14:textId="360EB48E" w:rsidR="00C45041" w:rsidRPr="00C45041" w:rsidRDefault="00C45041" w:rsidP="009D1AC8"/>
    <w:p w14:paraId="437B93B1" w14:textId="258AF1AB" w:rsidR="00A04AEA" w:rsidRDefault="00270342">
      <w:pPr>
        <w:keepNext/>
        <w:spacing w:before="100" w:after="80"/>
      </w:pPr>
      <w:r>
        <w:rPr>
          <w:b/>
        </w:rPr>
        <w:t xml:space="preserve">Part </w:t>
      </w:r>
      <w:r w:rsidR="00C92E6D">
        <w:rPr>
          <w:b/>
        </w:rPr>
        <w:t>D</w:t>
      </w:r>
      <w:r>
        <w:rPr>
          <w:b/>
        </w:rPr>
        <w:t xml:space="preserve"> — Check Your Case</w:t>
      </w:r>
    </w:p>
    <w:p w14:paraId="76DDB621" w14:textId="70C68672" w:rsidR="00A04AEA" w:rsidRDefault="00270342">
      <w:r>
        <w:t xml:space="preserve">Now </w:t>
      </w:r>
      <w:proofErr w:type="spellStart"/>
      <w:r>
        <w:t>KeyCite</w:t>
      </w:r>
      <w:proofErr w:type="spellEnd"/>
      <w:r>
        <w:t xml:space="preserve"> </w:t>
      </w:r>
      <w:r w:rsidR="00DB6182">
        <w:rPr>
          <w:i/>
          <w:iCs/>
        </w:rPr>
        <w:t>Blankenship</w:t>
      </w:r>
      <w:r>
        <w:t xml:space="preserve">. A citator helps you determine whether a case remains reliable for the </w:t>
      </w:r>
      <w:proofErr w:type="gramStart"/>
      <w:r>
        <w:t>particular proposition</w:t>
      </w:r>
      <w:proofErr w:type="gramEnd"/>
      <w:r>
        <w:t xml:space="preserve"> for which you want to use it.</w:t>
      </w:r>
    </w:p>
    <w:p w14:paraId="32A0FF1C" w14:textId="4281AC95" w:rsidR="00A04AEA" w:rsidRDefault="00270342">
      <w:pPr>
        <w:pStyle w:val="ListParagraph"/>
        <w:ind w:left="360" w:hanging="360"/>
      </w:pPr>
      <w:r>
        <w:t xml:space="preserve">1. What </w:t>
      </w:r>
      <w:proofErr w:type="spellStart"/>
      <w:r>
        <w:t>KeyCite</w:t>
      </w:r>
      <w:proofErr w:type="spellEnd"/>
      <w:r>
        <w:t xml:space="preserve"> flag or symbol appears, if any?</w:t>
      </w:r>
      <w:r w:rsidR="0012189D">
        <w:t xml:space="preserve"> </w:t>
      </w:r>
      <w:r w:rsidR="0012189D" w:rsidRPr="0012189D">
        <w:rPr>
          <w:color w:val="EE0000"/>
        </w:rPr>
        <w:t>Yellow flag</w:t>
      </w:r>
    </w:p>
    <w:p w14:paraId="3795D889" w14:textId="77777777" w:rsidR="00B75F5F" w:rsidRDefault="00B75F5F" w:rsidP="00B75F5F">
      <w:pPr>
        <w:keepLines/>
        <w:spacing w:after="60"/>
      </w:pPr>
      <w:r>
        <w:rPr>
          <w:sz w:val="20"/>
        </w:rPr>
        <w:t>_____________________________________________________________________________________________________________________</w:t>
      </w:r>
    </w:p>
    <w:p w14:paraId="521A0125" w14:textId="17DF32CD" w:rsidR="00A04AEA" w:rsidRDefault="00270342">
      <w:pPr>
        <w:pStyle w:val="ListParagraph"/>
        <w:ind w:left="360" w:hanging="360"/>
      </w:pPr>
      <w:r>
        <w:t xml:space="preserve">2. Does </w:t>
      </w:r>
      <w:r w:rsidR="0012189D" w:rsidRPr="0012189D">
        <w:rPr>
          <w:i/>
          <w:iCs/>
        </w:rPr>
        <w:t>Blankenship</w:t>
      </w:r>
      <w:r>
        <w:t xml:space="preserve"> have negative history or negative treatment? If so, identify the relevant authority.</w:t>
      </w:r>
    </w:p>
    <w:p w14:paraId="0AA0DB8F" w14:textId="77777777" w:rsidR="00B75F5F" w:rsidRDefault="00B75F5F" w:rsidP="00B75F5F">
      <w:pPr>
        <w:keepLines/>
        <w:spacing w:after="60"/>
      </w:pPr>
      <w:r>
        <w:rPr>
          <w:sz w:val="20"/>
        </w:rPr>
        <w:t>_____________________________________________________________________________________________________________________</w:t>
      </w:r>
    </w:p>
    <w:p w14:paraId="5813C3FB" w14:textId="77777777" w:rsidR="00B75F5F" w:rsidRDefault="00B75F5F" w:rsidP="00B75F5F">
      <w:pPr>
        <w:keepLines/>
        <w:spacing w:after="60"/>
        <w:rPr>
          <w:sz w:val="20"/>
        </w:rPr>
      </w:pPr>
      <w:r>
        <w:rPr>
          <w:sz w:val="20"/>
        </w:rPr>
        <w:t>_____________________________________________________________________________________________________________________</w:t>
      </w:r>
    </w:p>
    <w:p w14:paraId="41A22A32" w14:textId="0ECE17EE" w:rsidR="0012189D" w:rsidRPr="007C3E23" w:rsidRDefault="0012189D" w:rsidP="00B75F5F">
      <w:pPr>
        <w:keepLines/>
        <w:spacing w:after="60"/>
        <w:rPr>
          <w:color w:val="EE0000"/>
        </w:rPr>
      </w:pPr>
      <w:r w:rsidRPr="007C3E23">
        <w:rPr>
          <w:color w:val="EE0000"/>
        </w:rPr>
        <w:t>This is a little complicated. There IS negative history; the CCA</w:t>
      </w:r>
      <w:r w:rsidR="00E47FA5" w:rsidRPr="007C3E23">
        <w:rPr>
          <w:color w:val="EE0000"/>
        </w:rPr>
        <w:t xml:space="preserve"> </w:t>
      </w:r>
      <w:r w:rsidR="00C12871" w:rsidRPr="007C3E23">
        <w:rPr>
          <w:color w:val="EE0000"/>
        </w:rPr>
        <w:t xml:space="preserve">initially issued its decision in this case in </w:t>
      </w:r>
      <w:proofErr w:type="gramStart"/>
      <w:r w:rsidR="00C12871" w:rsidRPr="007C3E23">
        <w:rPr>
          <w:color w:val="EE0000"/>
        </w:rPr>
        <w:t>1988, but</w:t>
      </w:r>
      <w:proofErr w:type="gramEnd"/>
      <w:r w:rsidR="00C12871" w:rsidRPr="007C3E23">
        <w:rPr>
          <w:color w:val="EE0000"/>
        </w:rPr>
        <w:t xml:space="preserve"> then granted a rehearing</w:t>
      </w:r>
      <w:r w:rsidR="007C3E23" w:rsidRPr="007C3E23">
        <w:rPr>
          <w:color w:val="EE0000"/>
        </w:rPr>
        <w:t>. This opinion IS the opinion from the rehearing. You can tell this because the rehearing opinion was issued in 1989 and THIS OPINION is issued in 1989.</w:t>
      </w:r>
    </w:p>
    <w:p w14:paraId="02372F13" w14:textId="29E98D4F" w:rsidR="00A04AEA" w:rsidRPr="007C3E23" w:rsidRDefault="00270342">
      <w:pPr>
        <w:pStyle w:val="ListParagraph"/>
        <w:ind w:left="360" w:hanging="360"/>
        <w:rPr>
          <w:i/>
          <w:iCs/>
        </w:rPr>
      </w:pPr>
      <w:r>
        <w:t xml:space="preserve">3. Does it affect the </w:t>
      </w:r>
      <w:proofErr w:type="gramStart"/>
      <w:r>
        <w:t>particular proposition</w:t>
      </w:r>
      <w:proofErr w:type="gramEnd"/>
      <w:r>
        <w:t xml:space="preserve"> for which you want to use </w:t>
      </w:r>
      <w:r w:rsidR="007C3E23">
        <w:rPr>
          <w:i/>
          <w:iCs/>
        </w:rPr>
        <w:t>Blankenship</w:t>
      </w:r>
      <w:r>
        <w:t>? Explain.</w:t>
      </w:r>
      <w:r w:rsidR="007C3E23">
        <w:t xml:space="preserve"> </w:t>
      </w:r>
      <w:r w:rsidR="007C3E23" w:rsidRPr="007C3E23">
        <w:rPr>
          <w:color w:val="EE0000"/>
        </w:rPr>
        <w:t>See above.</w:t>
      </w:r>
    </w:p>
    <w:p w14:paraId="09525585" w14:textId="77777777" w:rsidR="00B75F5F" w:rsidRDefault="00B75F5F" w:rsidP="00B75F5F">
      <w:pPr>
        <w:keepLines/>
        <w:spacing w:after="60"/>
      </w:pPr>
      <w:r>
        <w:rPr>
          <w:sz w:val="20"/>
        </w:rPr>
        <w:t>_____________________________________________________________________________________________________________________</w:t>
      </w:r>
    </w:p>
    <w:p w14:paraId="16B89E1C" w14:textId="77777777" w:rsidR="00B75F5F" w:rsidRDefault="00B75F5F" w:rsidP="00B75F5F">
      <w:pPr>
        <w:keepLines/>
        <w:spacing w:after="60"/>
      </w:pPr>
      <w:r>
        <w:rPr>
          <w:sz w:val="20"/>
        </w:rPr>
        <w:t>_____________________________________________________________________________________________________________________</w:t>
      </w:r>
    </w:p>
    <w:p w14:paraId="43965769" w14:textId="77777777" w:rsidR="00B75F5F" w:rsidRDefault="00B75F5F" w:rsidP="00B75F5F">
      <w:pPr>
        <w:keepLines/>
        <w:spacing w:after="60"/>
      </w:pPr>
      <w:r>
        <w:rPr>
          <w:sz w:val="20"/>
        </w:rPr>
        <w:t>_____________________________________________________________________________________________________________________</w:t>
      </w:r>
    </w:p>
    <w:p w14:paraId="1FBAF572" w14:textId="2CB8710C" w:rsidR="00A04AEA" w:rsidRDefault="00270342">
      <w:r>
        <w:rPr>
          <w:b/>
        </w:rPr>
        <w:t>Do not discard a case merely because it has a flag. A warning symbol means: stop, investigate, and determine whether the treatment affects your point of law.</w:t>
      </w:r>
    </w:p>
    <w:p w14:paraId="2EDBF028" w14:textId="77777777" w:rsidR="00B75F5F" w:rsidRDefault="00B75F5F">
      <w:pPr>
        <w:keepNext/>
        <w:spacing w:before="100" w:after="80"/>
        <w:rPr>
          <w:b/>
        </w:rPr>
      </w:pPr>
    </w:p>
    <w:p w14:paraId="6266D86D" w14:textId="3AD595AD" w:rsidR="00A04AEA" w:rsidRDefault="00270342">
      <w:pPr>
        <w:keepNext/>
        <w:spacing w:before="100" w:after="80"/>
      </w:pPr>
      <w:r>
        <w:rPr>
          <w:b/>
        </w:rPr>
        <w:t>Part D — Look Forward: Use the Citator to Find Cases</w:t>
      </w:r>
    </w:p>
    <w:p w14:paraId="1E89A86A" w14:textId="5FA001DC" w:rsidR="00A04AEA" w:rsidRDefault="00270342">
      <w:r>
        <w:t xml:space="preserve">You have now used </w:t>
      </w:r>
      <w:proofErr w:type="spellStart"/>
      <w:r>
        <w:t>KeyCite</w:t>
      </w:r>
      <w:proofErr w:type="spellEnd"/>
      <w:r>
        <w:t xml:space="preserve"> defensively—to evaluate </w:t>
      </w:r>
      <w:r w:rsidR="007C3E23">
        <w:rPr>
          <w:i/>
          <w:iCs/>
        </w:rPr>
        <w:t>Blankenship</w:t>
      </w:r>
      <w:r>
        <w:t>. Now use it affirmatively as a case-finding tool.</w:t>
      </w:r>
    </w:p>
    <w:p w14:paraId="220EA3AE" w14:textId="38E1AA10" w:rsidR="00A04AEA" w:rsidRDefault="00270342">
      <w:r>
        <w:lastRenderedPageBreak/>
        <w:t xml:space="preserve">Open </w:t>
      </w:r>
      <w:r w:rsidR="00291736">
        <w:rPr>
          <w:i/>
          <w:iCs/>
        </w:rPr>
        <w:t>Blankenship</w:t>
      </w:r>
      <w:r w:rsidRPr="00291736">
        <w:rPr>
          <w:i/>
          <w:iCs/>
        </w:rPr>
        <w:t>’s</w:t>
      </w:r>
      <w:r>
        <w:t xml:space="preserve"> Citing References. Do not begin opening cases one by one. First make the results more useful.</w:t>
      </w:r>
      <w:r w:rsidR="0091252B">
        <w:t xml:space="preserve"> </w:t>
      </w:r>
    </w:p>
    <w:p w14:paraId="26AA1464" w14:textId="77777777" w:rsidR="00A04AEA" w:rsidRDefault="00270342">
      <w:pPr>
        <w:pStyle w:val="ListParagraph"/>
        <w:ind w:left="360" w:hanging="360"/>
      </w:pPr>
      <w:r>
        <w:t>1. Limit the citing cases to Texas cases. Why is jurisdiction an important filter?</w:t>
      </w:r>
    </w:p>
    <w:p w14:paraId="4698EDFF" w14:textId="77777777" w:rsidR="00B75F5F" w:rsidRDefault="00B75F5F" w:rsidP="00B75F5F">
      <w:pPr>
        <w:keepLines/>
        <w:spacing w:after="60"/>
      </w:pPr>
      <w:r>
        <w:rPr>
          <w:sz w:val="20"/>
        </w:rPr>
        <w:t>_____________________________________________________________________________________________________________________</w:t>
      </w:r>
    </w:p>
    <w:p w14:paraId="73EF23B4" w14:textId="77777777" w:rsidR="00B75F5F" w:rsidRDefault="00B75F5F" w:rsidP="00B75F5F">
      <w:pPr>
        <w:keepLines/>
        <w:spacing w:after="60"/>
        <w:rPr>
          <w:sz w:val="20"/>
        </w:rPr>
      </w:pPr>
      <w:r>
        <w:rPr>
          <w:sz w:val="20"/>
        </w:rPr>
        <w:t>_____________________________________________________________________________________________________________________</w:t>
      </w:r>
    </w:p>
    <w:p w14:paraId="48EBC12E" w14:textId="60A22AA4" w:rsidR="008E276D" w:rsidRPr="008E276D" w:rsidRDefault="008E276D" w:rsidP="00B75F5F">
      <w:pPr>
        <w:keepLines/>
        <w:spacing w:after="60"/>
        <w:rPr>
          <w:color w:val="EE0000"/>
        </w:rPr>
      </w:pPr>
      <w:r w:rsidRPr="008E276D">
        <w:rPr>
          <w:color w:val="EE0000"/>
        </w:rPr>
        <w:t>Click on Cases, then Filters, the limit by jurisdiction to Texas cases</w:t>
      </w:r>
      <w:r w:rsidR="00391D67">
        <w:rPr>
          <w:color w:val="EE0000"/>
        </w:rPr>
        <w:t xml:space="preserve">, and then further still to </w:t>
      </w:r>
      <w:r w:rsidR="00553DD6">
        <w:rPr>
          <w:color w:val="EE0000"/>
        </w:rPr>
        <w:t>Austin Court of Appeals cases</w:t>
      </w:r>
      <w:r w:rsidRPr="008E276D">
        <w:rPr>
          <w:color w:val="EE0000"/>
        </w:rPr>
        <w:t>.</w:t>
      </w:r>
    </w:p>
    <w:p w14:paraId="25139D7A" w14:textId="4AB9E825" w:rsidR="00A04AEA" w:rsidRDefault="00F702F9">
      <w:pPr>
        <w:pStyle w:val="ListParagraph"/>
        <w:ind w:left="360" w:hanging="360"/>
      </w:pPr>
      <w:r>
        <w:t>§</w:t>
      </w:r>
      <w:r w:rsidR="00270342">
        <w:t>2. Use the relevant headnote(s), search within results, depth of treatment, or another available filter to narrow the results to cases addressing the habitation issue that matters to Bennett/Glass. What filter(s) did you use?</w:t>
      </w:r>
    </w:p>
    <w:p w14:paraId="3839A8F3" w14:textId="77777777" w:rsidR="00B75F5F" w:rsidRDefault="00B75F5F" w:rsidP="00B75F5F">
      <w:pPr>
        <w:keepLines/>
        <w:spacing w:after="60"/>
      </w:pPr>
      <w:r>
        <w:rPr>
          <w:sz w:val="20"/>
        </w:rPr>
        <w:t>_____________________________________________________________________________________________________________________</w:t>
      </w:r>
    </w:p>
    <w:p w14:paraId="17135629" w14:textId="77777777" w:rsidR="00B75F5F" w:rsidRDefault="00B75F5F" w:rsidP="00B75F5F">
      <w:pPr>
        <w:keepLines/>
        <w:spacing w:after="60"/>
        <w:rPr>
          <w:sz w:val="20"/>
        </w:rPr>
      </w:pPr>
      <w:r>
        <w:rPr>
          <w:sz w:val="20"/>
        </w:rPr>
        <w:t>_____________________________________________________________________________________________________________________</w:t>
      </w:r>
    </w:p>
    <w:p w14:paraId="643A7CEC" w14:textId="39041851" w:rsidR="0029503D" w:rsidRPr="00703C78" w:rsidRDefault="0029503D" w:rsidP="00B75F5F">
      <w:pPr>
        <w:keepLines/>
        <w:spacing w:after="60"/>
        <w:rPr>
          <w:color w:val="EE0000"/>
        </w:rPr>
      </w:pPr>
      <w:r w:rsidRPr="00703C78">
        <w:rPr>
          <w:color w:val="EE0000"/>
        </w:rPr>
        <w:t xml:space="preserve">I recommend limiting by </w:t>
      </w:r>
      <w:r w:rsidR="008819A6" w:rsidRPr="00703C78">
        <w:rPr>
          <w:color w:val="EE0000"/>
        </w:rPr>
        <w:t xml:space="preserve">headnote numbers. Both 4 and 6 are good headnotes, but I would look at them individually – just to keep the case numbers manageable. </w:t>
      </w:r>
      <w:r w:rsidR="002C57F6">
        <w:rPr>
          <w:color w:val="EE0000"/>
        </w:rPr>
        <w:t>This takes you down to 3 cases.</w:t>
      </w:r>
    </w:p>
    <w:p w14:paraId="230EF7F1" w14:textId="4335762F" w:rsidR="006E496C" w:rsidRPr="006E496C" w:rsidRDefault="00270342">
      <w:pPr>
        <w:pStyle w:val="ListParagraph"/>
        <w:ind w:left="360" w:hanging="360"/>
      </w:pPr>
      <w:r>
        <w:t xml:space="preserve">3. </w:t>
      </w:r>
      <w:r w:rsidR="00456239">
        <w:t xml:space="preserve">Look forward by examining a later case that cites to </w:t>
      </w:r>
      <w:r w:rsidR="00456239" w:rsidRPr="00456239">
        <w:t>Blankenship</w:t>
      </w:r>
      <w:r w:rsidR="00456239">
        <w:t xml:space="preserve">. You do so by selecting one of these cases to review. For now, </w:t>
      </w:r>
      <w:r w:rsidR="00F702F9">
        <w:t>c</w:t>
      </w:r>
      <w:r w:rsidR="00EE6A0E" w:rsidRPr="00456239">
        <w:t>lick</w:t>
      </w:r>
      <w:r w:rsidR="00EE6A0E">
        <w:t xml:space="preserve"> on the most recent of these cases.</w:t>
      </w:r>
      <w:r w:rsidR="000A451B">
        <w:t xml:space="preserve"> </w:t>
      </w:r>
      <w:r w:rsidR="006E496C">
        <w:t xml:space="preserve">Should you use it? </w:t>
      </w:r>
      <w:r w:rsidR="006E496C">
        <w:rPr>
          <w:i/>
          <w:iCs/>
        </w:rPr>
        <w:t>Burleson v. State</w:t>
      </w:r>
      <w:r w:rsidR="006E496C">
        <w:t>; it is not a published opinion so you CAN use it, but it isn’t the best authority.</w:t>
      </w:r>
    </w:p>
    <w:p w14:paraId="5A464F47" w14:textId="77777777" w:rsidR="006E496C" w:rsidRDefault="006E496C">
      <w:pPr>
        <w:pStyle w:val="ListParagraph"/>
        <w:ind w:left="360" w:hanging="360"/>
      </w:pPr>
    </w:p>
    <w:p w14:paraId="3F28F21B" w14:textId="5C3C143B" w:rsidR="00A04AEA" w:rsidRDefault="006E496C">
      <w:pPr>
        <w:pStyle w:val="ListParagraph"/>
        <w:ind w:left="360" w:hanging="360"/>
      </w:pPr>
      <w:r>
        <w:t>4. Return to</w:t>
      </w:r>
      <w:r w:rsidR="00634858">
        <w:t xml:space="preserve"> the</w:t>
      </w:r>
      <w:r>
        <w:t xml:space="preserve"> </w:t>
      </w:r>
      <w:r>
        <w:rPr>
          <w:i/>
          <w:iCs/>
        </w:rPr>
        <w:t>Blankenship</w:t>
      </w:r>
      <w:r w:rsidR="00634858">
        <w:rPr>
          <w:i/>
          <w:iCs/>
        </w:rPr>
        <w:t xml:space="preserve"> </w:t>
      </w:r>
      <w:r w:rsidR="00634858">
        <w:t>opinion.</w:t>
      </w:r>
      <w:r>
        <w:t xml:space="preserve"> </w:t>
      </w:r>
      <w:r w:rsidR="00270342">
        <w:t>From that case, follow one research trail:</w:t>
      </w:r>
    </w:p>
    <w:p w14:paraId="20DCC862" w14:textId="7503B2E1" w:rsidR="00A04AEA" w:rsidRDefault="00270342">
      <w:pPr>
        <w:spacing w:after="100"/>
      </w:pPr>
      <w:r>
        <w:t>☐ Backward — examine an authority the case relies on.</w:t>
      </w:r>
      <w:r>
        <w:br/>
        <w:t>☐ Side to side — use a relevant headnote/topic and key number to find another case addressing the same issue.</w:t>
      </w:r>
    </w:p>
    <w:p w14:paraId="51001185" w14:textId="77777777" w:rsidR="00A04AEA" w:rsidRDefault="00270342">
      <w:r>
        <w:t>Record the next case you found, how you got there, and why it might be useful.</w:t>
      </w:r>
    </w:p>
    <w:p w14:paraId="5BDD1B3D" w14:textId="77777777" w:rsidR="00B75F5F" w:rsidRDefault="00B75F5F" w:rsidP="00B75F5F">
      <w:pPr>
        <w:keepLines/>
        <w:spacing w:after="60"/>
      </w:pPr>
      <w:r>
        <w:rPr>
          <w:sz w:val="20"/>
        </w:rPr>
        <w:t>_____________________________________________________________________________________________________________________</w:t>
      </w:r>
    </w:p>
    <w:p w14:paraId="4C6AE3C7" w14:textId="77777777" w:rsidR="00B75F5F" w:rsidRDefault="00B75F5F" w:rsidP="00B75F5F">
      <w:pPr>
        <w:keepLines/>
        <w:spacing w:after="60"/>
      </w:pPr>
      <w:r>
        <w:rPr>
          <w:sz w:val="20"/>
        </w:rPr>
        <w:t>_____________________________________________________________________________________________________________________</w:t>
      </w:r>
    </w:p>
    <w:p w14:paraId="3BB1235B" w14:textId="77777777" w:rsidR="00B75F5F" w:rsidRDefault="00B75F5F" w:rsidP="00B75F5F">
      <w:pPr>
        <w:keepLines/>
        <w:spacing w:after="60"/>
      </w:pPr>
      <w:r>
        <w:rPr>
          <w:sz w:val="20"/>
        </w:rPr>
        <w:t>_____________________________________________________________________________________________________________________</w:t>
      </w:r>
    </w:p>
    <w:p w14:paraId="4C5ABFC2" w14:textId="77777777" w:rsidR="00A04AEA" w:rsidRDefault="00270342">
      <w:r>
        <w:rPr>
          <w:b/>
        </w:rPr>
        <w:t>The point is not to return to a blank search box every time you need another case. One useful case should lead you to other useful cases.</w:t>
      </w:r>
    </w:p>
    <w:p w14:paraId="260A7A3E" w14:textId="77777777" w:rsidR="00B75F5F" w:rsidRDefault="00B75F5F">
      <w:pPr>
        <w:keepNext/>
        <w:spacing w:before="100" w:after="80"/>
        <w:rPr>
          <w:b/>
        </w:rPr>
      </w:pPr>
    </w:p>
    <w:p w14:paraId="507B6079" w14:textId="15A640A3" w:rsidR="00A04AEA" w:rsidRDefault="00270342">
      <w:pPr>
        <w:keepNext/>
        <w:spacing w:before="100" w:after="80"/>
      </w:pPr>
      <w:r>
        <w:rPr>
          <w:b/>
        </w:rPr>
        <w:t>Part E — Are You Done?</w:t>
      </w:r>
    </w:p>
    <w:p w14:paraId="2830EA7C" w14:textId="77777777" w:rsidR="00A04AEA" w:rsidRDefault="00270342">
      <w:r>
        <w:t>Assume you have repeated this process several times. You notice that different research paths increasingly lead you back to cases you have already reviewed.</w:t>
      </w:r>
    </w:p>
    <w:p w14:paraId="77A0596E" w14:textId="77777777" w:rsidR="00A04AEA" w:rsidRDefault="00270342">
      <w:pPr>
        <w:pStyle w:val="ListParagraph"/>
        <w:ind w:left="360" w:hanging="360"/>
      </w:pPr>
      <w:r>
        <w:t>1. What does repeatedly encountering the same authorities suggest about your research?</w:t>
      </w:r>
    </w:p>
    <w:p w14:paraId="7B006BDF" w14:textId="77777777" w:rsidR="00B75F5F" w:rsidRDefault="00B75F5F" w:rsidP="00B75F5F">
      <w:pPr>
        <w:keepLines/>
        <w:spacing w:after="60"/>
      </w:pPr>
      <w:r>
        <w:rPr>
          <w:sz w:val="20"/>
        </w:rPr>
        <w:t>_____________________________________________________________________________________________________________________</w:t>
      </w:r>
    </w:p>
    <w:p w14:paraId="5A373190" w14:textId="77777777" w:rsidR="00B75F5F" w:rsidRDefault="00B75F5F" w:rsidP="00B75F5F">
      <w:pPr>
        <w:keepLines/>
        <w:spacing w:after="60"/>
      </w:pPr>
      <w:r>
        <w:rPr>
          <w:sz w:val="20"/>
        </w:rPr>
        <w:t>_____________________________________________________________________________________________________________________</w:t>
      </w:r>
    </w:p>
    <w:p w14:paraId="2B4E9871" w14:textId="77777777" w:rsidR="00A04AEA" w:rsidRDefault="00270342">
      <w:pPr>
        <w:pStyle w:val="ListParagraph"/>
        <w:ind w:left="360" w:hanging="360"/>
      </w:pPr>
      <w:r>
        <w:t>2. Does the absence of a case involving a GMC Yukon with a removable plywood sleeping platform at a state-park campground mean your research is incomplete? Explain.</w:t>
      </w:r>
    </w:p>
    <w:p w14:paraId="12753C34" w14:textId="77777777" w:rsidR="00B75F5F" w:rsidRDefault="00B75F5F" w:rsidP="00B75F5F">
      <w:pPr>
        <w:keepLines/>
        <w:spacing w:after="60"/>
      </w:pPr>
      <w:r>
        <w:rPr>
          <w:sz w:val="20"/>
        </w:rPr>
        <w:t>_____________________________________________________________________________________________________________________</w:t>
      </w:r>
    </w:p>
    <w:p w14:paraId="36935708" w14:textId="77777777" w:rsidR="00B75F5F" w:rsidRDefault="00B75F5F" w:rsidP="00B75F5F">
      <w:pPr>
        <w:keepLines/>
        <w:spacing w:after="60"/>
      </w:pPr>
      <w:r>
        <w:rPr>
          <w:sz w:val="20"/>
        </w:rPr>
        <w:t>_____________________________________________________________________________________________________________________</w:t>
      </w:r>
    </w:p>
    <w:p w14:paraId="4D7E93F7" w14:textId="77777777" w:rsidR="00B75F5F" w:rsidRDefault="00B75F5F" w:rsidP="00B75F5F">
      <w:pPr>
        <w:keepLines/>
        <w:spacing w:after="60"/>
      </w:pPr>
      <w:r>
        <w:rPr>
          <w:sz w:val="20"/>
        </w:rPr>
        <w:t>_____________________________________________________________________________________________________________________</w:t>
      </w:r>
    </w:p>
    <w:p w14:paraId="7BAB5E76" w14:textId="77777777" w:rsidR="00A04AEA" w:rsidRDefault="00270342">
      <w:pPr>
        <w:pStyle w:val="ListParagraph"/>
        <w:ind w:left="360" w:hanging="360"/>
      </w:pPr>
      <w:r>
        <w:t>3. Complete this sentence: I would be comfortable stopping my habitation research when . . .</w:t>
      </w:r>
    </w:p>
    <w:p w14:paraId="0BFF3E34" w14:textId="77777777" w:rsidR="00B75F5F" w:rsidRDefault="00B75F5F" w:rsidP="00B75F5F">
      <w:pPr>
        <w:keepLines/>
        <w:spacing w:after="60"/>
      </w:pPr>
      <w:r>
        <w:rPr>
          <w:sz w:val="20"/>
        </w:rPr>
        <w:t>_____________________________________________________________________________________________________________________</w:t>
      </w:r>
    </w:p>
    <w:p w14:paraId="5A0211B4" w14:textId="77777777" w:rsidR="00B75F5F" w:rsidRDefault="00B75F5F" w:rsidP="00B75F5F">
      <w:pPr>
        <w:keepLines/>
        <w:spacing w:after="60"/>
      </w:pPr>
      <w:r>
        <w:rPr>
          <w:sz w:val="20"/>
        </w:rPr>
        <w:t>_____________________________________________________________________________________________________________________</w:t>
      </w:r>
    </w:p>
    <w:p w14:paraId="29EC84A9" w14:textId="43BB0137" w:rsidR="00A04AEA" w:rsidRDefault="00270342">
      <w:pPr>
        <w:keepNext/>
        <w:spacing w:before="100" w:after="80"/>
      </w:pPr>
      <w:r>
        <w:rPr>
          <w:b/>
        </w:rPr>
        <w:lastRenderedPageBreak/>
        <w:t>Before You Finish</w:t>
      </w:r>
    </w:p>
    <w:p w14:paraId="71A9FF37" w14:textId="77777777" w:rsidR="00A04AEA" w:rsidRDefault="00270342">
      <w:r>
        <w:t>In one or two sentences, explain the two different jobs the citator performed in today’s research.</w:t>
      </w:r>
    </w:p>
    <w:p w14:paraId="21B0C72F" w14:textId="77777777" w:rsidR="00A04AEA" w:rsidRDefault="00270342">
      <w:r>
        <w:t>Evaluating authority:</w:t>
      </w:r>
    </w:p>
    <w:p w14:paraId="12517120" w14:textId="77777777" w:rsidR="00B75F5F" w:rsidRDefault="00B75F5F" w:rsidP="00B75F5F">
      <w:pPr>
        <w:keepLines/>
        <w:spacing w:after="60"/>
      </w:pPr>
      <w:r>
        <w:rPr>
          <w:sz w:val="20"/>
        </w:rPr>
        <w:t>_____________________________________________________________________________________________________________________</w:t>
      </w:r>
    </w:p>
    <w:p w14:paraId="596D8D73" w14:textId="77777777" w:rsidR="00B75F5F" w:rsidRDefault="00B75F5F" w:rsidP="00B75F5F">
      <w:pPr>
        <w:keepLines/>
        <w:spacing w:after="60"/>
      </w:pPr>
      <w:r>
        <w:rPr>
          <w:sz w:val="20"/>
        </w:rPr>
        <w:t>_____________________________________________________________________________________________________________________</w:t>
      </w:r>
    </w:p>
    <w:p w14:paraId="03DAA32A" w14:textId="77777777" w:rsidR="00A04AEA" w:rsidRDefault="00270342">
      <w:r>
        <w:t>Finding authority:</w:t>
      </w:r>
    </w:p>
    <w:p w14:paraId="5AD850CA" w14:textId="77777777" w:rsidR="00B75F5F" w:rsidRDefault="00B75F5F" w:rsidP="00B75F5F">
      <w:pPr>
        <w:keepLines/>
        <w:spacing w:after="60"/>
      </w:pPr>
      <w:r>
        <w:rPr>
          <w:sz w:val="20"/>
        </w:rPr>
        <w:t>_____________________________________________________________________________________________________________________</w:t>
      </w:r>
    </w:p>
    <w:p w14:paraId="1790EBC3" w14:textId="77777777" w:rsidR="00B75F5F" w:rsidRDefault="00B75F5F" w:rsidP="00B75F5F">
      <w:pPr>
        <w:keepLines/>
        <w:spacing w:after="60"/>
      </w:pPr>
      <w:r>
        <w:rPr>
          <w:sz w:val="20"/>
        </w:rPr>
        <w:t>_____________________________________________________________________________________________________________________</w:t>
      </w:r>
    </w:p>
    <w:p w14:paraId="4DD040FB" w14:textId="37A03152" w:rsidR="00A04AEA" w:rsidRDefault="00A04AEA" w:rsidP="00B75F5F">
      <w:pPr>
        <w:keepLines/>
        <w:spacing w:after="60"/>
      </w:pPr>
    </w:p>
    <w:sectPr w:rsidR="00A04AEA" w:rsidSect="0003461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04AE" w14:textId="77777777" w:rsidR="00A434D7" w:rsidRDefault="00A434D7">
      <w:pPr>
        <w:spacing w:after="0"/>
      </w:pPr>
      <w:r>
        <w:separator/>
      </w:r>
    </w:p>
  </w:endnote>
  <w:endnote w:type="continuationSeparator" w:id="0">
    <w:p w14:paraId="708FD5E2" w14:textId="77777777" w:rsidR="00A434D7" w:rsidRDefault="00A434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1000274"/>
      <w:docPartObj>
        <w:docPartGallery w:val="Page Numbers (Bottom of Page)"/>
        <w:docPartUnique/>
      </w:docPartObj>
    </w:sdtPr>
    <w:sdtEndPr>
      <w:rPr>
        <w:rStyle w:val="PageNumber"/>
      </w:rPr>
    </w:sdtEndPr>
    <w:sdtContent>
      <w:p w14:paraId="4FEBD097" w14:textId="4455DAE7" w:rsidR="00B75F5F" w:rsidRDefault="00B75F5F" w:rsidP="00A54E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E302B5" w14:textId="77777777" w:rsidR="00B75F5F" w:rsidRDefault="00B75F5F" w:rsidP="00B75F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719120"/>
      <w:docPartObj>
        <w:docPartGallery w:val="Page Numbers (Bottom of Page)"/>
        <w:docPartUnique/>
      </w:docPartObj>
    </w:sdtPr>
    <w:sdtEndPr>
      <w:rPr>
        <w:rStyle w:val="PageNumber"/>
      </w:rPr>
    </w:sdtEndPr>
    <w:sdtContent>
      <w:p w14:paraId="0E5BFD85" w14:textId="5AEF3372" w:rsidR="00B75F5F" w:rsidRDefault="00B75F5F" w:rsidP="00A54E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9D14D8F" w14:textId="77777777" w:rsidR="00A04AEA" w:rsidRDefault="00270342" w:rsidP="00B75F5F">
    <w:pPr>
      <w:pStyle w:val="Footer"/>
      <w:ind w:right="360"/>
      <w:jc w:val="center"/>
    </w:pPr>
    <w:r>
      <w:rPr>
        <w:sz w:val="18"/>
      </w:rPr>
      <w:t>Bennett / Glass Research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6067E" w14:textId="77777777" w:rsidR="00A434D7" w:rsidRDefault="00A434D7">
      <w:pPr>
        <w:spacing w:after="0"/>
      </w:pPr>
      <w:r>
        <w:separator/>
      </w:r>
    </w:p>
  </w:footnote>
  <w:footnote w:type="continuationSeparator" w:id="0">
    <w:p w14:paraId="30845D10" w14:textId="77777777" w:rsidR="00A434D7" w:rsidRDefault="00A434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15BDE"/>
    <w:multiLevelType w:val="hybridMultilevel"/>
    <w:tmpl w:val="1BF25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F340D5"/>
    <w:multiLevelType w:val="hybridMultilevel"/>
    <w:tmpl w:val="ED0452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4397230">
    <w:abstractNumId w:val="8"/>
  </w:num>
  <w:num w:numId="2" w16cid:durableId="1104037037">
    <w:abstractNumId w:val="6"/>
  </w:num>
  <w:num w:numId="3" w16cid:durableId="890846682">
    <w:abstractNumId w:val="5"/>
  </w:num>
  <w:num w:numId="4" w16cid:durableId="1641224334">
    <w:abstractNumId w:val="4"/>
  </w:num>
  <w:num w:numId="5" w16cid:durableId="1848397974">
    <w:abstractNumId w:val="7"/>
  </w:num>
  <w:num w:numId="6" w16cid:durableId="318388650">
    <w:abstractNumId w:val="3"/>
  </w:num>
  <w:num w:numId="7" w16cid:durableId="933903596">
    <w:abstractNumId w:val="2"/>
  </w:num>
  <w:num w:numId="8" w16cid:durableId="268464456">
    <w:abstractNumId w:val="1"/>
  </w:num>
  <w:num w:numId="9" w16cid:durableId="2072074794">
    <w:abstractNumId w:val="0"/>
  </w:num>
  <w:num w:numId="10" w16cid:durableId="97339162">
    <w:abstractNumId w:val="10"/>
  </w:num>
  <w:num w:numId="11" w16cid:durableId="2058701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A6"/>
    <w:rsid w:val="000A451B"/>
    <w:rsid w:val="0012189D"/>
    <w:rsid w:val="001223B9"/>
    <w:rsid w:val="001429F2"/>
    <w:rsid w:val="0015074B"/>
    <w:rsid w:val="00157CB2"/>
    <w:rsid w:val="00176641"/>
    <w:rsid w:val="00195908"/>
    <w:rsid w:val="001C57F9"/>
    <w:rsid w:val="001C5A84"/>
    <w:rsid w:val="001D6A5B"/>
    <w:rsid w:val="00213DC6"/>
    <w:rsid w:val="00214F75"/>
    <w:rsid w:val="00242EC2"/>
    <w:rsid w:val="0024777E"/>
    <w:rsid w:val="00270342"/>
    <w:rsid w:val="00291736"/>
    <w:rsid w:val="00294456"/>
    <w:rsid w:val="0029503D"/>
    <w:rsid w:val="0029639D"/>
    <w:rsid w:val="002C57F6"/>
    <w:rsid w:val="002F6981"/>
    <w:rsid w:val="00326F90"/>
    <w:rsid w:val="00367090"/>
    <w:rsid w:val="00391D67"/>
    <w:rsid w:val="003A4EF1"/>
    <w:rsid w:val="003E4CA6"/>
    <w:rsid w:val="00404327"/>
    <w:rsid w:val="00404EE3"/>
    <w:rsid w:val="00406998"/>
    <w:rsid w:val="00425BCF"/>
    <w:rsid w:val="00456239"/>
    <w:rsid w:val="00471269"/>
    <w:rsid w:val="00483708"/>
    <w:rsid w:val="004E2D49"/>
    <w:rsid w:val="004E7190"/>
    <w:rsid w:val="00552C67"/>
    <w:rsid w:val="00553DD6"/>
    <w:rsid w:val="005547D2"/>
    <w:rsid w:val="00575914"/>
    <w:rsid w:val="005A3D26"/>
    <w:rsid w:val="006276AE"/>
    <w:rsid w:val="00634858"/>
    <w:rsid w:val="00644DF9"/>
    <w:rsid w:val="00687FB0"/>
    <w:rsid w:val="006E14E8"/>
    <w:rsid w:val="006E496C"/>
    <w:rsid w:val="006E7671"/>
    <w:rsid w:val="00703C78"/>
    <w:rsid w:val="007316A0"/>
    <w:rsid w:val="0077502F"/>
    <w:rsid w:val="007A4ADB"/>
    <w:rsid w:val="007C3E23"/>
    <w:rsid w:val="007D2143"/>
    <w:rsid w:val="007D7992"/>
    <w:rsid w:val="00803EA9"/>
    <w:rsid w:val="00825631"/>
    <w:rsid w:val="008369EA"/>
    <w:rsid w:val="00844ABE"/>
    <w:rsid w:val="00880480"/>
    <w:rsid w:val="008819A6"/>
    <w:rsid w:val="008E276D"/>
    <w:rsid w:val="008F4C58"/>
    <w:rsid w:val="0091252B"/>
    <w:rsid w:val="00913EEB"/>
    <w:rsid w:val="009251FB"/>
    <w:rsid w:val="009D1AC8"/>
    <w:rsid w:val="009F62B0"/>
    <w:rsid w:val="00A04AEA"/>
    <w:rsid w:val="00A434D7"/>
    <w:rsid w:val="00A55CA2"/>
    <w:rsid w:val="00A836E6"/>
    <w:rsid w:val="00AA1D8D"/>
    <w:rsid w:val="00AB10E4"/>
    <w:rsid w:val="00AF3605"/>
    <w:rsid w:val="00B47730"/>
    <w:rsid w:val="00B75F5F"/>
    <w:rsid w:val="00B94F6D"/>
    <w:rsid w:val="00BA36A2"/>
    <w:rsid w:val="00BB62D4"/>
    <w:rsid w:val="00C12871"/>
    <w:rsid w:val="00C139A3"/>
    <w:rsid w:val="00C45041"/>
    <w:rsid w:val="00C4566B"/>
    <w:rsid w:val="00C57F1B"/>
    <w:rsid w:val="00C92E6D"/>
    <w:rsid w:val="00CB0664"/>
    <w:rsid w:val="00CB7F92"/>
    <w:rsid w:val="00D23376"/>
    <w:rsid w:val="00D45AEE"/>
    <w:rsid w:val="00D556D8"/>
    <w:rsid w:val="00D57870"/>
    <w:rsid w:val="00D835E3"/>
    <w:rsid w:val="00D911D1"/>
    <w:rsid w:val="00DB6182"/>
    <w:rsid w:val="00DD71BC"/>
    <w:rsid w:val="00DE02BB"/>
    <w:rsid w:val="00E06D96"/>
    <w:rsid w:val="00E47FA5"/>
    <w:rsid w:val="00E95C54"/>
    <w:rsid w:val="00EE38A0"/>
    <w:rsid w:val="00EE6A0E"/>
    <w:rsid w:val="00F03651"/>
    <w:rsid w:val="00F32136"/>
    <w:rsid w:val="00F356A5"/>
    <w:rsid w:val="00F702F9"/>
    <w:rsid w:val="00F74CA3"/>
    <w:rsid w:val="00FC1F53"/>
    <w:rsid w:val="00FC5934"/>
    <w:rsid w:val="00FC693F"/>
    <w:rsid w:val="00FD087E"/>
    <w:rsid w:val="00FF07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57D38"/>
  <w14:defaultImageDpi w14:val="300"/>
  <w15:docId w15:val="{C9548384-F8A2-1F44-A818-0739BD78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B75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Truskett, Harve A</cp:lastModifiedBy>
  <cp:revision>2</cp:revision>
  <dcterms:created xsi:type="dcterms:W3CDTF">2026-10-06T16:17:00Z</dcterms:created>
  <dcterms:modified xsi:type="dcterms:W3CDTF">2026-10-06T16:17:00Z</dcterms:modified>
  <cp:category/>
</cp:coreProperties>
</file>