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t>It was a chaotic scene</w:t>
      </w:r>
      <w:r>
        <w:rPr/>
        <w:t xml:space="preserve"> at the Brazos Street Farmers Market, </w:t>
      </w:r>
      <w:r>
        <w:rPr/>
        <w:t xml:space="preserve">a series of events unfolded that day </w:t>
      </w:r>
      <w:r>
        <w:rPr/>
        <w:t xml:space="preserve">in which our participants </w:t>
      </w:r>
      <w:r>
        <w:rPr/>
        <w:t>would find</w:t>
      </w:r>
      <w:r>
        <w:rPr/>
        <w:t xml:space="preserve"> themselves to varying degree</w:t>
      </w:r>
      <w:r>
        <w:rPr/>
        <w:t>s,</w:t>
      </w:r>
      <w:r>
        <w:rPr/>
        <w:t xml:space="preserve"> liable for</w:t>
      </w:r>
      <w:r>
        <w:rPr/>
        <w:t xml:space="preserve"> instances of intentional torts. </w:t>
      </w:r>
    </w:p>
    <w:p>
      <w:pPr>
        <w:pStyle w:val="TextBody"/>
        <w:bidi w:val="0"/>
        <w:spacing w:lineRule="auto" w:line="276" w:before="0" w:after="140"/>
        <w:jc w:val="left"/>
        <w:rPr/>
      </w:pPr>
      <w:r>
        <w:rPr/>
        <w:t xml:space="preserve">Roscoe, animated by envy </w:t>
      </w:r>
      <w:r>
        <w:rPr/>
        <w:t>from the presence of a culinary rival, engages in a bit of competitive sabotage. The first intentional action Roscoe</w:t>
      </w:r>
      <w:r>
        <w:rPr/>
        <w:t xml:space="preserve"> </w:t>
      </w:r>
      <w:r>
        <w:rPr/>
        <w:t>undertook was positioning</w:t>
      </w:r>
      <w:r>
        <w:rPr/>
        <w:t xml:space="preserve"> his smoker apparatus such that the rear wheels </w:t>
      </w:r>
      <w:r>
        <w:rPr/>
        <w:t>occupied space</w:t>
      </w:r>
      <w:r>
        <w:rPr/>
        <w:t xml:space="preserve"> within the </w:t>
      </w:r>
      <w:r>
        <w:rPr/>
        <w:t>domain</w:t>
      </w:r>
      <w:r>
        <w:rPr/>
        <w:t xml:space="preserve"> assigned to Delia. </w:t>
      </w:r>
      <w:r>
        <w:rPr/>
        <w:t>The rear wheels crossed the</w:t>
      </w:r>
      <w:r>
        <w:rPr/>
        <w:t xml:space="preserve"> painted line on the ground, </w:t>
      </w:r>
      <w:r>
        <w:rPr/>
        <w:t>demarcating Delia’s stall</w:t>
      </w:r>
      <w:r>
        <w:rPr/>
        <w:t xml:space="preserve">. </w:t>
      </w:r>
      <w:r>
        <w:rPr/>
        <w:t xml:space="preserve">This action constitutes a trespass to land </w:t>
      </w:r>
      <w:r>
        <w:rPr/>
        <w:t xml:space="preserve">because it was an intentional act causing physical entry onto land in another </w:t>
      </w:r>
      <w:r>
        <w:rPr/>
        <w:t>person’s</w:t>
      </w:r>
      <w:r>
        <w:rPr/>
        <w:t xml:space="preserve"> possession without consent. The action by Roscoe was indeed intentional, the report details that Roscoe “rolls” the smoker to the position in which it occupied a portion of Delia’s allocated area. Assuming the smoker was at rest before the action, the only reasonable manner in which the apparatus could have ended up within Delia’s territory was by Roscoe exerting a force on it, because Netwon’s first law of motion tells us that an object at rest will remain at rest unless acted upon by an external force. </w:t>
      </w:r>
      <w:r>
        <w:rPr/>
        <w:t xml:space="preserve">Thus, we can conclude that the external force was an intentional action by Roscoe. Considering the next component of trespass to land, physical entry, this element is satisfied because part of Roscoe’s property was displaced to within the area demarcated as the possession of Delia. Furthermore, since stall 14 was </w:t>
      </w:r>
      <w:r>
        <w:rPr/>
        <w:t>rented</w:t>
      </w:r>
      <w:r>
        <w:rPr/>
        <w:t xml:space="preserve"> </w:t>
      </w:r>
      <w:r>
        <w:rPr/>
        <w:t>by</w:t>
      </w:r>
      <w:r>
        <w:rPr/>
        <w:t xml:space="preserve"> Delia, </w:t>
      </w:r>
      <w:r>
        <w:rPr/>
        <w:t>the area delineated by the painted line</w:t>
      </w:r>
      <w:r>
        <w:rPr/>
        <w:t xml:space="preserve"> </w:t>
      </w:r>
      <w:r>
        <w:rPr/>
        <w:t xml:space="preserve">on the ground corresponding to stall 14 represents </w:t>
      </w:r>
      <w:r>
        <w:rPr/>
        <w:t xml:space="preserve">her possession, thus, the possession component of trespass to land is satisfied. </w:t>
      </w:r>
      <w:r>
        <w:rPr/>
        <w:t xml:space="preserve">Finally, one must consider the status of Delia’s consent to this action occurring within her area of possession. The report does not detail any evidence that Delia invited Roscoe to locate </w:t>
      </w:r>
      <w:r>
        <w:rPr/>
        <w:t xml:space="preserve">his smoker within her area of possession, in fact, it can be inferred that he performed this action against her consent, as his intention was sabotage. </w:t>
      </w:r>
    </w:p>
    <w:p>
      <w:pPr>
        <w:pStyle w:val="TextBody"/>
        <w:bidi w:val="0"/>
        <w:spacing w:lineRule="auto" w:line="276" w:before="0" w:after="140"/>
        <w:jc w:val="left"/>
        <w:rPr/>
      </w:pPr>
      <w:r>
        <w:rPr/>
        <w:t xml:space="preserve">The next action that Roscoe undertakes to antagonize his competitor is that he positioned the chimney of his barbecue contraption such that the resultant gasses produced from combustion within the contraption </w:t>
      </w:r>
      <w:r>
        <w:rPr/>
        <w:t xml:space="preserve">would </w:t>
      </w:r>
      <w:r>
        <w:rPr/>
        <w:t>flow</w:t>
      </w:r>
      <w:r>
        <w:rPr/>
        <w:t xml:space="preserve"> in a direction </w:t>
      </w:r>
      <w:r>
        <w:rPr/>
        <w:t>where they began to accumulate proximate to</w:t>
      </w:r>
      <w:r>
        <w:rPr/>
        <w:t xml:space="preserve"> Delia's yeast products. This resulted in the fine carbon rich particulate matter resulting from incomplete combustion depositing atop Delia's products. Since Delia's comestible yeast products were rendered inedible, she </w:t>
      </w:r>
      <w:r>
        <w:rPr/>
        <w:t>could</w:t>
      </w:r>
      <w:r>
        <w:rPr/>
        <w:t xml:space="preserve"> make a trespass to chattels claim against Roscoe. This is a </w:t>
      </w:r>
      <w:r>
        <w:rPr/>
        <w:t xml:space="preserve">principle in tort law that requires a perpetrator to </w:t>
      </w:r>
      <w:r>
        <w:rPr/>
        <w:t xml:space="preserve">intentionally, </w:t>
      </w:r>
      <w:r>
        <w:rPr/>
        <w:t xml:space="preserve">either </w:t>
      </w:r>
      <w:r>
        <w:rPr/>
        <w:t>possess</w:t>
      </w:r>
      <w:r>
        <w:rPr/>
        <w:t xml:space="preserve"> or interfere with the property of another such that it causes damages</w:t>
      </w:r>
      <w:r>
        <w:rPr/>
        <w:t xml:space="preserve">. Because the particulate matter from the smoker tainted the loaves of Delia, </w:t>
      </w:r>
      <w:r>
        <w:rPr/>
        <w:t>rendering them inedible, this can be considered damages.</w:t>
      </w:r>
      <w:r>
        <w:rPr/>
        <w:t xml:space="preserve"> However, for this act to constitute trespass to chattels, one must determine intent, and thus must consider fluid mechanics. When smoke is inside a chimney, the exhaust gases are moving through a confined passage, as the exhaust exits the chimney, its </w:t>
      </w:r>
      <w:r>
        <w:rPr/>
        <w:t>velocity</w:t>
      </w:r>
      <w:r>
        <w:rPr/>
        <w:t xml:space="preserve"> is upward and outward. Because the smoke/exhaust is hotter and often less dense than the surrounding air, buoyancy causes it to rise, as it mixes with the surrounding atmosphere, turbulence causes the smoke plume to spread and become increasingly diffuse. Furthermore, wind causes the plume to disperse further. This is to say that the direction of smoke, especially in conditions of elevated wind speeds, is difficult to control and predict. Thus, the defendant will likely argue that given the turbulent nature of atmospheric dispersion, the eventual deposition of particulate matter upon Delia's loaves was not a deliberate act but instead an unintentional consequence of a dynamic fluid system. </w:t>
      </w:r>
    </w:p>
    <w:p>
      <w:pPr>
        <w:pStyle w:val="TextBody"/>
        <w:bidi w:val="0"/>
        <w:spacing w:lineRule="auto" w:line="276" w:before="0" w:after="140"/>
        <w:jc w:val="left"/>
        <w:rPr/>
      </w:pPr>
      <w:r>
        <w:rPr/>
        <w:t xml:space="preserve">The subsequent act that Roscoe engages in, renders him with a weaker recourse to defense considering the laws of fluid mechanics. Roscoe opened the smoker apparatus and displaced the smoke into the face of Delia, and then did it once more when Teo encouraged him. This could be characterized as battery which is an intentional or voluntary act causing harmful or offensive contact with another person. </w:t>
      </w:r>
      <w:r>
        <w:rPr/>
        <w:t>Scott v. Shepherd showed that b</w:t>
      </w:r>
      <w:r>
        <w:rPr/>
        <w:t xml:space="preserve">attery can be affected through a chain of events, this is what occurred here, as smoke was emitted into the atmosphere and Roscoe exerted a force on the air proximate to the smoke, creating airflow </w:t>
      </w:r>
      <w:r>
        <w:rPr/>
        <w:t>exerting</w:t>
      </w:r>
      <w:r>
        <w:rPr/>
        <w:t xml:space="preserve"> drag forces on the smoke particles resulting in the smoke being transported by the moving air. In this case, Roscoe performed the action that moved the smoke into the face of Delia, so he </w:t>
      </w:r>
      <w:r>
        <w:rPr/>
        <w:t>can</w:t>
      </w:r>
      <w:r>
        <w:rPr/>
        <w:t xml:space="preserve"> not make an argument that the displacement of smoke was simply a result of atmospheric dispersion. </w:t>
      </w:r>
      <w:r>
        <w:rPr/>
        <w:t>Roscoe is liable for a battery through a chain of events here because he was the individual who caused the chain of mechanical and atmospheric actions that affected offensive and harmful contact with Delia.</w:t>
      </w:r>
    </w:p>
    <w:p>
      <w:pPr>
        <w:pStyle w:val="Normal"/>
        <w:bidi w:val="0"/>
        <w:jc w:val="left"/>
        <w:rPr/>
      </w:pPr>
      <w:r>
        <w:rPr/>
        <w:t xml:space="preserve">The next incident occurred when Roscoe hurled a wooden crate towards Delia and accidentally hit Pilar. This scenario represents transferred intent battery because Roscoe intended for the crate to make contact with Delia but instead it made contact with Pilar. When Roscoe threw the crate, he applied a force to the object that imparted momentum (m*v) along a specific trajectory and once the crate left his hand, its path was solely governed by gravity and air resistance. Roscoe could no longer influence the object’s trajectory and the crate continued along the initial path Roscoe imparted. This is relevant because battery simply requires the intent to cause a harmful or offensive contact not for Roscoe to correctly predict the final point of the object. Thus, the individual upon whom Roscoe sought to commit this action against is transferred from Delia to Pilar, meaning that Roscoe is liable for a battery against Pilar. The occurrences of this scenario mirror those from Singer v. Marx in which Tim Marx threw a rock intended to contact Barbara but instead found its target in Denise Singer. The court adjudicated in this case that Marx was liable for the battery of Singer according to the principle of transferred intent. The action that Roscoe undertook is equivalent, he propelled an object at a specific target and that object made contact with another target, resulting in an injury. Under the same principle outlined in Singer v. Marx, Roscoe will likely be held liable. </w:t>
      </w:r>
    </w:p>
    <w:p>
      <w:pPr>
        <w:pStyle w:val="Normal"/>
        <w:bidi w:val="0"/>
        <w:jc w:val="left"/>
        <w:rPr/>
      </w:pPr>
      <w:r>
        <w:rPr/>
      </w:r>
    </w:p>
    <w:p>
      <w:pPr>
        <w:pStyle w:val="Normal"/>
        <w:bidi w:val="0"/>
        <w:jc w:val="left"/>
        <w:rPr/>
      </w:pPr>
      <w:r>
        <w:rPr/>
        <w:t xml:space="preserve">The subsequent occurrence in this fiasco was Delia knocking Pilar into the corner of the display table. Pilar was injured in this exchange, however, it does not constitute a battery because Delia was unaware of the position of Pilar at the point of contact, meaning that intent to cause harmful contact was not present. </w:t>
      </w:r>
    </w:p>
    <w:p>
      <w:pPr>
        <w:pStyle w:val="Normal"/>
        <w:bidi w:val="0"/>
        <w:jc w:val="left"/>
        <w:rPr/>
      </w:pPr>
      <w:r>
        <w:rPr/>
      </w:r>
    </w:p>
    <w:p>
      <w:pPr>
        <w:pStyle w:val="Normal"/>
        <w:bidi w:val="0"/>
        <w:jc w:val="left"/>
        <w:rPr/>
      </w:pPr>
      <w:r>
        <w:rPr/>
        <w:t xml:space="preserve">Following Pilar’s injury, Pilar levies a threat against Delia, telling her that she will hurt her if she does not remove herself from Pilar’s presence. This threat could be classified as an assault. An assault occurs when one person behaves in a manner that causes another to fear they will face imminent harmful or offensive contact, it does not necessarily require physical contact itself. However, since Delia responds to the threat with an attitude of mockery as if she was tempting Pilar to make good on her promise of violence, it is evident that Delia was not fearful of any subsequent contact. This renders the claim of an assault weak. Almost immediately, the threat escalates to an action, Pilar throws a punch that hits Delia on the shoulder. This action constitutes a battery, as it is clear that Pilar intended to undertake this violent action, evidenced by her prior threat and the fact that the collision between Pilar’s hand and Delia’s shoulder did in fact occur. Pilar’s hand generated force from her muscles, accelerated through the air and upon striking Delia, the kinetic energy of her fist was transferred into the body of Delia. The transfer of momentum into Delia’s shoulder is what satisfies the contact element of battery. In defense, Pilar might argue that Delia’s provocation “you couldn’t hit me if you tried” constituted consent to Pilar’s contact. However, this is a weak defense because courts have made it clear that a taunt is not equivalent to actually consenting to contact. In response to Pilar’s battery, Delia stepped back then retaliated by propelling flour into the face of Pilar. Delia committed a battery of her own against Pilar because she intentionally threw flour into the face of Pilar and the flour contacted Pilar’s body, constituting harmful and offensive contact. In her defense, Delia will likely claim she acted in self defense as a response to Pilar’s battery. According to Silas v. Bowen, self defense requires a reasonable apprehension of harm, force proportional to the threat, and that the defendant was not the individual who provoked the initial conflict. Because Delia stepped back from Pilar before retaliating, this could indicate that she removed herself from the threat of further violence, thus, Delia must prove that the threat from Pilar was ongoing. If the threat of further contact from Pilar was still imminent, Delia would be entitled to claim self defense, however if the threat of further contact dissipated, Delia’s actions would be classified as a retaliation rather than a defense and she would be liable for a battery. Furthermore, one must consider the other components of a self defense claim, the action from Delia was actually less proportionate to the contact she suffered, since a flour particle is minuscule in mass and drag force significantly affects it as it moves through the air, the flour particles contacted Pilar with low momentum and thus low force. The sum of the forces of all the flour particles that contacted Pilar’s face was significantly less than the force imparted upon Delia by Pilar’s punch. In addition, Delia was likely not the individual who initiated the conflict, while she did collide with Pilar, beginning this series of events, the collision was not intentional, Pilar was then the first to initiate a battery, meaning that Delia did not cause the conflict. The proportionality and causation elements of self defense are in favor of Delia, however if she cannot prove that Pilar continued to pose a threat to her safety after the contact, her defense will not be privileged under self defense doctrine and will be liable for a battery of Pilar. </w:t>
      </w:r>
    </w:p>
    <w:p>
      <w:pPr>
        <w:pStyle w:val="Normal"/>
        <w:bidi w:val="0"/>
        <w:jc w:val="left"/>
        <w:rPr/>
      </w:pPr>
      <w:r>
        <w:rPr/>
      </w:r>
    </w:p>
    <w:p>
      <w:pPr>
        <w:pStyle w:val="Normal"/>
        <w:bidi w:val="0"/>
        <w:jc w:val="left"/>
        <w:rPr/>
      </w:pPr>
      <w:r>
        <w:rPr/>
        <w:t xml:space="preserve">The final scenario our gang of ill-mannered tortious ne’er-do-wells face is one in which Roscoe attempts to confine Pilar and Delia to the stall in which their baking operation was situated. This situation could constitute a false imprisonment. According to the ruling of McCann v. Wal-Mart, false imprisonment occurs when there is intent to confine another within boundaries fixed by the actor, confinement actually results, and the victim is either conscious of the confinement or harmed by it. The intent to confine by Roscoe is satisfied because he positioned his cart in such a manner to impede the movement of Pilar and Delia from within the boundary of the stall to outside the boundary. Roscoe even makes his intention to confine clear with a statement, “Nobody is going anywhere until you apologize”. In regards to if confinement actually occurred, this argument is weak because the confined individuals were obstructed on one side of the boundary by a rope that posed no substantive obstacle. The work required to overcome a barrier is defined as the integral of the force exerted over the displacement needed to clear it, which is the distance from the ground (0) to knee height (h), </w:t>
      </w:r>
      <w:r>
        <w:rPr/>
      </w:r>
      <m:oMath xmlns:m="http://schemas.openxmlformats.org/officeDocument/2006/math">
        <m:nary>
          <m:naryPr>
            <m:chr m:val="∫"/>
          </m:naryPr>
          <m:sub>
            <m:r>
              <w:rPr>
                <w:rFonts w:ascii="Cambria Math" w:hAnsi="Cambria Math"/>
              </w:rPr>
              <m:t xml:space="preserve">0</m:t>
            </m:r>
          </m:sub>
          <m:sup>
            <m:r>
              <w:rPr>
                <w:rFonts w:ascii="Cambria Math" w:hAnsi="Cambria Math"/>
              </w:rPr>
              <m:t xml:space="preserve">h</m:t>
            </m:r>
          </m:sup>
          <m:e>
            <m:r>
              <w:rPr>
                <w:rFonts w:ascii="Cambria Math" w:hAnsi="Cambria Math"/>
              </w:rPr>
              <m:t xml:space="preserve">F</m:t>
            </m:r>
          </m:e>
        </m:nary>
        <m:d>
          <m:dPr>
            <m:begChr m:val="("/>
            <m:endChr m:val=")"/>
          </m:dPr>
          <m:e>
            <m:r>
              <w:rPr>
                <w:rFonts w:ascii="Cambria Math" w:hAnsi="Cambria Math"/>
              </w:rPr>
              <m:t xml:space="preserve">x</m:t>
            </m:r>
          </m:e>
        </m:d>
        <m:r>
          <w:rPr>
            <w:rFonts w:ascii="Cambria Math" w:hAnsi="Cambria Math"/>
          </w:rPr>
          <m:t xml:space="preserve">dx</m:t>
        </m:r>
      </m:oMath>
      <w:r>
        <w:rPr/>
        <w:t xml:space="preserve">. Knee height is a relatively short distance to displace one’s body, thus, the work required to overcome the obstacle was negligible, reinforcing the fact that the rope posed no credible barrier to escape. Pilar and Delia in fact stepped over the rope, proving that its impediment to escape was insignificant. Considering the final element of self imprisonment, consciousness of confinement, while the victims may have momentarily believed themselves to be confined with no recourse to escape because they remained within the stall for 30 seconds, it took a rather short period for them to realize they could easily abandon their position within the stall boundaries. Thus, the confined individuals could not have been said to be conscious of their confinement. The final fact that strengthens the argument that this scenario does not constitute a false imprisonment is that upon the escape of Pilar and Delia, Roscoe did not pursue them. Roscoe’s apathy towards the departure of the individuals he initially sought to confine is evidence that his attempt did not meet the criteria for false imprisonment.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618</TotalTime>
  <Application>LibreOffice/7.3.7.2$Linux_X86_64 LibreOffice_project/30$Build-2</Application>
  <AppVersion>15.0000</AppVersion>
  <Pages>3</Pages>
  <Words>2084</Words>
  <Characters>10678</Characters>
  <CharactersWithSpaces>12761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2026-09-21T00:03:33Z</dcterms:created>
  <dc:creator/>
  <dc:description/>
  <dc:language>en-US</dc:language>
  <cp:lastModifiedBy/>
  <dcterms:modified xsi:type="dcterms:W3CDTF">2026-09-23T11:27:49Z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