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b/>
          <w:b/>
          <w:sz w:val="24"/>
          <w:szCs w:val="24"/>
          <w:u w:val="single"/>
        </w:rPr>
      </w:pPr>
      <w:r>
        <w:rPr>
          <w:rFonts w:ascii="Times New Roman" w:hAnsi="Times New Roman"/>
          <w:b/>
          <w:sz w:val="24"/>
          <w:szCs w:val="24"/>
        </w:rPr>
        <w:tab/>
        <w:tab/>
        <w:tab/>
      </w:r>
      <w:r>
        <w:rPr>
          <w:rFonts w:ascii="Times New Roman" w:hAnsi="Times New Roman"/>
          <w:b/>
          <w:sz w:val="24"/>
          <w:szCs w:val="24"/>
          <w:u w:val="single"/>
        </w:rPr>
        <w:t>Research Report for Open Memo Assignment</w:t>
      </w:r>
    </w:p>
    <w:p>
      <w:pPr>
        <w:pStyle w:val="ListParagraph"/>
        <w:numPr>
          <w:ilvl w:val="0"/>
          <w:numId w:val="1"/>
        </w:numPr>
        <w:rPr>
          <w:rFonts w:ascii="Times New Roman" w:hAnsi="Times New Roman"/>
          <w:b/>
          <w:b/>
          <w:sz w:val="24"/>
          <w:szCs w:val="24"/>
        </w:rPr>
      </w:pPr>
      <w:r>
        <w:rPr>
          <w:rFonts w:ascii="Times New Roman" w:hAnsi="Times New Roman"/>
          <w:b/>
          <w:sz w:val="24"/>
          <w:szCs w:val="24"/>
        </w:rPr>
        <w:t>What law governs here, and what type of cases are binding?</w:t>
      </w:r>
    </w:p>
    <w:p>
      <w:pPr>
        <w:pStyle w:val="ListParagraph"/>
        <w:numPr>
          <w:ilvl w:val="0"/>
          <w:numId w:val="0"/>
        </w:numPr>
        <w:ind w:left="720" w:hanging="0"/>
        <w:rPr>
          <w:b w:val="false"/>
          <w:b w:val="false"/>
          <w:bCs w:val="false"/>
        </w:rPr>
      </w:pPr>
      <w:r>
        <w:rPr>
          <w:rFonts w:ascii="Times New Roman" w:hAnsi="Times New Roman"/>
          <w:b w:val="false"/>
          <w:bCs w:val="false"/>
          <w:sz w:val="24"/>
          <w:szCs w:val="24"/>
        </w:rPr>
        <w:t>Tennessee common law governs. The case is in federal court on diversity jurisdiction, so the court applies Tennessee law because diversity jurisdiction places the case into federal court, it does not require federal law to be applied. Tennessee Supreme Court decisions are binding. Published Tennessee Court of Appeals opinions are controlling authority, unpublished court of appeals opinions are persuasive only. Federal decisions and other state's cases are persuasive only</w:t>
      </w:r>
    </w:p>
    <w:p>
      <w:pPr>
        <w:pStyle w:val="ListParagraph"/>
        <w:numPr>
          <w:ilvl w:val="0"/>
          <w:numId w:val="1"/>
        </w:numPr>
        <w:rPr>
          <w:rFonts w:ascii="Times New Roman" w:hAnsi="Times New Roman"/>
          <w:b/>
          <w:b/>
          <w:sz w:val="24"/>
          <w:szCs w:val="24"/>
        </w:rPr>
      </w:pPr>
      <w:r>
        <w:rPr>
          <w:rFonts w:ascii="Times New Roman" w:hAnsi="Times New Roman"/>
          <w:b/>
          <w:sz w:val="24"/>
          <w:szCs w:val="24"/>
        </w:rPr>
        <w:t xml:space="preserve">What is a good authority you’ve found for your highest-level governing rule/legal principle? Give a full, proper Bluebook Cite. </w:t>
      </w:r>
    </w:p>
    <w:p>
      <w:pPr>
        <w:pStyle w:val="ListParagraph"/>
        <w:numPr>
          <w:ilvl w:val="0"/>
          <w:numId w:val="0"/>
        </w:numPr>
        <w:ind w:left="720" w:hanging="0"/>
        <w:rPr>
          <w:rFonts w:ascii="Times New Roman" w:hAnsi="Times New Roman"/>
          <w:b/>
          <w:b/>
          <w:sz w:val="24"/>
          <w:szCs w:val="24"/>
        </w:rPr>
      </w:pPr>
      <w:r>
        <w:rPr>
          <w:rFonts w:ascii="Times New Roman" w:hAnsi="Times New Roman"/>
          <w:b w:val="false"/>
          <w:bCs w:val="false"/>
          <w:sz w:val="24"/>
          <w:szCs w:val="24"/>
        </w:rPr>
        <w:t>Roberts v. Fed. Express Corp., 842 S.W.2d 246, 247-48 (Tenn. 1992): In this case, FedEx had a long time employee arrested for theft after he set off a security scanner while carrying items from damaged packages. It shows the binding list of elements. Probable cause is judged by what a reasonable person would have believed. Malice is about the defendant's actual motive. Both are usually for a jury to decide</w:t>
      </w:r>
    </w:p>
    <w:p>
      <w:pPr>
        <w:pStyle w:val="ListParagraph"/>
        <w:numPr>
          <w:ilvl w:val="0"/>
          <w:numId w:val="0"/>
        </w:numPr>
        <w:ind w:left="720" w:hanging="0"/>
        <w:rPr>
          <w:rFonts w:ascii="Times New Roman" w:hAnsi="Times New Roman"/>
          <w:b/>
          <w:b/>
          <w:sz w:val="24"/>
          <w:szCs w:val="24"/>
        </w:rPr>
      </w:pPr>
      <w:r>
        <w:rPr>
          <w:rFonts w:ascii="Times New Roman" w:hAnsi="Times New Roman"/>
          <w:b w:val="false"/>
          <w:bCs w:val="false"/>
          <w:sz w:val="24"/>
          <w:szCs w:val="24"/>
        </w:rPr>
        <w:t xml:space="preserve">Smith v. Hartford Mut. Ins. Co., 751 S.W.2d 140, 143 (Tenn. Ct. App. 1987). An insurance company was sued after the plaintiff was accused of burning a building. Two informants had said he set the fire, and other evidence showed it was arson. Plaintiff lost. It shows malicious prosecution laid out as four elements. </w:t>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1, give at least 3 cases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6"/>
        <w:gridCol w:w="2904"/>
        <w:gridCol w:w="2840"/>
      </w:tblGrid>
      <w:tr>
        <w:trPr/>
        <w:tc>
          <w:tcPr>
            <w:tcW w:w="2886"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Swindle v. Krystal Co.</w:t>
            </w:r>
            <w:r>
              <w:rPr>
                <w:rFonts w:eastAsia="Calibri" w:cs="Times New Roman" w:ascii="Times New Roman" w:hAnsi="Times New Roman"/>
                <w:b w:val="false"/>
                <w:bCs w:val="false"/>
                <w:kern w:val="0"/>
                <w:sz w:val="24"/>
                <w:szCs w:val="24"/>
                <w:lang w:val="en-US" w:eastAsia="en-US" w:bidi="ar-SA"/>
              </w:rPr>
              <w:t>, No. 02A01-9406-CV-00136, 1995 WL 262419, at *3 (Tenn. Ct. App. May 8, 1995) (unpublished).</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Employer had an employee arrested for taking money from a drop box based on a single coworker's account. The employee had an innocent reason to be near the box, had no key, and denied it. The court reversed summary judgment because evidence showed a reasonable investigation would have revealed exculpatory facts.</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Roberts v. Fed. Express Corp.</w:t>
            </w:r>
            <w:r>
              <w:rPr>
                <w:rFonts w:eastAsia="Calibri" w:cs="Times New Roman" w:ascii="Times New Roman" w:hAnsi="Times New Roman"/>
                <w:b w:val="false"/>
                <w:bCs w:val="false"/>
                <w:kern w:val="0"/>
                <w:sz w:val="24"/>
                <w:szCs w:val="24"/>
                <w:lang w:val="en-US" w:eastAsia="en-US" w:bidi="ar-SA"/>
              </w:rPr>
              <w:t>, 842 S.W.2d 246, 248 (Tenn. 1992).</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FedEx had a long-time employee arrested for larceny after he set off a security scanner carrying items from damaged packages; he said he routinely turned such items in. The Supreme Court held probable cause is judged objectively, is a jury question, and the jury decides what a reasonable investigation would have revealed.</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Warren v. Columbia/HCA Healthcare Corp.</w:t>
            </w:r>
            <w:r>
              <w:rPr>
                <w:rFonts w:eastAsia="Calibri" w:cs="Times New Roman" w:ascii="Times New Roman" w:hAnsi="Times New Roman"/>
                <w:b w:val="false"/>
                <w:bCs w:val="false"/>
                <w:kern w:val="0"/>
                <w:sz w:val="24"/>
                <w:szCs w:val="24"/>
                <w:lang w:val="en-US" w:eastAsia="en-US" w:bidi="ar-SA"/>
              </w:rPr>
              <w:t>, No. M2000-02579-COA-R3-CV, 2002 WL 554417, at *3 (Tenn. Ct. App. Apr. 15, 2002) (unpublished)</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Hospital security saw a man trying to break into a car. The license plate was registered to Warren, and witnesses picked him (and one other man) from a photo lineup. The court found probable cause even without a positive identification because the plate corroborated the description.</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kern w:val="0"/>
                <w:sz w:val="24"/>
                <w:szCs w:val="24"/>
                <w:lang w:val="en-US" w:eastAsia="en-US" w:bidi="ar-SA"/>
              </w:rPr>
              <w:t>, No. M2023-01459-COA-R3-CV, 2025 WL 400697, at *7 (Tenn. Ct. App. Feb. 5, 2025) (unpublished).</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technology vendor's inmate-messaging system identified the plaintiff as the sender of threatening messages, and she was arrested. The court affirmed summary judgment: Tennessee recognizes no negligent-identification tort, and merely providing mistaken information is not enough without knowledge that it was false.</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bl>
    <w:p>
      <w:pPr>
        <w:pStyle w:val="Normal"/>
        <w:rPr>
          <w:rFonts w:ascii="Times New Roman" w:hAnsi="Times New Roman"/>
          <w:b/>
          <w:b/>
          <w:sz w:val="24"/>
          <w:szCs w:val="24"/>
        </w:rPr>
      </w:pPr>
      <w:r>
        <w:rPr>
          <w:rFonts w:ascii="Times New Roman" w:hAnsi="Times New Roman"/>
          <w:b/>
          <w:sz w:val="24"/>
          <w:szCs w:val="24"/>
        </w:rPr>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2, give at least 3 cases (these may be new or can repeat from Element 2, based on which cases most strongly align with yours)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6"/>
        <w:gridCol w:w="2904"/>
        <w:gridCol w:w="2840"/>
      </w:tblGrid>
      <w:tr>
        <w:trPr/>
        <w:tc>
          <w:tcPr>
            <w:tcW w:w="2886"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Thompson v. Schulz</w:t>
            </w:r>
            <w:r>
              <w:rPr>
                <w:rFonts w:eastAsia="Calibri" w:cs="Times New Roman" w:ascii="Times New Roman" w:hAnsi="Times New Roman"/>
                <w:b w:val="false"/>
                <w:bCs w:val="false"/>
                <w:kern w:val="0"/>
                <w:sz w:val="24"/>
                <w:szCs w:val="24"/>
                <w:lang w:val="en-US" w:eastAsia="en-US" w:bidi="ar-SA"/>
              </w:rPr>
              <w:t>, 240 S.W.2d 252, 255–56 (Tenn. Ct. App. 1949).</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property owner facing liens from a contractor's unpaid suppliers had the contractor charged with a felony. The jury could find he brought the charge to force payment rather than to bring an offender to justice; malice may be inferred from a motive to obtain something the prosecutor wants. Verdict for the plaintiff affirmed.</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Brown v. Bushnell</w:t>
            </w:r>
            <w:r>
              <w:rPr>
                <w:rFonts w:eastAsia="Calibri" w:cs="Times New Roman" w:ascii="Times New Roman" w:hAnsi="Times New Roman"/>
                <w:b w:val="false"/>
                <w:bCs w:val="false"/>
                <w:kern w:val="0"/>
                <w:sz w:val="24"/>
                <w:szCs w:val="24"/>
                <w:lang w:val="en-US" w:eastAsia="en-US" w:bidi="ar-SA"/>
              </w:rPr>
              <w:t>, No. M2017-01124-COA-R3-CV, 2018 WL 2447049, at *2 (Tenn. Ct. App. May 31, 2018) (unpublished).</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wrecker-service owner sued a competitor after only a limited and flawed investigation, with a complaint resting on falsehoods. The court affirmed the inference of malice from circumstantial evidence; ill will is unnecessary and any improper motive suffices. (Underlying proceeding was civil.)</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Carter v. Baker's Food Rite Store</w:t>
            </w:r>
            <w:r>
              <w:rPr>
                <w:rFonts w:eastAsia="Calibri" w:cs="Times New Roman" w:ascii="Times New Roman" w:hAnsi="Times New Roman"/>
                <w:b w:val="false"/>
                <w:bCs w:val="false"/>
                <w:kern w:val="0"/>
                <w:sz w:val="24"/>
                <w:szCs w:val="24"/>
                <w:lang w:val="en-US" w:eastAsia="en-US" w:bidi="ar-SA"/>
              </w:rPr>
              <w:t>, 787 S.W.2d 4, 8 (Tenn. Ct. App. 1989).</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store had a check payee arrested for obtaining money by false pretenses after it cashed a check her husband allegedly stole. Probable cause, malice, and advice of counsel were jury questions; malice inferred from lack of probable cause is a rebuttable presumption of fact.</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r>
        <w:trPr/>
        <w:tc>
          <w:tcPr>
            <w:tcW w:w="2886" w:type="dxa"/>
            <w:tcBorders/>
          </w:tcPr>
          <w:p>
            <w:pPr>
              <w:pStyle w:val="TextBody"/>
              <w:widowControl/>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kern w:val="0"/>
                <w:sz w:val="24"/>
                <w:szCs w:val="24"/>
                <w:lang w:val="en-US" w:eastAsia="en-US" w:bidi="ar-SA"/>
              </w:rPr>
              <w:t>, 2025 WL 400697, at *7.</w:t>
            </w:r>
          </w:p>
        </w:tc>
        <w:tc>
          <w:tcPr>
            <w:tcW w:w="2904"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Summary judgment affirmed where there was no evidence the vendor acted with malice.</w:t>
            </w:r>
          </w:p>
        </w:tc>
        <w:tc>
          <w:tcPr>
            <w:tcW w:w="2840" w:type="dxa"/>
            <w:tcBorders/>
          </w:tcPr>
          <w:p>
            <w:pPr>
              <w:pStyle w:val="ListParagraph"/>
              <w:widowControl/>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r>
          </w:p>
        </w:tc>
      </w:tr>
    </w:tbl>
    <w:p>
      <w:pPr>
        <w:pStyle w:val="Normal"/>
        <w:spacing w:before="0" w:after="200"/>
        <w:rPr>
          <w:rFonts w:ascii="Times New Roman" w:hAnsi="Times New Roman"/>
          <w:b/>
          <w:b/>
          <w:sz w:val="28"/>
          <w:szCs w:val="28"/>
        </w:rPr>
      </w:pPr>
      <w:r>
        <w:rPr>
          <w:rFonts w:ascii="Times New Roman" w:hAnsi="Times New Roman"/>
          <w:b/>
          <w:sz w:val="28"/>
          <w:szCs w:val="28"/>
        </w:rPr>
        <w:tab/>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60643"/>
    <w:pPr>
      <w:widowControl/>
      <w:bidi w:val="0"/>
      <w:spacing w:lineRule="auto" w:line="276" w:before="0" w:after="200"/>
      <w:jc w:val="left"/>
    </w:pPr>
    <w:rPr>
      <w:rFonts w:ascii="Calibri" w:hAnsi="Calibri" w:eastAsia="Calibri" w:cs="Times New Roman"/>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6419c7"/>
    <w:pPr>
      <w:ind w:left="720"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4b62d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55F1566C90444DA95190D80944321B" ma:contentTypeVersion="13" ma:contentTypeDescription="Create a new document." ma:contentTypeScope="" ma:versionID="ae4be2303c69ae92ed0ace33973dab81">
  <xsd:schema xmlns:xsd="http://www.w3.org/2001/XMLSchema" xmlns:xs="http://www.w3.org/2001/XMLSchema" xmlns:p="http://schemas.microsoft.com/office/2006/metadata/properties" xmlns:ns3="fa9ac6ae-8848-4781-8d91-7fafea72f5be" xmlns:ns4="1bdabcf1-1112-432f-be14-5a8ac83ab1b7" targetNamespace="http://schemas.microsoft.com/office/2006/metadata/properties" ma:root="true" ma:fieldsID="164c941e6c84598f9a7f20190bdc2bfb" ns3:_="" ns4:_="">
    <xsd:import namespace="fa9ac6ae-8848-4781-8d91-7fafea72f5be"/>
    <xsd:import namespace="1bdabcf1-1112-432f-be14-5a8ac83ab1b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9ac6ae-8848-4781-8d91-7fafea72f5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dabcf1-1112-432f-be14-5a8ac83ab1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FBC340-113C-4A83-94CC-DD17AE10D5A2}">
  <ds:schemaRefs>
    <ds:schemaRef ds:uri="http://schemas.microsoft.com/sharepoint/v3/contenttype/forms"/>
  </ds:schemaRefs>
</ds:datastoreItem>
</file>

<file path=customXml/itemProps2.xml><?xml version="1.0" encoding="utf-8"?>
<ds:datastoreItem xmlns:ds="http://schemas.openxmlformats.org/officeDocument/2006/customXml" ds:itemID="{AF7EABE4-1DCB-476A-B462-29D0C6FF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9ac6ae-8848-4781-8d91-7fafea72f5be"/>
    <ds:schemaRef ds:uri="1bdabcf1-1112-432f-be14-5a8ac83ab1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5EDE77-18E6-457A-B689-8AEEBD0C9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Application>LibreOffice/7.3.7.2$Linux_X86_64 LibreOffice_project/30$Build-2</Application>
  <AppVersion>15.0000</AppVersion>
  <DocSecurity>4</DocSecurity>
  <Pages>3</Pages>
  <Words>801</Words>
  <Characters>4184</Characters>
  <CharactersWithSpaces>4958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2026-10-15T18:54:00Z</dcterms:created>
  <dc:creator>Selina</dc:creator>
  <dc:description/>
  <dc:language>en-US</dc:language>
  <cp:lastModifiedBy/>
  <dcterms:modified xsi:type="dcterms:W3CDTF">2026-10-22T00:25:13Z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0x0101003B55F1566C90444DA95190D80944321B</vt:lpwstr>
  </property>
</Properties>
</file>