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2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Create an API for an HR system that returns JSON. 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2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An example JSON file is attached to this email.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2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2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Following data set will be provided as an array of objects: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2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Unique Identifier - First Name - Last Name - DOB - Industry - Annual income - other fields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2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2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We would like you to use Django to build the API. Can use any database of choice for holding the data.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The API should support the following operations on the included dataset: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Read all (sorting, pagination, filtering provided as parameters)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Read one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Update one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Delete one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The API should also be able to return the following statistics on a set of different endpoints from the above (Pandas implementation):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Average age per industry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Average salaries per industry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Average salaries per years of experience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720" w:hanging="36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Based on the dataset, other “interesting” statistics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Basic validation should be in place for the above operations where required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Emphasis is based on the clarity and quality of the code and the implementation of the functionality outlined above, and not on the overall design of the application.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/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Estimated completion time: 3 hours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