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i w:val="1"/>
          <w:sz w:val="24"/>
          <w:szCs w:val="24"/>
          <w:rtl w:val="0"/>
        </w:rPr>
        <w:t xml:space="preserve">Moes and Tellinghuisen</w:t>
      </w:r>
      <w:r w:rsidDel="00000000" w:rsidR="00000000" w:rsidRPr="00000000">
        <w:rPr>
          <w:rFonts w:ascii="Times New Roman" w:cs="Times New Roman" w:eastAsia="Times New Roman" w:hAnsi="Times New Roman"/>
          <w:sz w:val="24"/>
          <w:szCs w:val="24"/>
          <w:rtl w:val="0"/>
        </w:rPr>
        <w:t xml:space="preserve"> (2014) delineated five themes related to a biblical view of human nature.  I will use Module 28 to exemplify three of these themes. The three themes are: </w:t>
      </w:r>
      <w:commentRangeEnd w:id="0"/>
      <w:r w:rsidDel="00000000" w:rsidR="00000000" w:rsidRPr="00000000">
        <w:commentReference w:id="0"/>
      </w:r>
      <w:commentRangeStart w:id="1"/>
      <w:r w:rsidDel="00000000" w:rsidR="00000000" w:rsidRPr="00000000">
        <w:rPr>
          <w:rFonts w:ascii="Times New Roman" w:cs="Times New Roman" w:eastAsia="Times New Roman" w:hAnsi="Times New Roman"/>
          <w:sz w:val="24"/>
          <w:szCs w:val="24"/>
          <w:rtl w:val="0"/>
        </w:rPr>
        <w:t xml:space="preserve">embodiment, relational beings, and meaning seekers.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 embodied</w:t>
      </w:r>
      <w:r w:rsidDel="00000000" w:rsidR="00000000" w:rsidRPr="00000000">
        <w:rPr>
          <w:rFonts w:ascii="Times New Roman" w:cs="Times New Roman" w:eastAsia="Times New Roman" w:hAnsi="Times New Roman"/>
          <w:sz w:val="24"/>
          <w:szCs w:val="24"/>
          <w:rtl w:val="0"/>
        </w:rPr>
        <w:t xml:space="preserve">; our body is essential to our production and comprehension of language. One example of embodiment is the concept of critical periods- periods of time where the body is most sensitive to a particular kind of environmental influence. Childhood (up to about age 7) seems to be a critical period for language development. In one experiment, Asian immigrants who had lived in the US 10 years took a grammar test; those who had arrived before age 8 had the same understanding of grammar that native speakers did, with a sharp decline in grammar for higher years (Johnson and Newport, 1991 as cited by Myers and Dewal, 2011).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example of our embodiment is how specific areas in the brain are used for specific aspects of language. Broca’s area and the motor cortex are used for speaking, whereas the auditory cortex and Wernicke’s area are used for hearing. Wernicke’s area is also used for language comprehension: “Damage to Wernicke’s area also disrupts understanding” (Myers and Dewal, 2011 page 376). Even more specifically, different neural networks are activated by different parts of speech (Shapiro et al., 2006; Speer et al., 2009). The neural networks for a person’s native language and their second language are also different (Perani &amp; Abutalebi, 2005). </w:t>
      </w:r>
      <w:commentRangeStart w:id="2"/>
      <w:r w:rsidDel="00000000" w:rsidR="00000000" w:rsidRPr="00000000">
        <w:rPr>
          <w:rFonts w:ascii="Times New Roman" w:cs="Times New Roman" w:eastAsia="Times New Roman" w:hAnsi="Times New Roman"/>
          <w:sz w:val="24"/>
          <w:szCs w:val="24"/>
          <w:rtl w:val="0"/>
        </w:rPr>
        <w:t xml:space="preserve">Our bodies affect and are used for our production and comprehension of language, which means that we are embodied.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 relational beings</w:t>
      </w:r>
      <w:r w:rsidDel="00000000" w:rsidR="00000000" w:rsidRPr="00000000">
        <w:rPr>
          <w:rFonts w:ascii="Times New Roman" w:cs="Times New Roman" w:eastAsia="Times New Roman" w:hAnsi="Times New Roman"/>
          <w:sz w:val="24"/>
          <w:szCs w:val="24"/>
          <w:rtl w:val="0"/>
        </w:rPr>
        <w:t xml:space="preserve">; relationships with other people influence our use of language </w:t>
      </w:r>
      <w:r w:rsidDel="00000000" w:rsidR="00000000" w:rsidRPr="00000000">
        <w:rPr>
          <w:rFonts w:ascii="Times New Roman" w:cs="Times New Roman" w:eastAsia="Times New Roman" w:hAnsi="Times New Roman"/>
          <w:sz w:val="24"/>
          <w:szCs w:val="24"/>
          <w:rtl w:val="0"/>
        </w:rPr>
        <w:t xml:space="preserve">and language influences our relationships.</w:t>
      </w:r>
      <w:r w:rsidDel="00000000" w:rsidR="00000000" w:rsidRPr="00000000">
        <w:rPr>
          <w:rFonts w:ascii="Times New Roman" w:cs="Times New Roman" w:eastAsia="Times New Roman" w:hAnsi="Times New Roman"/>
          <w:sz w:val="24"/>
          <w:szCs w:val="24"/>
          <w:rtl w:val="0"/>
        </w:rPr>
        <w:t xml:space="preserve"> Different languages bring different perspectives and thus contribute to a different culture. One example of such a language difference is that “English has a richer vocabulary for self-focused emotions such as anger, whereas Japanese has more words for interpersonal emotions such as sympathy” (Markus &amp; Kitayama, 1991 as cited by Myers and Dewal, 2011 page 379). This </w:t>
      </w:r>
      <w:commentRangeStart w:id="3"/>
      <w:r w:rsidDel="00000000" w:rsidR="00000000" w:rsidRPr="00000000">
        <w:rPr>
          <w:rFonts w:ascii="Times New Roman" w:cs="Times New Roman" w:eastAsia="Times New Roman" w:hAnsi="Times New Roman"/>
          <w:sz w:val="24"/>
          <w:szCs w:val="24"/>
          <w:rtl w:val="0"/>
        </w:rPr>
        <w:t xml:space="preserve">is related to the fact</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that America is an individualist society and Japan is a collectivist society (as mentioned in Module 13).  This indicates a connection between the language used by people and the relationships those people have with each other. Another example of the connection between language and the way people interact is that b</w:t>
      </w:r>
      <w:commentRangeStart w:id="4"/>
      <w:r w:rsidDel="00000000" w:rsidR="00000000" w:rsidRPr="00000000">
        <w:rPr>
          <w:rFonts w:ascii="Times New Roman" w:cs="Times New Roman" w:eastAsia="Times New Roman" w:hAnsi="Times New Roman"/>
          <w:sz w:val="24"/>
          <w:szCs w:val="24"/>
          <w:rtl w:val="0"/>
        </w:rPr>
        <w:t xml:space="preserve">ilingual individuals score differently on personality tests depending on which language they take the test in; this is a reflection of the different cultural associations each language has (Chen &amp; Bond, 2010; Dinges &amp; Hull, 1992 as cited by Myers and Dewal, 2011).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Language (a way to communicate) is so important to our relationships that without a shared language (for example, in a conversation between a deaf person and a non-signing hearing person) it is difficult to form relationships: “Blindness cuts people off from things. Deafness cuts people off from people” (Helen Keller as cited by Myers and Dewal, 2011 page 375). Without communication (which is what you get from language), relationships are harder to form, and without strong relationships, people are unhappy. </w:t>
      </w:r>
      <w:commentRangeStart w:id="5"/>
      <w:r w:rsidDel="00000000" w:rsidR="00000000" w:rsidRPr="00000000">
        <w:rPr>
          <w:rFonts w:ascii="Times New Roman" w:cs="Times New Roman" w:eastAsia="Times New Roman" w:hAnsi="Times New Roman"/>
          <w:sz w:val="24"/>
          <w:szCs w:val="24"/>
          <w:rtl w:val="0"/>
        </w:rPr>
        <w:t xml:space="preserve">There is statistical evidence for this as well: “People with hearing loss, especially those not wearing hearing aids, have reported feeling sadder, being less socially engaged, and more often experiencing others’ irritation” (Chisolm et al., 2007; Fellinger et al., 2007 as cited by Myers and Dewal, 2011 page 375).</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Language is an important part of our lives, and relationships and language are interconnected, therefore relationships are also an important part of our lives, therefore we are relational beings.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 meaning makers</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anguage is a way to understand and communicate meaning; we are always seeking and making meaning through the use of language. This is noticeable in terms of language development. Language development starts with receptive language- recognizing and comprehending language. </w:t>
      </w:r>
      <w:r w:rsidDel="00000000" w:rsidR="00000000" w:rsidRPr="00000000">
        <w:rPr>
          <w:rFonts w:ascii="Times New Roman" w:cs="Times New Roman" w:eastAsia="Times New Roman" w:hAnsi="Times New Roman"/>
          <w:sz w:val="24"/>
          <w:szCs w:val="24"/>
          <w:rtl w:val="0"/>
        </w:rPr>
        <w:t xml:space="preserve">One of the contexts of meaning seeking is “perceiving patterns” (Moes &amp; Tellinghuisen, 2014 </w:t>
      </w:r>
      <w:r w:rsidDel="00000000" w:rsidR="00000000" w:rsidRPr="00000000">
        <w:rPr>
          <w:rFonts w:ascii="Times New Roman" w:cs="Times New Roman" w:eastAsia="Times New Roman" w:hAnsi="Times New Roman"/>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Statistical learning is such an example of perceiving patterns. Infants (7-8 months) are skilled at pattern detection; they notice which syllables and sentence structures are more frequent and pay attention to anything different from the pattern they have detected (Saffran et al., 1996, 2009; Marcus et al., 1999). </w:t>
      </w:r>
      <w:r w:rsidDel="00000000" w:rsidR="00000000" w:rsidRPr="00000000">
        <w:rPr>
          <w:rFonts w:ascii="Times New Roman" w:cs="Times New Roman" w:eastAsia="Times New Roman" w:hAnsi="Times New Roman"/>
          <w:sz w:val="24"/>
          <w:szCs w:val="24"/>
          <w:rtl w:val="0"/>
        </w:rPr>
        <w:t xml:space="preserve">As children develop, they come to understand the meaning of language and produce meaningful sounds of their own. Infants start with the babbling stage, making meaningless sounds. However, once infants are about 10 months old, their babbling sounds similar to the language they hear (de Boysson-Bardies et al., 1989 as cited by Myers and Dewal, 2011). By about one year old, children can make one word sentences, usually nouns, and can learn to associate specific words with specific meanings. For example, a researcher can train infants to look at a picture of a fish when the researcher uses the word “fish” (Schafer, 2005). By about age two, most children use telegraphic speech - simple two word sentences with a noun-verb form. From that stage on, children “quickly begin uttering longer phrases” (Fromkin &amp; Rodman, 1983 page 372). Children learn to convey meaning through language.</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Moes, P. &amp; Tellinghuisen, D. (2014). </w:t>
      </w:r>
      <w:r w:rsidDel="00000000" w:rsidR="00000000" w:rsidRPr="00000000">
        <w:rPr>
          <w:rFonts w:ascii="Times New Roman" w:cs="Times New Roman" w:eastAsia="Times New Roman" w:hAnsi="Times New Roman"/>
          <w:i w:val="1"/>
          <w:sz w:val="24"/>
          <w:szCs w:val="24"/>
          <w:rtl w:val="0"/>
        </w:rPr>
        <w:t xml:space="preserve">Exploring Psychology and Christian Faith: An Introductory Guide.</w:t>
      </w:r>
      <w:r w:rsidDel="00000000" w:rsidR="00000000" w:rsidRPr="00000000">
        <w:rPr>
          <w:rFonts w:ascii="Times New Roman" w:cs="Times New Roman" w:eastAsia="Times New Roman" w:hAnsi="Times New Roman"/>
          <w:sz w:val="24"/>
          <w:szCs w:val="24"/>
          <w:rtl w:val="0"/>
        </w:rPr>
        <w:t xml:space="preserve"> Grand Rapids, MI: Baker Academic.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D. &amp; DeWall, N. (2015). </w:t>
      </w:r>
      <w:r w:rsidDel="00000000" w:rsidR="00000000" w:rsidRPr="00000000">
        <w:rPr>
          <w:rFonts w:ascii="Times New Roman" w:cs="Times New Roman" w:eastAsia="Times New Roman" w:hAnsi="Times New Roman"/>
          <w:i w:val="1"/>
          <w:sz w:val="24"/>
          <w:szCs w:val="24"/>
          <w:rtl w:val="0"/>
        </w:rPr>
        <w:t xml:space="preserve">Psychology in Modules</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New York: Worth.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0" w:date="2017-11-12T21:12:11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original content: comment on examples. Explain why they are important. Summary sentence.</w:t>
      </w:r>
    </w:p>
  </w:comment>
  <w:comment w:author="Catherine DeJager" w:id="2" w:date="2017-11-12T21:24:54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summary/connection?</w:t>
      </w:r>
    </w:p>
  </w:comment>
  <w:comment w:author="Catherine DeJager" w:id="4" w:date="2017-11-11T02:31:47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even fit logically now?</w:t>
      </w:r>
    </w:p>
  </w:comment>
  <w:comment w:author="Catherine DeJager" w:id="5" w:date="2017-11-11T02:35:38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this?</w:t>
      </w:r>
    </w:p>
  </w:comment>
  <w:comment w:author="Catherine DeJager" w:id="1" w:date="2017-11-11T03:29:43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do I adequately connect the evidence to the themes? Do I need more/different evidence? (For each paragraph, I thought of 1 more evidence I might be able to include, but idk if it is necessary).</w:t>
      </w:r>
    </w:p>
  </w:comment>
  <w:comment w:author="Catherine DeJager" w:id="3" w:date="2017-11-12T19:43:10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2049521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