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6FE6F" w14:textId="77777777" w:rsidR="00B2345B" w:rsidRDefault="00F31ED2">
      <w:pPr>
        <w:jc w:val="both"/>
      </w:pPr>
      <w:r>
        <w:t>Do enhancer-associated long intergenic noncoding RNAs contribute to nuclear architecture ?</w:t>
      </w:r>
    </w:p>
    <w:p w14:paraId="51ABA8D6" w14:textId="77777777" w:rsidR="00B2345B" w:rsidRDefault="00B2345B">
      <w:pPr>
        <w:jc w:val="both"/>
      </w:pPr>
    </w:p>
    <w:p w14:paraId="417902A4" w14:textId="77777777" w:rsidR="00B2345B" w:rsidRDefault="00F31ED2">
      <w:pPr>
        <w:jc w:val="both"/>
      </w:pPr>
      <w:r>
        <w:t>1. Introduction :</w:t>
      </w:r>
    </w:p>
    <w:p w14:paraId="5A6732CE" w14:textId="77777777" w:rsidR="00B2345B" w:rsidRDefault="00B2345B">
      <w:pPr>
        <w:jc w:val="both"/>
      </w:pPr>
    </w:p>
    <w:p w14:paraId="4414F1E3" w14:textId="77777777" w:rsidR="00B2345B" w:rsidRDefault="00F31ED2">
      <w:pPr>
        <w:jc w:val="both"/>
      </w:pPr>
      <w:r>
        <w:t xml:space="preserve">It was only recently discovered that a surprisingly large proportion of the mammalian transcriptome does not code for proteins. To date, the number of annotated noncoding genes is more than 3 times higher than protein-coding genes (Iyer et </w:t>
      </w:r>
      <w:proofErr w:type="gramStart"/>
      <w:r>
        <w:t>al.,</w:t>
      </w:r>
      <w:proofErr w:type="gramEnd"/>
      <w:r>
        <w:t xml:space="preserve"> 2015)⁠. Amongst all noncoding RNAs, long noncoding RNAs (&gt;200bp) that do not overlap protein-coding genes are the most abundant (long intergenic noncoding RNAs, lincRNAs). Functional and evolutionary analyses, together with extensive characterization of a handful of lincRNAs, demonstrate that these transcripts are involved in gene regulation processes transcriptionally and post-transcriptionally, and that they can contribute to  organismal traits and diseases (Kornienko, Guenzl, Barlow, &amp; Pauler, 2013</w:t>
      </w:r>
      <w:proofErr w:type="gramStart"/>
      <w:r>
        <w:t>)⁠</w:t>
      </w:r>
      <w:proofErr w:type="gramEnd"/>
      <w:r>
        <w:t>. However, the mechanisms of function, if any, for the majority of lincRNAs remain unknown (Rinn &amp; Chang, 2012</w:t>
      </w:r>
      <w:proofErr w:type="gramStart"/>
      <w:r>
        <w:t>)⁠</w:t>
      </w:r>
      <w:proofErr w:type="gramEnd"/>
      <w:r>
        <w:t xml:space="preserve">.  </w:t>
      </w:r>
    </w:p>
    <w:p w14:paraId="72905E43" w14:textId="77777777" w:rsidR="00B2345B" w:rsidRDefault="00B2345B">
      <w:pPr>
        <w:jc w:val="both"/>
      </w:pPr>
    </w:p>
    <w:p w14:paraId="277D3783" w14:textId="77777777" w:rsidR="00B2345B" w:rsidRDefault="00F31ED2">
      <w:pPr>
        <w:jc w:val="both"/>
      </w:pPr>
      <w:r>
        <w:t>It is thought that spatial organization of the genome is an important factor in gene regulation (Engreitz, Ollikainen, &amp; Guttman, 2016</w:t>
      </w:r>
      <w:proofErr w:type="gramStart"/>
      <w:r>
        <w:t>)⁠</w:t>
      </w:r>
      <w:proofErr w:type="gramEnd"/>
      <w:r>
        <w:t>. Indeed, contrary to the traditional view, genomic DNA is not linear, but is folded into variably compact chromosomal structures that likely impact expression of the embedded genes (Gorkin, Leung, &amp; Ren, 2014)⁠. On a global scale, regions with a high degree of compaction are classified as heterochromatin while relatively uncondensed regions are called euchromatin (Passarge, 1979</w:t>
      </w:r>
      <w:proofErr w:type="gramStart"/>
      <w:r>
        <w:t>)⁠</w:t>
      </w:r>
      <w:proofErr w:type="gramEnd"/>
      <w:r>
        <w:t>. These are respectively associated with lower and higher levels of active transcription (Tamaru, 2010</w:t>
      </w:r>
      <w:proofErr w:type="gramStart"/>
      <w:r>
        <w:t>)⁠</w:t>
      </w:r>
      <w:proofErr w:type="gramEnd"/>
      <w:r>
        <w:t>. Chromosomes are further compartmentalized into smaller domains, called topologically associated domains (TADs). The amount of DNA-DNA interactions is high within TADs as a result of their close spatial proximity, and low across TADs. TAD boundaries are the regions lying at the borders of TADs (Figure 9) and have been shown to be essential for gene regulation. They are often gene-dense and are enriched in  highly transcribed genes (Ong &amp; Corces, 2014</w:t>
      </w:r>
      <w:proofErr w:type="gramStart"/>
      <w:r>
        <w:t>)⁠</w:t>
      </w:r>
      <w:proofErr w:type="gramEnd"/>
      <w:r>
        <w:t xml:space="preserve">. </w:t>
      </w:r>
    </w:p>
    <w:p w14:paraId="09C76A25" w14:textId="77777777" w:rsidR="00B2345B" w:rsidRDefault="00B2345B">
      <w:pPr>
        <w:jc w:val="both"/>
      </w:pPr>
    </w:p>
    <w:p w14:paraId="423FC0D8" w14:textId="77777777" w:rsidR="00B2345B" w:rsidRDefault="00F31ED2">
      <w:pPr>
        <w:jc w:val="both"/>
      </w:pPr>
      <w:r>
        <w:t xml:space="preserve">TAD boundaries are also enriched in architectural proteins, including CTCF (Pope et </w:t>
      </w:r>
      <w:proofErr w:type="gramStart"/>
      <w:r>
        <w:t>al.,</w:t>
      </w:r>
      <w:proofErr w:type="gramEnd"/>
      <w:r>
        <w:t xml:space="preserve"> 2014)⁠, which functions to delimit TAD borders by acting as genomic insulators that prevent DNA-DNA interactions across multiple TADs. TAD boundaries are also enriched in cohesin binding, a multi-protein complex that is thought to be involved in establishing enhancer-promoter interactions (Ji et </w:t>
      </w:r>
      <w:proofErr w:type="gramStart"/>
      <w:r>
        <w:t>al.,</w:t>
      </w:r>
      <w:proofErr w:type="gramEnd"/>
      <w:r>
        <w:t xml:space="preserve"> 2016)⁠. While most CTCF sites are shared between different cell types and species (Ji et </w:t>
      </w:r>
      <w:proofErr w:type="gramStart"/>
      <w:r>
        <w:t>al.,</w:t>
      </w:r>
      <w:proofErr w:type="gramEnd"/>
      <w:r>
        <w:t xml:space="preserve"> 2016)⁠, cohesin binding at gene regulatory elements is often cell-type specific (Hadjur et al., 2009)⁠.</w:t>
      </w:r>
    </w:p>
    <w:p w14:paraId="22D5E92D" w14:textId="77777777" w:rsidR="00B2345B" w:rsidRDefault="00B2345B">
      <w:pPr>
        <w:jc w:val="both"/>
      </w:pPr>
    </w:p>
    <w:p w14:paraId="035F1A80" w14:textId="77777777" w:rsidR="00B2345B" w:rsidRDefault="00F31ED2">
      <w:pPr>
        <w:jc w:val="both"/>
      </w:pPr>
      <w:r>
        <w:t xml:space="preserve">Chromosomal contacts within TADs, often seen as looping structures, occur  particularly at TAD boundaries and are crucial for establishing correct  interactions between regulatory elements, such as enhancers and promoters (Gorkin et </w:t>
      </w:r>
      <w:proofErr w:type="gramStart"/>
      <w:r>
        <w:t>al.,</w:t>
      </w:r>
      <w:proofErr w:type="gramEnd"/>
      <w:r>
        <w:t xml:space="preserve"> 2014)⁠. Deletion of TAD boundaries often disrupts those interactions, resulting in gene misexpression and disease phenotypes (Lupiáñez, Spielmann, &amp; Mundlos, 2016</w:t>
      </w:r>
      <w:proofErr w:type="gramStart"/>
      <w:r>
        <w:t>)⁠</w:t>
      </w:r>
      <w:proofErr w:type="gramEnd"/>
      <w:r>
        <w:t xml:space="preserve">. Recently, some lincRNAs such as Haunt (Yin et </w:t>
      </w:r>
      <w:proofErr w:type="gramStart"/>
      <w:r>
        <w:t>al.,</w:t>
      </w:r>
      <w:proofErr w:type="gramEnd"/>
      <w:r>
        <w:t xml:space="preserve"> 2015)⁠ or Firre (Engreitz et al., 2016)⁠, were reported to promote intra- or interchromosomal interactions, either by forming promoter-enhancer looping, or by regulating chromatin structural organization⁠. Furthermore, </w:t>
      </w:r>
      <w:proofErr w:type="gramStart"/>
      <w:r>
        <w:t>lincRNAs</w:t>
      </w:r>
      <w:proofErr w:type="gramEnd"/>
      <w:r>
        <w:t xml:space="preserve"> associated with human traits have also been shown to have enhancer-associated cis-regulatory roles and their loci are correlated with a higher density of DNA contact within TADs in a human lymphoblastoid cell line (LCL) (Tan et al, 2016, under revision). It has been shown that most active enhancers are transcribed, generating noncoding products, including lincRNAs (Guil &amp; Esteller, 2012</w:t>
      </w:r>
      <w:proofErr w:type="gramStart"/>
      <w:r>
        <w:t>)⁠</w:t>
      </w:r>
      <w:proofErr w:type="gramEnd"/>
      <w:r>
        <w:t>. This raises the question whether lincRNAs with enhancer-like activities (elincRNAs) contribute to gene regulation and the organization of these dynamic chromosomal structures. Those elincRNAs will therefore be the focus of my analysis.</w:t>
      </w:r>
    </w:p>
    <w:p w14:paraId="728847FC" w14:textId="77777777" w:rsidR="00B2345B" w:rsidRDefault="00B2345B">
      <w:pPr>
        <w:jc w:val="both"/>
      </w:pPr>
    </w:p>
    <w:p w14:paraId="713E842E" w14:textId="77777777" w:rsidR="00B2345B" w:rsidRDefault="00F31ED2">
      <w:pPr>
        <w:jc w:val="both"/>
      </w:pPr>
      <w:r>
        <w:lastRenderedPageBreak/>
        <w:t>Unlike most enhancer-associated noncoding RNAs, which are often transcribed bidirectionally and then rapidly degraded (Darrow &amp; Chadwick, 2013</w:t>
      </w:r>
      <w:proofErr w:type="gramStart"/>
      <w:r>
        <w:t>)⁠</w:t>
      </w:r>
      <w:proofErr w:type="gramEnd"/>
      <w:r>
        <w:t xml:space="preserve">, elincRNAs are transcribed preferentially in one direction (Marques et al., 2013)⁠ and are thereby likely good candidates to study the involvement of lincRNAs in the regulation of gene-enhancer interactions within chromatin domains. There are already a few functionally characterized elincRNAs, such as HOTTIP, that have been shown to act as a link between chromatin interactions and transcription (Wang et </w:t>
      </w:r>
      <w:proofErr w:type="gramStart"/>
      <w:r>
        <w:t>al.,</w:t>
      </w:r>
      <w:proofErr w:type="gramEnd"/>
      <w:r>
        <w:t xml:space="preserve"> 2011)⁠. In this example, pre-established chromosomal looping is required for the nascent HOTTIP transcript to recruit the histone modifying complex  WDR5-MLL1 to the the HOXA gene cluster, thus maintaining its active transcription.</w:t>
      </w:r>
    </w:p>
    <w:p w14:paraId="0661DFCF" w14:textId="77777777" w:rsidR="00B2345B" w:rsidRDefault="00B2345B">
      <w:pPr>
        <w:jc w:val="both"/>
      </w:pPr>
    </w:p>
    <w:p w14:paraId="73D3CEDB" w14:textId="77777777" w:rsidR="00B2345B" w:rsidRDefault="00F31ED2">
      <w:pPr>
        <w:jc w:val="both"/>
      </w:pPr>
      <w:r>
        <w:t>Using various bioinformatics tools to analyze publicly available multi-omics data from the ENCODE project, I investigated the molecular properties of elincRNAs, their enrichment in different regulatory elements and their association with the amount of DNA-DNA interactions to gain insight into their roles in gene regulation within topological domains in human LCLs. My analysis shows elincRNAs are associated with high density of chromosomal contacts within TADs and are significantly enriched in loop anchors where promoter-enhancer interactions occur. I also find that they are strongly enriched in cohesin binding, supporting the idea that they may contribute to gene regulation by establishing contacts between regulatory elements and modulating chromosomal organization.</w:t>
      </w:r>
    </w:p>
    <w:p w14:paraId="1FB38C6A" w14:textId="77777777" w:rsidR="00B2345B" w:rsidRDefault="00B2345B">
      <w:pPr>
        <w:jc w:val="both"/>
      </w:pPr>
    </w:p>
    <w:p w14:paraId="461E84DE" w14:textId="77777777" w:rsidR="00B2345B" w:rsidRDefault="00B2345B">
      <w:pPr>
        <w:jc w:val="both"/>
      </w:pPr>
    </w:p>
    <w:p w14:paraId="1BDC01A2" w14:textId="77777777" w:rsidR="00B2345B" w:rsidRDefault="00F31ED2">
      <w:pPr>
        <w:jc w:val="both"/>
      </w:pPr>
      <w:r>
        <w:t>2. Results</w:t>
      </w:r>
    </w:p>
    <w:p w14:paraId="6237542E" w14:textId="77777777" w:rsidR="00B2345B" w:rsidRDefault="00B2345B">
      <w:pPr>
        <w:jc w:val="both"/>
      </w:pPr>
    </w:p>
    <w:p w14:paraId="7FA5489E" w14:textId="77777777" w:rsidR="00B2345B" w:rsidRDefault="00F31ED2">
      <w:pPr>
        <w:jc w:val="both"/>
      </w:pPr>
      <w:r>
        <w:t xml:space="preserve">LincRNAs were divided into 3 categories based on overlap </w:t>
      </w:r>
      <w:del w:id="0" w:author="admin" w:date="2016-12-14T09:25:00Z">
        <w:r w:rsidDel="00F31ED2">
          <w:delText xml:space="preserve">with </w:delText>
        </w:r>
      </w:del>
      <w:ins w:id="1" w:author="admin" w:date="2016-12-14T09:25:00Z">
        <w:r>
          <w:t xml:space="preserve">at their putative promoter regions (estimated as the region 1kb upstream of their transcriptional start site) with GM12878 LCLs </w:t>
        </w:r>
      </w:ins>
      <w:r>
        <w:t>enhancers</w:t>
      </w:r>
      <w:ins w:id="2" w:author="admin" w:date="2016-12-14T09:24:00Z">
        <w:r>
          <w:t>, promoters or XXX</w:t>
        </w:r>
      </w:ins>
      <w:del w:id="3" w:author="admin" w:date="2016-12-14T09:24:00Z">
        <w:r w:rsidDel="00F31ED2">
          <w:delText>, as</w:delText>
        </w:r>
      </w:del>
      <w:r>
        <w:t xml:space="preserve"> predicted by </w:t>
      </w:r>
      <w:ins w:id="4" w:author="admin" w:date="2016-12-14T09:25:00Z">
        <w:r>
          <w:t xml:space="preserve">the ENCODE consortium </w:t>
        </w:r>
      </w:ins>
      <w:del w:id="5" w:author="admin" w:date="2016-12-14T09:25:00Z">
        <w:r w:rsidDel="00F31ED2">
          <w:delText xml:space="preserve">ENCODE in GM12878 LCLs </w:delText>
        </w:r>
      </w:del>
      <w:r>
        <w:t xml:space="preserve">(ENCODE Project et </w:t>
      </w:r>
      <w:proofErr w:type="gramStart"/>
      <w:r>
        <w:t>al.,</w:t>
      </w:r>
      <w:proofErr w:type="gramEnd"/>
      <w:r>
        <w:t xml:space="preserve"> 2012)⁠ </w:t>
      </w:r>
      <w:del w:id="6" w:author="admin" w:date="2016-12-14T09:26:00Z">
        <w:r w:rsidDel="00F31ED2">
          <w:delText xml:space="preserve">in their </w:delText>
        </w:r>
      </w:del>
      <w:del w:id="7" w:author="admin" w:date="2016-12-14T09:25:00Z">
        <w:r w:rsidDel="00F31ED2">
          <w:delText xml:space="preserve">putative promoter regions (estimated as the region 1kb upstream </w:delText>
        </w:r>
      </w:del>
      <w:del w:id="8" w:author="admin" w:date="2016-12-14T09:23:00Z">
        <w:r w:rsidDel="00F31ED2">
          <w:delText xml:space="preserve">from </w:delText>
        </w:r>
      </w:del>
      <w:del w:id="9" w:author="admin" w:date="2016-12-14T09:25:00Z">
        <w:r w:rsidDel="00F31ED2">
          <w:delText xml:space="preserve">their transcriptional start site) </w:delText>
        </w:r>
      </w:del>
      <w:r>
        <w:t xml:space="preserve">(Table 1, Methods). </w:t>
      </w:r>
      <w:commentRangeStart w:id="10"/>
      <w:r>
        <w:t xml:space="preserve">I excluded those that also overlapped predicted promoter elements as they are likely to have different molecular attributes and functions (Marques et </w:t>
      </w:r>
      <w:proofErr w:type="gramStart"/>
      <w:r>
        <w:t>al.,</w:t>
      </w:r>
      <w:proofErr w:type="gramEnd"/>
      <w:r>
        <w:t xml:space="preserve"> 2013)⁠.</w:t>
      </w:r>
      <w:commentRangeEnd w:id="10"/>
      <w:r>
        <w:rPr>
          <w:rStyle w:val="CommentReference"/>
        </w:rPr>
        <w:commentReference w:id="10"/>
      </w:r>
    </w:p>
    <w:p w14:paraId="02DFC26C" w14:textId="77777777" w:rsidR="00B2345B" w:rsidDel="00F31ED2" w:rsidRDefault="00B2345B">
      <w:pPr>
        <w:jc w:val="both"/>
        <w:rPr>
          <w:del w:id="11" w:author="admin" w:date="2016-12-14T09:26:00Z"/>
        </w:rPr>
      </w:pPr>
    </w:p>
    <w:p w14:paraId="5D3267CC" w14:textId="77777777" w:rsidR="00B2345B" w:rsidRDefault="00B2345B">
      <w:pPr>
        <w:jc w:val="both"/>
      </w:pPr>
    </w:p>
    <w:p w14:paraId="71C4F0A6" w14:textId="77777777" w:rsidR="00B2345B" w:rsidRDefault="00F31ED2">
      <w:pPr>
        <w:jc w:val="both"/>
      </w:pPr>
      <w:proofErr w:type="gramStart"/>
      <w:r>
        <w:t>elincRNAs</w:t>
      </w:r>
      <w:proofErr w:type="gramEnd"/>
      <w:r>
        <w:t xml:space="preserve"> show similar expression levels to other lincRNAs</w:t>
      </w:r>
    </w:p>
    <w:p w14:paraId="2B510498" w14:textId="77777777" w:rsidR="00B2345B" w:rsidRDefault="00B2345B">
      <w:pPr>
        <w:jc w:val="both"/>
      </w:pPr>
    </w:p>
    <w:p w14:paraId="5E2A1176" w14:textId="77777777" w:rsidR="00B2345B" w:rsidDel="00F31ED2" w:rsidRDefault="00F31ED2">
      <w:pPr>
        <w:jc w:val="both"/>
        <w:rPr>
          <w:del w:id="12" w:author="admin" w:date="2016-12-14T09:33:00Z"/>
        </w:rPr>
      </w:pPr>
      <w:r>
        <w:t xml:space="preserve">Enhancer-associated RNAs </w:t>
      </w:r>
      <w:ins w:id="13" w:author="admin" w:date="2016-12-14T09:27:00Z">
        <w:r>
          <w:t xml:space="preserve">are often </w:t>
        </w:r>
      </w:ins>
      <w:del w:id="14" w:author="admin" w:date="2016-12-14T09:27:00Z">
        <w:r w:rsidDel="00F31ED2">
          <w:delText xml:space="preserve">in general are known to have </w:delText>
        </w:r>
      </w:del>
      <w:ins w:id="15" w:author="admin" w:date="2016-12-14T09:27:00Z">
        <w:r>
          <w:t xml:space="preserve"> </w:t>
        </w:r>
      </w:ins>
      <w:ins w:id="16" w:author="admin" w:date="2016-12-14T09:28:00Z">
        <w:r>
          <w:t>found</w:t>
        </w:r>
      </w:ins>
      <w:ins w:id="17" w:author="admin" w:date="2016-12-14T09:27:00Z">
        <w:r>
          <w:t xml:space="preserve"> at </w:t>
        </w:r>
      </w:ins>
      <w:r>
        <w:t xml:space="preserve">relatively low transcript abundances as they tend to be rapidly degraded by the </w:t>
      </w:r>
      <w:ins w:id="18" w:author="admin" w:date="2016-12-14T09:28:00Z">
        <w:r>
          <w:t xml:space="preserve">nuclear </w:t>
        </w:r>
      </w:ins>
      <w:r>
        <w:t>exosome (Lam, Li, Rosenfeld, &amp; Glass, 2014</w:t>
      </w:r>
      <w:proofErr w:type="gramStart"/>
      <w:r>
        <w:t>)⁠</w:t>
      </w:r>
      <w:proofErr w:type="gramEnd"/>
      <w:r>
        <w:t xml:space="preserve">. </w:t>
      </w:r>
      <w:ins w:id="19" w:author="admin" w:date="2016-12-14T09:28:00Z">
        <w:r>
          <w:t xml:space="preserve">To investigate if </w:t>
        </w:r>
      </w:ins>
      <w:del w:id="20" w:author="admin" w:date="2016-12-14T09:29:00Z">
        <w:r w:rsidDel="00F31ED2">
          <w:delText xml:space="preserve">I first tested if </w:delText>
        </w:r>
      </w:del>
      <w:r>
        <w:t xml:space="preserve">that is the case for </w:t>
      </w:r>
      <w:del w:id="21" w:author="admin" w:date="2016-12-14T09:29:00Z">
        <w:r w:rsidDel="00F31ED2">
          <w:delText>my set of</w:delText>
        </w:r>
      </w:del>
      <w:ins w:id="22" w:author="admin" w:date="2016-12-14T09:29:00Z">
        <w:r>
          <w:t>LCL expressed</w:t>
        </w:r>
      </w:ins>
      <w:r>
        <w:t xml:space="preserve"> </w:t>
      </w:r>
      <w:commentRangeStart w:id="23"/>
      <w:r>
        <w:t>elincRNA</w:t>
      </w:r>
      <w:commentRangeEnd w:id="23"/>
      <w:r>
        <w:rPr>
          <w:rStyle w:val="CommentReference"/>
        </w:rPr>
        <w:commentReference w:id="23"/>
      </w:r>
      <w:ins w:id="24" w:author="admin" w:date="2016-12-14T09:29:00Z">
        <w:r>
          <w:t xml:space="preserve"> I </w:t>
        </w:r>
      </w:ins>
      <w:del w:id="25" w:author="admin" w:date="2016-12-14T09:29:00Z">
        <w:r w:rsidDel="00F31ED2">
          <w:delText xml:space="preserve"> </w:delText>
        </w:r>
      </w:del>
      <w:r>
        <w:t>compared</w:t>
      </w:r>
      <w:ins w:id="26" w:author="admin" w:date="2016-12-14T09:29:00Z">
        <w:r>
          <w:t xml:space="preserve"> their expression levels in LCLS to that of </w:t>
        </w:r>
      </w:ins>
      <w:ins w:id="27" w:author="admin" w:date="2016-12-14T09:30:00Z">
        <w:r>
          <w:t xml:space="preserve">the other 2 </w:t>
        </w:r>
      </w:ins>
      <w:del w:id="28" w:author="admin" w:date="2016-12-14T09:29:00Z">
        <w:r w:rsidDel="00F31ED2">
          <w:delText xml:space="preserve"> to other </w:delText>
        </w:r>
      </w:del>
      <w:r>
        <w:t>lincRNAs</w:t>
      </w:r>
      <w:ins w:id="29" w:author="admin" w:date="2016-12-14T09:30:00Z">
        <w:r>
          <w:t xml:space="preserve"> classes</w:t>
        </w:r>
      </w:ins>
      <w:r>
        <w:t xml:space="preserve"> and protein-coding genes (Figure 1). </w:t>
      </w:r>
      <w:del w:id="30" w:author="admin" w:date="2016-12-14T09:30:00Z">
        <w:r w:rsidDel="00F31ED2">
          <w:delText xml:space="preserve">Although </w:delText>
        </w:r>
      </w:del>
      <w:ins w:id="31" w:author="admin" w:date="2016-12-14T09:30:00Z">
        <w:r>
          <w:t>I found a lower yet non statistically si</w:t>
        </w:r>
      </w:ins>
      <w:ins w:id="32" w:author="admin" w:date="2016-12-14T09:31:00Z">
        <w:r>
          <w:t>gni</w:t>
        </w:r>
      </w:ins>
      <w:ins w:id="33" w:author="admin" w:date="2016-12-14T09:30:00Z">
        <w:r>
          <w:t xml:space="preserve">ficant difference between </w:t>
        </w:r>
      </w:ins>
      <w:del w:id="34" w:author="admin" w:date="2016-12-14T09:30:00Z">
        <w:r w:rsidDel="00F31ED2">
          <w:delText xml:space="preserve">the </w:delText>
        </w:r>
      </w:del>
      <w:r>
        <w:t xml:space="preserve">elincRNAs median expression levels </w:t>
      </w:r>
      <w:del w:id="35" w:author="admin" w:date="2016-12-14T09:31:00Z">
        <w:r w:rsidDel="00F31ED2">
          <w:delText xml:space="preserve">were lower </w:delText>
        </w:r>
      </w:del>
      <w:r>
        <w:t xml:space="preserve">relative to </w:t>
      </w:r>
      <w:commentRangeStart w:id="36"/>
      <w:r>
        <w:t xml:space="preserve">other lincRNAs </w:t>
      </w:r>
      <w:commentRangeEnd w:id="36"/>
      <w:r>
        <w:rPr>
          <w:rStyle w:val="CommentReference"/>
        </w:rPr>
        <w:commentReference w:id="36"/>
      </w:r>
      <w:del w:id="37" w:author="admin" w:date="2016-12-14T09:32:00Z">
        <w:r w:rsidDel="00F31ED2">
          <w:delText>, there was no significant difference</w:delText>
        </w:r>
      </w:del>
      <w:r>
        <w:t xml:space="preserve"> (two-tailed Mann-Whitney U test, p=0.258) in GM12878. This similarity of expression between elincRNAs and other lincRNAs may be linked to the </w:t>
      </w:r>
      <w:commentRangeStart w:id="38"/>
      <w:r>
        <w:t>distinct features of lincRNAs</w:t>
      </w:r>
      <w:commentRangeEnd w:id="38"/>
      <w:r>
        <w:rPr>
          <w:rStyle w:val="CommentReference"/>
        </w:rPr>
        <w:commentReference w:id="38"/>
      </w:r>
      <w:r>
        <w:t>. Notably, they are unidirectionally transcribed and often polyadenylated, whereas eRNAs comprise many short, non-polyadenylated unstable transcripts that are transcribed bidirectionally (Darrow &amp; Chadwick, 2013</w:t>
      </w:r>
      <w:proofErr w:type="gramStart"/>
      <w:r>
        <w:t>)⁠</w:t>
      </w:r>
      <w:proofErr w:type="gramEnd"/>
      <w:r>
        <w:t>.</w:t>
      </w:r>
    </w:p>
    <w:p w14:paraId="0EECB855" w14:textId="77777777" w:rsidR="00F31ED2" w:rsidRDefault="00F31ED2">
      <w:pPr>
        <w:jc w:val="both"/>
        <w:rPr>
          <w:ins w:id="39" w:author="admin" w:date="2016-12-14T09:33:00Z"/>
        </w:rPr>
      </w:pPr>
    </w:p>
    <w:p w14:paraId="2A684DE7" w14:textId="77777777" w:rsidR="00B2345B" w:rsidRDefault="00B2345B">
      <w:pPr>
        <w:jc w:val="both"/>
      </w:pPr>
    </w:p>
    <w:p w14:paraId="7E815328" w14:textId="77777777" w:rsidR="00B2345B" w:rsidRDefault="00F31ED2">
      <w:pPr>
        <w:jc w:val="both"/>
      </w:pPr>
      <w:proofErr w:type="gramStart"/>
      <w:r>
        <w:t>elincRNAs</w:t>
      </w:r>
      <w:proofErr w:type="gramEnd"/>
      <w:r>
        <w:t xml:space="preserve"> show lower conservation than other lincRNAs</w:t>
      </w:r>
    </w:p>
    <w:p w14:paraId="4260273B" w14:textId="77777777" w:rsidR="00B2345B" w:rsidRDefault="00B2345B">
      <w:pPr>
        <w:jc w:val="both"/>
      </w:pPr>
    </w:p>
    <w:p w14:paraId="7DCDEC74" w14:textId="77777777" w:rsidR="00B2345B" w:rsidRDefault="00F31ED2">
      <w:pPr>
        <w:jc w:val="both"/>
      </w:pPr>
      <w:commentRangeStart w:id="40"/>
      <w:ins w:id="41" w:author="admin" w:date="2016-12-14T09:33:00Z">
        <w:r>
          <w:t xml:space="preserve">To gain insights into </w:t>
        </w:r>
      </w:ins>
      <w:del w:id="42" w:author="admin" w:date="2016-12-14T09:33:00Z">
        <w:r w:rsidDel="00F31ED2">
          <w:delText>E</w:delText>
        </w:r>
      </w:del>
      <w:ins w:id="43" w:author="admin" w:date="2016-12-14T09:33:00Z">
        <w:r>
          <w:t>e</w:t>
        </w:r>
      </w:ins>
      <w:r>
        <w:t>lincRNAs</w:t>
      </w:r>
      <w:ins w:id="44" w:author="admin" w:date="2016-12-14T09:33:00Z">
        <w:r>
          <w:t xml:space="preserve"> evolution, I investigated their nucleotide conservation in primates and mammals. I found that elincRNAs</w:t>
        </w:r>
      </w:ins>
      <w:r>
        <w:t xml:space="preserve"> are less conserved than other LCL-expressed lincRNAs</w:t>
      </w:r>
      <w:ins w:id="45" w:author="admin" w:date="2016-12-14T09:34:00Z">
        <w:r>
          <w:t xml:space="preserve"> (XXXX) </w:t>
        </w:r>
        <w:proofErr w:type="gramStart"/>
        <w:r>
          <w:t>as</w:t>
        </w:r>
        <w:proofErr w:type="gramEnd"/>
        <w:r>
          <w:t xml:space="preserve"> previously described (XXXX). As expected and consistent with previous analysis (XXX) lincRNAs evolved more rapidly that protein-coding genes</w:t>
        </w:r>
      </w:ins>
      <w:del w:id="46" w:author="admin" w:date="2016-12-14T09:35:00Z">
        <w:r w:rsidDel="00F31ED2">
          <w:delText xml:space="preserve"> as well as  protein coding genes </w:delText>
        </w:r>
      </w:del>
      <w:ins w:id="47" w:author="admin" w:date="2016-12-14T09:35:00Z">
        <w:r>
          <w:t xml:space="preserve"> </w:t>
        </w:r>
      </w:ins>
      <w:r>
        <w:t>(Figure 2</w:t>
      </w:r>
      <w:commentRangeEnd w:id="40"/>
      <w:r>
        <w:rPr>
          <w:rStyle w:val="CommentReference"/>
        </w:rPr>
        <w:commentReference w:id="40"/>
      </w:r>
      <w:r>
        <w:t xml:space="preserve">). These differences are observed both when looking at conservation in mammals and in primates. </w:t>
      </w:r>
      <w:commentRangeStart w:id="48"/>
      <w:del w:id="49" w:author="admin" w:date="2016-12-14T09:36:00Z">
        <w:r w:rsidDel="00F31ED2">
          <w:delText xml:space="preserve">These observations are consistent with previous findings in mice (Marques et al., 2013) showing that elincRNAs are almost under neutral evolution. </w:delText>
        </w:r>
      </w:del>
      <w:r>
        <w:t xml:space="preserve">Interestingly, other studies recently showed (Tan et al, under revision) that exons of trait relevant lincRNAs are less conserved than other LCL-expressed lincRNAs through mammalian and primate evolution as well, </w:t>
      </w:r>
      <w:r>
        <w:lastRenderedPageBreak/>
        <w:t>but have been under strong purifying selection during recent human evolution. It would be worth investigating if this is true for elincRNAs as well.</w:t>
      </w:r>
      <w:commentRangeEnd w:id="48"/>
      <w:r>
        <w:rPr>
          <w:rStyle w:val="CommentReference"/>
        </w:rPr>
        <w:commentReference w:id="48"/>
      </w:r>
    </w:p>
    <w:p w14:paraId="5FF51F2A" w14:textId="77777777" w:rsidR="00B2345B" w:rsidRDefault="00B2345B">
      <w:pPr>
        <w:jc w:val="both"/>
      </w:pPr>
    </w:p>
    <w:p w14:paraId="59B9865E" w14:textId="77777777" w:rsidR="00B2345B" w:rsidRDefault="00F31ED2">
      <w:pPr>
        <w:jc w:val="both"/>
      </w:pPr>
      <w:commentRangeStart w:id="50"/>
      <w:r>
        <w:t>ElincRNAs promoter regions are enriched at loop anchors but not TAD boundaries</w:t>
      </w:r>
      <w:commentRangeEnd w:id="50"/>
      <w:r>
        <w:rPr>
          <w:rStyle w:val="CommentReference"/>
        </w:rPr>
        <w:commentReference w:id="50"/>
      </w:r>
    </w:p>
    <w:p w14:paraId="3D64A482" w14:textId="77777777" w:rsidR="00B2345B" w:rsidRDefault="00B2345B">
      <w:pPr>
        <w:jc w:val="both"/>
      </w:pPr>
    </w:p>
    <w:p w14:paraId="5907D954" w14:textId="77777777" w:rsidR="00B2345B" w:rsidRDefault="00F31ED2">
      <w:pPr>
        <w:jc w:val="both"/>
      </w:pPr>
      <w:commentRangeStart w:id="51"/>
      <w:ins w:id="52" w:author="admin" w:date="2016-12-14T09:37:00Z">
        <w:r>
          <w:t xml:space="preserve">Next I investigated XXXX. </w:t>
        </w:r>
      </w:ins>
      <w:commentRangeStart w:id="53"/>
      <w:r>
        <w:t>Although elincRNAs promoter regions are not significantly</w:t>
      </w:r>
      <w:ins w:id="54" w:author="admin" w:date="2016-12-14T09:37:00Z">
        <w:r>
          <w:t xml:space="preserve"> </w:t>
        </w:r>
      </w:ins>
      <w:r>
        <w:t xml:space="preserve">enriched at TAD boundaries relative to other LCL-expressed </w:t>
      </w:r>
      <w:proofErr w:type="gramStart"/>
      <w:r>
        <w:t>lincRNAs ,</w:t>
      </w:r>
      <w:proofErr w:type="gramEnd"/>
      <w:r>
        <w:t xml:space="preserve"> they are enriched at anchors (Figure 3), where interactions between enhancer and promoter elements are known to occur (Ji et al., 2016)</w:t>
      </w:r>
      <w:commentRangeEnd w:id="53"/>
      <w:r>
        <w:rPr>
          <w:rStyle w:val="CommentReference"/>
        </w:rPr>
        <w:commentReference w:id="53"/>
      </w:r>
      <w:r>
        <w:t>⁠. Although loop anchors are themselves enriched at TAD boundaries (1.74 fold, q&lt;0.001, supplementary files), the lack of significant enrichment  of elincRNAs at TAD boundaries  may be a consequence of the method used to defined boundaries and the poor resolution of the current Hi-C technology. Notably, boundaries are extended from the TAD borders  to the inside of TADs (see methods for details), therefore genes that are close to a TAD, but outside the border are not detected.</w:t>
      </w:r>
    </w:p>
    <w:p w14:paraId="1D295E02" w14:textId="77777777" w:rsidR="00B2345B" w:rsidRDefault="00B2345B">
      <w:pPr>
        <w:jc w:val="both"/>
      </w:pPr>
    </w:p>
    <w:p w14:paraId="57083B2E" w14:textId="77777777" w:rsidR="00B2345B" w:rsidRDefault="00F31ED2">
      <w:pPr>
        <w:jc w:val="both"/>
      </w:pPr>
      <w:r>
        <w:t>Despite the absence of elincRNA enrichment at TAD boundaries, dividing TADs into 10 equally sized bins (Figure 4) reveals that elincRNAs tend to be more frequently found near the end of the TAD and are depleted at the center of the TADs (bin 5, 0.37 fold, q=0.06) relative to other LCL-expressed lincRNAs. The trend is consistent with their enrichment at loop anchors, which are enriched at TAD boundaries.</w:t>
      </w:r>
    </w:p>
    <w:commentRangeEnd w:id="51"/>
    <w:p w14:paraId="71D34659" w14:textId="77777777" w:rsidR="00B2345B" w:rsidRDefault="00F31ED2">
      <w:pPr>
        <w:jc w:val="both"/>
      </w:pPr>
      <w:r>
        <w:rPr>
          <w:rStyle w:val="CommentReference"/>
        </w:rPr>
        <w:commentReference w:id="51"/>
      </w:r>
    </w:p>
    <w:p w14:paraId="513EC116" w14:textId="77777777" w:rsidR="00B2345B" w:rsidRDefault="00B2345B">
      <w:pPr>
        <w:jc w:val="both"/>
      </w:pPr>
    </w:p>
    <w:p w14:paraId="6F825376" w14:textId="77777777" w:rsidR="00B2345B" w:rsidRDefault="00F31ED2">
      <w:pPr>
        <w:jc w:val="both"/>
      </w:pPr>
      <w:r>
        <w:t>ElincRNAs are enriched in cohesin</w:t>
      </w:r>
    </w:p>
    <w:p w14:paraId="75C8DA56" w14:textId="77777777" w:rsidR="00B2345B" w:rsidRDefault="00B2345B">
      <w:pPr>
        <w:jc w:val="both"/>
      </w:pPr>
    </w:p>
    <w:p w14:paraId="356D1AD7" w14:textId="77777777" w:rsidR="00B2345B" w:rsidRDefault="00F31ED2">
      <w:pPr>
        <w:jc w:val="both"/>
      </w:pPr>
      <w:r>
        <w:t>CTCF and cohesin are often called architectural or insulator proteins, as they are thought to prevent TADs from interacting with each other while increasing interactions within TADs. Enrichment tests for binding of these proteins in elincRNAs revealed that CTCF, SMC3 and RAD21 binding peaks were all highly enriched in elincRNA promoter regions (5.2-7.1 fold, q&lt;0.001) but only slighly enriched in other lincRNAs (1.1-1.3 fold, q= 0.04-0.30) (Figure 5).</w:t>
      </w:r>
    </w:p>
    <w:p w14:paraId="35AB7EDA" w14:textId="77777777" w:rsidR="00B2345B" w:rsidRDefault="00B2345B">
      <w:pPr>
        <w:jc w:val="both"/>
      </w:pPr>
    </w:p>
    <w:p w14:paraId="0F2E3562" w14:textId="77777777" w:rsidR="00B2345B" w:rsidRDefault="00F31ED2">
      <w:pPr>
        <w:jc w:val="both"/>
      </w:pPr>
      <w:commentRangeStart w:id="55"/>
      <w:r>
        <w:t>Most binding peaks for CTCF and cohesin overlap in the genome (Figure 6) and to determine if the enrichment of CTCF peaks is a consequence of the overlap with cohesin peaks,</w:t>
      </w:r>
      <w:commentRangeEnd w:id="55"/>
      <w:r w:rsidR="0044460B">
        <w:rPr>
          <w:rStyle w:val="CommentReference"/>
        </w:rPr>
        <w:commentReference w:id="55"/>
      </w:r>
      <w:r>
        <w:t xml:space="preserve"> I performed enrichment tests for CTCF- and cohesin-exclusive binding (Figure 7). The difference in fold enrichment for cohesin binding sites in elincRNAs compared to other lincRNAs much stronger when looking at exclusive binding sites, while it decreased for CTCF. This suggests elincRNAs specifically may be involved in the formation of cohesin-only loops. According to a recent model (Ji et </w:t>
      </w:r>
      <w:proofErr w:type="gramStart"/>
      <w:r>
        <w:t>al.,</w:t>
      </w:r>
      <w:proofErr w:type="gramEnd"/>
      <w:r>
        <w:t xml:space="preserve"> 2016)⁠, loops mediated by CTCF or CTCF and cohesin have insulator properties and are important for the structural maintenance of boundaries and the formation of insulated neighbourhood within TADs, while cohesin only loops mediate promoter-enhancers interactions. My results may point towards a role of elincRNAs in the formation of promoter-enhancer loops.</w:t>
      </w:r>
    </w:p>
    <w:p w14:paraId="7AC2AF50" w14:textId="77777777" w:rsidR="00B2345B" w:rsidRDefault="00B2345B">
      <w:pPr>
        <w:jc w:val="both"/>
      </w:pPr>
    </w:p>
    <w:p w14:paraId="19CC918B" w14:textId="77777777" w:rsidR="00B2345B" w:rsidRDefault="00B2345B">
      <w:pPr>
        <w:jc w:val="both"/>
      </w:pPr>
    </w:p>
    <w:p w14:paraId="57F8302D" w14:textId="77777777" w:rsidR="00B2345B" w:rsidRDefault="00F31ED2">
      <w:pPr>
        <w:jc w:val="both"/>
      </w:pPr>
      <w:r>
        <w:t>ElincRNAs are associated with high DNA-DNA contacts in TADs</w:t>
      </w:r>
    </w:p>
    <w:p w14:paraId="675D0E67" w14:textId="77777777" w:rsidR="00B2345B" w:rsidRDefault="00B2345B">
      <w:pPr>
        <w:jc w:val="both"/>
      </w:pPr>
    </w:p>
    <w:p w14:paraId="77FE805F" w14:textId="77777777" w:rsidR="00B2345B" w:rsidRDefault="00F31ED2">
      <w:pPr>
        <w:jc w:val="both"/>
      </w:pPr>
      <w:commentRangeStart w:id="56"/>
      <w:r>
        <w:t>Enhancer associated RNAs (eRNAs) are thought to stabilize long range promoter-enhancer interactions, as enhancers forming loops with TSS are more likely to express these eRNAs (Sanyal, Lajoie, Jain, &amp; Dekker, 2012</w:t>
      </w:r>
      <w:proofErr w:type="gramStart"/>
      <w:r>
        <w:t>)⁠</w:t>
      </w:r>
      <w:proofErr w:type="gramEnd"/>
      <w:r>
        <w:t xml:space="preserve">. To </w:t>
      </w:r>
      <w:commentRangeEnd w:id="56"/>
      <w:r w:rsidR="0044460B">
        <w:rPr>
          <w:rStyle w:val="CommentReference"/>
        </w:rPr>
        <w:commentReference w:id="56"/>
      </w:r>
      <w:commentRangeStart w:id="57"/>
      <w:r>
        <w:t xml:space="preserve">investigate whether elincRNAs are associated with regions of higher DNA-DNA contact, I used the average amount of contact in their respective TAD as a proxy (see material and methods for details). I find that elincRNAs are associated with TADs presenting higher amounts of contacts than other lincRNAs (Figure 8) in GM12878 (two-tailed Mann-Whitney U test, p&lt;0.001), with a 1.24 fold increase in median contacts. When comparing the  contacts for the same sets of genes in 3 other cell lines, these results are consistent, but less significant in </w:t>
      </w:r>
      <w:r>
        <w:lastRenderedPageBreak/>
        <w:t xml:space="preserve">HUVEC and K562 (two-tailed Mann-Whitney U test, p &lt;0.05) with respectives fold increases in median contacts of 1.05 and 1.07 for elincRNAs compared to other lincRNAs. The amount of contacts was not significantly higher for elincRNAs in NHEK (two-tailed Mann-Whitney U test, p = 0.472) although the trend was still going in the same direction with a fold increase in median contacts of 1.04. </w:t>
      </w:r>
    </w:p>
    <w:p w14:paraId="798FBF7C" w14:textId="77777777" w:rsidR="00B2345B" w:rsidRDefault="00F31ED2">
      <w:pPr>
        <w:jc w:val="both"/>
      </w:pPr>
      <w:r>
        <w:t>The strength of this association seems to be very cell line-dependent, but always pointing towards a higher amount of contacts for elincRNAs. Although these results do not give any insights into the mechanisms through which elincRNAs may promote contact, high DNA-DNA contacts, together with the enrichment of cohesin suggest a role for elincRNAs in the establishment of promoter-enhancer looping inside TADs.</w:t>
      </w:r>
    </w:p>
    <w:commentRangeEnd w:id="57"/>
    <w:p w14:paraId="1AB1E55F" w14:textId="77777777" w:rsidR="00B2345B" w:rsidRDefault="0044460B">
      <w:pPr>
        <w:jc w:val="both"/>
      </w:pPr>
      <w:r>
        <w:rPr>
          <w:rStyle w:val="CommentReference"/>
        </w:rPr>
        <w:commentReference w:id="57"/>
      </w:r>
    </w:p>
    <w:p w14:paraId="35B92196" w14:textId="77777777" w:rsidR="00B2345B" w:rsidRDefault="00B2345B">
      <w:pPr>
        <w:jc w:val="both"/>
      </w:pPr>
    </w:p>
    <w:p w14:paraId="1A4A5A8D" w14:textId="77777777" w:rsidR="00B2345B" w:rsidRDefault="00B2345B">
      <w:pPr>
        <w:jc w:val="both"/>
      </w:pPr>
    </w:p>
    <w:p w14:paraId="31808BA5" w14:textId="77777777" w:rsidR="00B2345B" w:rsidRDefault="00B2345B">
      <w:pPr>
        <w:jc w:val="both"/>
      </w:pPr>
    </w:p>
    <w:p w14:paraId="2B7A0A2A" w14:textId="77777777" w:rsidR="00B2345B" w:rsidRDefault="00B2345B">
      <w:pPr>
        <w:jc w:val="both"/>
      </w:pPr>
    </w:p>
    <w:p w14:paraId="03E4C334" w14:textId="77777777" w:rsidR="00B2345B" w:rsidRDefault="00B2345B">
      <w:pPr>
        <w:jc w:val="both"/>
      </w:pPr>
    </w:p>
    <w:p w14:paraId="7A21627A" w14:textId="77777777" w:rsidR="00B2345B" w:rsidRDefault="00F31ED2">
      <w:pPr>
        <w:jc w:val="both"/>
      </w:pPr>
      <w:r>
        <w:t>3. Figures and tables</w:t>
      </w:r>
    </w:p>
    <w:p w14:paraId="6DCBD230" w14:textId="77777777" w:rsidR="00B2345B" w:rsidRDefault="00B2345B">
      <w:pPr>
        <w:jc w:val="both"/>
      </w:pPr>
    </w:p>
    <w:p w14:paraId="3F4B5C9F" w14:textId="77777777" w:rsidR="00B2345B" w:rsidRDefault="00F31ED2">
      <w:pPr>
        <w:jc w:val="both"/>
      </w:pPr>
      <w:bookmarkStart w:id="58" w:name="__DdeLink__1350_1519159822"/>
      <w:bookmarkEnd w:id="58"/>
      <w:r>
        <w:t>Table 1 : Categories of lincRNAs defined by overlaps of regulatory elements in their promoter regions.</w:t>
      </w:r>
    </w:p>
    <w:p w14:paraId="492D09DE" w14:textId="77777777" w:rsidR="00B2345B" w:rsidRDefault="00B2345B">
      <w:pPr>
        <w:jc w:val="both"/>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B2345B" w14:paraId="03C27FF0" w14:textId="77777777">
        <w:tc>
          <w:tcPr>
            <w:tcW w:w="3212" w:type="dxa"/>
            <w:tcBorders>
              <w:top w:val="single" w:sz="2" w:space="0" w:color="000000"/>
              <w:left w:val="single" w:sz="2" w:space="0" w:color="000000"/>
              <w:bottom w:val="single" w:sz="2" w:space="0" w:color="000000"/>
            </w:tcBorders>
            <w:shd w:val="clear" w:color="auto" w:fill="999999"/>
            <w:tcMar>
              <w:left w:w="54" w:type="dxa"/>
            </w:tcMar>
          </w:tcPr>
          <w:p w14:paraId="5FE055C6" w14:textId="77777777" w:rsidR="00B2345B" w:rsidRDefault="00F31ED2">
            <w:pPr>
              <w:pStyle w:val="TableContents"/>
              <w:jc w:val="both"/>
            </w:pPr>
            <w:r>
              <w:t>Name</w:t>
            </w:r>
          </w:p>
        </w:tc>
        <w:tc>
          <w:tcPr>
            <w:tcW w:w="3213" w:type="dxa"/>
            <w:tcBorders>
              <w:top w:val="single" w:sz="2" w:space="0" w:color="000000"/>
              <w:left w:val="single" w:sz="2" w:space="0" w:color="000000"/>
              <w:bottom w:val="single" w:sz="2" w:space="0" w:color="000000"/>
            </w:tcBorders>
            <w:shd w:val="clear" w:color="auto" w:fill="999999"/>
            <w:tcMar>
              <w:left w:w="54" w:type="dxa"/>
            </w:tcMar>
          </w:tcPr>
          <w:p w14:paraId="3C477BC0" w14:textId="77777777" w:rsidR="00B2345B" w:rsidRDefault="00F31ED2">
            <w:pPr>
              <w:pStyle w:val="TableContents"/>
              <w:jc w:val="both"/>
            </w:pPr>
            <w:r>
              <w:t>Overlap status</w:t>
            </w:r>
          </w:p>
        </w:tc>
        <w:tc>
          <w:tcPr>
            <w:tcW w:w="3213" w:type="dxa"/>
            <w:tcBorders>
              <w:top w:val="single" w:sz="2" w:space="0" w:color="000000"/>
              <w:left w:val="single" w:sz="2" w:space="0" w:color="000000"/>
              <w:bottom w:val="single" w:sz="2" w:space="0" w:color="000000"/>
              <w:right w:val="single" w:sz="2" w:space="0" w:color="000000"/>
            </w:tcBorders>
            <w:shd w:val="clear" w:color="auto" w:fill="999999"/>
            <w:tcMar>
              <w:left w:w="54" w:type="dxa"/>
            </w:tcMar>
          </w:tcPr>
          <w:p w14:paraId="1D634108" w14:textId="77777777" w:rsidR="00B2345B" w:rsidRDefault="00F31ED2">
            <w:pPr>
              <w:pStyle w:val="TableContents"/>
              <w:jc w:val="both"/>
            </w:pPr>
            <w:r>
              <w:t>N. lincRNAs</w:t>
            </w:r>
          </w:p>
        </w:tc>
      </w:tr>
      <w:tr w:rsidR="00B2345B" w14:paraId="11574CBC" w14:textId="77777777">
        <w:tc>
          <w:tcPr>
            <w:tcW w:w="3212" w:type="dxa"/>
            <w:tcBorders>
              <w:left w:val="single" w:sz="2" w:space="0" w:color="000000"/>
              <w:bottom w:val="single" w:sz="2" w:space="0" w:color="000000"/>
            </w:tcBorders>
            <w:shd w:val="clear" w:color="auto" w:fill="auto"/>
            <w:tcMar>
              <w:left w:w="54" w:type="dxa"/>
            </w:tcMar>
          </w:tcPr>
          <w:p w14:paraId="57B2DE39" w14:textId="77777777" w:rsidR="00B2345B" w:rsidRDefault="00F31ED2">
            <w:pPr>
              <w:pStyle w:val="TableContents"/>
              <w:jc w:val="both"/>
            </w:pPr>
            <w:r>
              <w:t>elincRNA</w:t>
            </w:r>
          </w:p>
        </w:tc>
        <w:tc>
          <w:tcPr>
            <w:tcW w:w="3213" w:type="dxa"/>
            <w:tcBorders>
              <w:left w:val="single" w:sz="2" w:space="0" w:color="000000"/>
              <w:bottom w:val="single" w:sz="2" w:space="0" w:color="000000"/>
            </w:tcBorders>
            <w:shd w:val="clear" w:color="auto" w:fill="auto"/>
            <w:tcMar>
              <w:left w:w="54" w:type="dxa"/>
            </w:tcMar>
          </w:tcPr>
          <w:p w14:paraId="040407DA" w14:textId="77777777" w:rsidR="00B2345B" w:rsidRDefault="00F31ED2">
            <w:pPr>
              <w:pStyle w:val="TableContents"/>
              <w:jc w:val="both"/>
            </w:pPr>
            <w:r>
              <w:t>Overlaps enhancers only</w:t>
            </w:r>
          </w:p>
        </w:tc>
        <w:tc>
          <w:tcPr>
            <w:tcW w:w="3213" w:type="dxa"/>
            <w:tcBorders>
              <w:left w:val="single" w:sz="2" w:space="0" w:color="000000"/>
              <w:bottom w:val="single" w:sz="2" w:space="0" w:color="000000"/>
              <w:right w:val="single" w:sz="2" w:space="0" w:color="000000"/>
            </w:tcBorders>
            <w:shd w:val="clear" w:color="auto" w:fill="auto"/>
            <w:tcMar>
              <w:left w:w="54" w:type="dxa"/>
            </w:tcMar>
          </w:tcPr>
          <w:p w14:paraId="29ADF330" w14:textId="77777777" w:rsidR="00B2345B" w:rsidRDefault="00F31ED2">
            <w:pPr>
              <w:pStyle w:val="TableContents"/>
              <w:jc w:val="both"/>
            </w:pPr>
            <w:r>
              <w:t>236</w:t>
            </w:r>
          </w:p>
        </w:tc>
      </w:tr>
      <w:tr w:rsidR="00B2345B" w14:paraId="149ACA5C" w14:textId="77777777">
        <w:tc>
          <w:tcPr>
            <w:tcW w:w="3212" w:type="dxa"/>
            <w:tcBorders>
              <w:left w:val="single" w:sz="2" w:space="0" w:color="000000"/>
              <w:bottom w:val="single" w:sz="2" w:space="0" w:color="000000"/>
            </w:tcBorders>
            <w:shd w:val="clear" w:color="auto" w:fill="auto"/>
            <w:tcMar>
              <w:left w:w="54" w:type="dxa"/>
            </w:tcMar>
          </w:tcPr>
          <w:p w14:paraId="5D278909" w14:textId="77777777" w:rsidR="00B2345B" w:rsidRDefault="00F31ED2">
            <w:pPr>
              <w:pStyle w:val="TableContents"/>
              <w:jc w:val="both"/>
            </w:pPr>
            <w:r>
              <w:t>plincRNA</w:t>
            </w:r>
          </w:p>
        </w:tc>
        <w:tc>
          <w:tcPr>
            <w:tcW w:w="3213" w:type="dxa"/>
            <w:tcBorders>
              <w:left w:val="single" w:sz="2" w:space="0" w:color="000000"/>
              <w:bottom w:val="single" w:sz="2" w:space="0" w:color="000000"/>
            </w:tcBorders>
            <w:shd w:val="clear" w:color="auto" w:fill="auto"/>
            <w:tcMar>
              <w:left w:w="54" w:type="dxa"/>
            </w:tcMar>
          </w:tcPr>
          <w:p w14:paraId="50C0F5B6" w14:textId="77777777" w:rsidR="00B2345B" w:rsidRDefault="00F31ED2">
            <w:pPr>
              <w:pStyle w:val="TableContents"/>
              <w:jc w:val="both"/>
            </w:pPr>
            <w:r>
              <w:t xml:space="preserve">Overlaps promoter only. </w:t>
            </w:r>
          </w:p>
        </w:tc>
        <w:tc>
          <w:tcPr>
            <w:tcW w:w="3213" w:type="dxa"/>
            <w:tcBorders>
              <w:left w:val="single" w:sz="2" w:space="0" w:color="000000"/>
              <w:bottom w:val="single" w:sz="2" w:space="0" w:color="000000"/>
              <w:right w:val="single" w:sz="2" w:space="0" w:color="000000"/>
            </w:tcBorders>
            <w:shd w:val="clear" w:color="auto" w:fill="auto"/>
            <w:tcMar>
              <w:left w:w="54" w:type="dxa"/>
            </w:tcMar>
          </w:tcPr>
          <w:p w14:paraId="159F1FFC" w14:textId="77777777" w:rsidR="00B2345B" w:rsidRDefault="00F31ED2">
            <w:pPr>
              <w:pStyle w:val="TableContents"/>
              <w:jc w:val="both"/>
            </w:pPr>
            <w:r>
              <w:t>480</w:t>
            </w:r>
          </w:p>
        </w:tc>
      </w:tr>
      <w:tr w:rsidR="00B2345B" w14:paraId="2C35FE0A" w14:textId="77777777">
        <w:tc>
          <w:tcPr>
            <w:tcW w:w="3212" w:type="dxa"/>
            <w:tcBorders>
              <w:left w:val="single" w:sz="2" w:space="0" w:color="000000"/>
              <w:bottom w:val="single" w:sz="2" w:space="0" w:color="000000"/>
            </w:tcBorders>
            <w:shd w:val="clear" w:color="auto" w:fill="auto"/>
            <w:tcMar>
              <w:left w:w="54" w:type="dxa"/>
            </w:tcMar>
          </w:tcPr>
          <w:p w14:paraId="1151EDA9" w14:textId="77777777" w:rsidR="00B2345B" w:rsidRDefault="00F31ED2">
            <w:pPr>
              <w:pStyle w:val="TableContents"/>
              <w:jc w:val="both"/>
            </w:pPr>
            <w:r>
              <w:t>Other lincRNA</w:t>
            </w:r>
          </w:p>
        </w:tc>
        <w:tc>
          <w:tcPr>
            <w:tcW w:w="3213" w:type="dxa"/>
            <w:tcBorders>
              <w:left w:val="single" w:sz="2" w:space="0" w:color="000000"/>
              <w:bottom w:val="single" w:sz="2" w:space="0" w:color="000000"/>
            </w:tcBorders>
            <w:shd w:val="clear" w:color="auto" w:fill="auto"/>
            <w:tcMar>
              <w:left w:w="54" w:type="dxa"/>
            </w:tcMar>
          </w:tcPr>
          <w:p w14:paraId="0F1735C1" w14:textId="77777777" w:rsidR="00B2345B" w:rsidRDefault="00F31ED2">
            <w:pPr>
              <w:pStyle w:val="TableContents"/>
              <w:jc w:val="both"/>
            </w:pPr>
            <w:r>
              <w:t>Overlaps neither promoter, nor enhancers</w:t>
            </w:r>
          </w:p>
        </w:tc>
        <w:tc>
          <w:tcPr>
            <w:tcW w:w="3213" w:type="dxa"/>
            <w:tcBorders>
              <w:left w:val="single" w:sz="2" w:space="0" w:color="000000"/>
              <w:bottom w:val="single" w:sz="2" w:space="0" w:color="000000"/>
              <w:right w:val="single" w:sz="2" w:space="0" w:color="000000"/>
            </w:tcBorders>
            <w:shd w:val="clear" w:color="auto" w:fill="auto"/>
            <w:tcMar>
              <w:left w:w="54" w:type="dxa"/>
            </w:tcMar>
          </w:tcPr>
          <w:p w14:paraId="0875D9ED" w14:textId="77777777" w:rsidR="00B2345B" w:rsidRDefault="00F31ED2">
            <w:pPr>
              <w:pStyle w:val="TableContents"/>
              <w:jc w:val="both"/>
            </w:pPr>
            <w:r>
              <w:t>1756</w:t>
            </w:r>
          </w:p>
        </w:tc>
      </w:tr>
    </w:tbl>
    <w:p w14:paraId="2E5F8E2A" w14:textId="77777777" w:rsidR="00B2345B" w:rsidRDefault="00B2345B">
      <w:pPr>
        <w:jc w:val="both"/>
      </w:pPr>
    </w:p>
    <w:p w14:paraId="22DDB481" w14:textId="77777777" w:rsidR="00B2345B" w:rsidRDefault="00B2345B">
      <w:pPr>
        <w:jc w:val="both"/>
      </w:pPr>
    </w:p>
    <w:p w14:paraId="2E628B23" w14:textId="77777777" w:rsidR="00B2345B" w:rsidRDefault="00F31ED2">
      <w:pPr>
        <w:jc w:val="both"/>
      </w:pPr>
      <w:r>
        <w:t>Figure 1: Median expression levels of elincRNAs compared with other lincRNA and protein-coding genes (PCG) in GM12878. Median expression values are displayed in the boxes. Two-tailed Mann-Whitney test, ***P&lt;0.001; – not significant</w:t>
      </w:r>
    </w:p>
    <w:p w14:paraId="15808221" w14:textId="77777777" w:rsidR="00B2345B" w:rsidRDefault="00F31ED2">
      <w:pPr>
        <w:jc w:val="both"/>
      </w:pPr>
      <w:r>
        <w:t>Figure 2: Comparison of sequence conservation through mammalian and primate evolution between elincRNAs, other lincRNAs and PCG. Averaged phastCons score is used as a measure. The green horizontal line represents the median conservation of ancestral repeats, which are assuming to be evolving neutrally. Two tailed Mann-Whitney test, ***P&lt;0.001.</w:t>
      </w:r>
    </w:p>
    <w:p w14:paraId="7E0CD93E" w14:textId="77777777" w:rsidR="00B2345B" w:rsidRDefault="00B2345B">
      <w:pPr>
        <w:jc w:val="both"/>
      </w:pPr>
    </w:p>
    <w:p w14:paraId="4DF714A3" w14:textId="77777777" w:rsidR="00B2345B" w:rsidRDefault="00F31ED2">
      <w:pPr>
        <w:jc w:val="both"/>
      </w:pPr>
      <w:r>
        <w:t>Figure 3: Enrichment of elincRNA promoter regions at TAD boundaries and loop anchors compared to other lincRNAs. Fold enrichments and associated q-values are displayed on the bars.</w:t>
      </w:r>
    </w:p>
    <w:p w14:paraId="1ADF8776" w14:textId="77777777" w:rsidR="00B2345B" w:rsidRDefault="00B2345B">
      <w:pPr>
        <w:jc w:val="both"/>
      </w:pPr>
    </w:p>
    <w:p w14:paraId="0C5C6FF8" w14:textId="77777777" w:rsidR="00B2345B" w:rsidRDefault="00F31ED2">
      <w:pPr>
        <w:jc w:val="both"/>
      </w:pPr>
      <w:r>
        <w:t>Figure 4: Enrichment of elincRNAs across TADs compared to other lincRNAs. Each bar represent a bin of 10% TAD length. The log10 of q-values are put in color codes to give an estimation of the confidence in each value.</w:t>
      </w:r>
    </w:p>
    <w:p w14:paraId="5140361D" w14:textId="77777777" w:rsidR="00B2345B" w:rsidRDefault="00B2345B">
      <w:pPr>
        <w:jc w:val="both"/>
      </w:pPr>
    </w:p>
    <w:p w14:paraId="2768D925" w14:textId="77777777" w:rsidR="00B2345B" w:rsidRDefault="00F31ED2">
      <w:pPr>
        <w:jc w:val="both"/>
      </w:pPr>
      <w:r>
        <w:t>Figure 5: Enrichment in architectural proteins in elincRNA promoter regions, compared to other lincRNA. Fold enrichment and associated q-values are displayed on the bars. SMC3 and RAD21 are subunits of cohesin.</w:t>
      </w:r>
    </w:p>
    <w:p w14:paraId="7C5F156A" w14:textId="77777777" w:rsidR="00B2345B" w:rsidRDefault="00B2345B">
      <w:pPr>
        <w:jc w:val="both"/>
      </w:pPr>
    </w:p>
    <w:p w14:paraId="66C56D74" w14:textId="77777777" w:rsidR="00B2345B" w:rsidRDefault="00F31ED2">
      <w:pPr>
        <w:jc w:val="both"/>
      </w:pPr>
      <w:r>
        <w:t>Figure 6: Proportions of overlap between RAD21, SMC3 and CTCF peaks in the human genome.</w:t>
      </w:r>
    </w:p>
    <w:p w14:paraId="3F04F559" w14:textId="77777777" w:rsidR="00B2345B" w:rsidRDefault="00B2345B">
      <w:pPr>
        <w:jc w:val="both"/>
      </w:pPr>
    </w:p>
    <w:p w14:paraId="3C453AFD" w14:textId="77777777" w:rsidR="00B2345B" w:rsidRDefault="00F31ED2">
      <w:pPr>
        <w:jc w:val="both"/>
      </w:pPr>
      <w:r>
        <w:lastRenderedPageBreak/>
        <w:t>Figure 7: Enrichment of CTCF and cohesin exclusive binding sites in promoter regions of elincRNAs compared to other lincRNAs. Fold enrichment and associated q-values are displayed on the bars.</w:t>
      </w:r>
    </w:p>
    <w:p w14:paraId="46F4C5B7" w14:textId="77777777" w:rsidR="00B2345B" w:rsidRDefault="00B2345B">
      <w:pPr>
        <w:jc w:val="both"/>
      </w:pPr>
    </w:p>
    <w:p w14:paraId="3751D419" w14:textId="77777777" w:rsidR="00B2345B" w:rsidRDefault="00F31ED2">
      <w:pPr>
        <w:jc w:val="both"/>
      </w:pPr>
      <w:r>
        <w:t>Figure 8: Mean amount of DNA-DNA contact within TADs for elincRNAs compared to other lincRNAs across different cell lines. Set of genes as defined in GM12878 are used for all comparisons. Two tailed Mann-Whitney test, ***P&lt;0.001; *P&lt;0.05; – non-significant</w:t>
      </w:r>
    </w:p>
    <w:p w14:paraId="59429C05" w14:textId="77777777" w:rsidR="00B2345B" w:rsidRDefault="00B2345B">
      <w:pPr>
        <w:jc w:val="both"/>
      </w:pPr>
    </w:p>
    <w:p w14:paraId="6B685CF5" w14:textId="77777777" w:rsidR="00B2345B" w:rsidRDefault="00F31ED2">
      <w:pPr>
        <w:jc w:val="both"/>
      </w:pPr>
      <w:r>
        <w:t>Figure 9: Schematic representation of TADs and loops and typical patterns  observed in Hi-C matrices in corresponding to these structures. Center</w:t>
      </w:r>
      <w:proofErr w:type="gramStart"/>
      <w:r>
        <w:t>:  Example</w:t>
      </w:r>
      <w:proofErr w:type="gramEnd"/>
      <w:r>
        <w:t xml:space="preserv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14:paraId="1DC3077C" w14:textId="77777777" w:rsidR="00B2345B" w:rsidRDefault="00B2345B">
      <w:pPr>
        <w:jc w:val="both"/>
      </w:pPr>
    </w:p>
    <w:p w14:paraId="5E02E9DA" w14:textId="77777777" w:rsidR="00B2345B" w:rsidRDefault="00F31ED2">
      <w:pPr>
        <w:jc w:val="both"/>
      </w:pPr>
      <w:r>
        <w:t xml:space="preserve">Figure 10: Visual representations of the algorithms used to compute contacts in Hi-C matrices. As they are symmetric, matrices are represented as upper triangles for simplicity reasons. Left: Method used to compute the mean of all interactions in TADs. Each TAD is taken as a submatrix (upper triangles of the submatrices are depicted in blue) and the mean value in the submatrix is computed. Right: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p>
    <w:p w14:paraId="30D226D0" w14:textId="77777777" w:rsidR="00B2345B" w:rsidRDefault="00B2345B">
      <w:pPr>
        <w:jc w:val="both"/>
      </w:pPr>
    </w:p>
    <w:p w14:paraId="0927D282" w14:textId="77777777" w:rsidR="00B2345B" w:rsidRDefault="00F31ED2">
      <w:pPr>
        <w:jc w:val="both"/>
      </w:pPr>
      <w:r>
        <w:t>Figure 11: 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p>
    <w:p w14:paraId="57C369A4" w14:textId="77777777" w:rsidR="00B2345B" w:rsidRDefault="00B2345B">
      <w:pPr>
        <w:jc w:val="both"/>
      </w:pPr>
    </w:p>
    <w:p w14:paraId="7EB89D0E" w14:textId="77777777" w:rsidR="00B2345B" w:rsidRDefault="00F31ED2">
      <w:pPr>
        <w:jc w:val="both"/>
      </w:pPr>
      <w:commentRangeStart w:id="59"/>
      <w:r>
        <w:t>Figure S1: Expression of elincRNAs compared with other lincRNAs and PCG in different cell lines. Sets of genes as defined in GM12878 are used in all comparisons. Two-tailed Mann-Whitney test, ***P&lt;0.001; – not significant</w:t>
      </w:r>
    </w:p>
    <w:p w14:paraId="0B6E122F" w14:textId="77777777" w:rsidR="00B2345B" w:rsidRDefault="00B2345B">
      <w:pPr>
        <w:jc w:val="both"/>
      </w:pPr>
    </w:p>
    <w:p w14:paraId="18BC3E5D" w14:textId="77777777" w:rsidR="00B2345B" w:rsidRDefault="00F31ED2">
      <w:pPr>
        <w:jc w:val="both"/>
      </w:pPr>
      <w:r>
        <w:t>Figure S2: Tissue specificity of elincRNA compared to other lincRNA and protein-coding genes. Tissue specificity index (Tau) is used as a measure of tissue specificity, with 1 being the highest possible specificity and 0 being the lowest. Median values are displayed on the boxes. Two tailed Mann-Whitney test, ***P&lt;0.001; – non-significant</w:t>
      </w:r>
    </w:p>
    <w:commentRangeEnd w:id="59"/>
    <w:p w14:paraId="08B12C7D" w14:textId="77777777" w:rsidR="00B2345B" w:rsidRDefault="0044460B">
      <w:pPr>
        <w:jc w:val="both"/>
      </w:pPr>
      <w:r>
        <w:rPr>
          <w:rStyle w:val="CommentReference"/>
        </w:rPr>
        <w:commentReference w:id="59"/>
      </w:r>
    </w:p>
    <w:p w14:paraId="10045B74" w14:textId="77777777" w:rsidR="00B2345B" w:rsidRDefault="00F31ED2">
      <w:pPr>
        <w:jc w:val="both"/>
      </w:pPr>
      <w:proofErr w:type="gramStart"/>
      <w:r>
        <w:t>4.Discussion</w:t>
      </w:r>
      <w:proofErr w:type="gramEnd"/>
      <w:r>
        <w:t>:</w:t>
      </w:r>
    </w:p>
    <w:p w14:paraId="123532C8" w14:textId="77777777" w:rsidR="00B2345B" w:rsidRDefault="00B2345B">
      <w:pPr>
        <w:jc w:val="both"/>
      </w:pPr>
    </w:p>
    <w:p w14:paraId="1DE9DAA1" w14:textId="77777777" w:rsidR="00B2345B" w:rsidRDefault="00F31ED2">
      <w:pPr>
        <w:jc w:val="both"/>
      </w:pPr>
      <w:r>
        <w:t xml:space="preserve">Found/didn’t found association between elincRNAs </w:t>
      </w:r>
      <w:proofErr w:type="gramStart"/>
      <w:r>
        <w:t>and….</w:t>
      </w:r>
      <w:proofErr w:type="gramEnd"/>
    </w:p>
    <w:p w14:paraId="2F752044" w14:textId="77777777" w:rsidR="00B2345B" w:rsidRDefault="00F31ED2">
      <w:pPr>
        <w:jc w:val="both"/>
      </w:pPr>
      <w:r>
        <w:t xml:space="preserve"> </w:t>
      </w:r>
      <w:r>
        <w:t> Although these results suggest a role for elincRNAs in TAD organization, they provide no information on their exact function of mechanistic role.</w:t>
      </w:r>
    </w:p>
    <w:p w14:paraId="3B639902" w14:textId="77777777" w:rsidR="00B2345B" w:rsidRDefault="00B2345B">
      <w:pPr>
        <w:jc w:val="both"/>
      </w:pPr>
    </w:p>
    <w:p w14:paraId="76F1C66D" w14:textId="77777777" w:rsidR="00B2345B" w:rsidRDefault="00F31ED2">
      <w:pPr>
        <w:jc w:val="both"/>
      </w:pPr>
      <w:r>
        <w:lastRenderedPageBreak/>
        <w:t xml:space="preserve">Most active enhancers are transcribed (Arner et </w:t>
      </w:r>
      <w:proofErr w:type="gramStart"/>
      <w:r>
        <w:t>al.,</w:t>
      </w:r>
      <w:proofErr w:type="gramEnd"/>
      <w:r>
        <w:t xml:space="preserve"> 2015)⁠ and the resulting transcripts are hypothesized to recruit transcription factors to increase transcriptional activity. </w:t>
      </w:r>
    </w:p>
    <w:p w14:paraId="34564899" w14:textId="77777777" w:rsidR="00B2345B" w:rsidRDefault="00F31ED2">
      <w:pPr>
        <w:jc w:val="both"/>
      </w:pPr>
      <w:proofErr w:type="gramStart"/>
      <w:r>
        <w:t>t</w:t>
      </w:r>
      <w:proofErr w:type="gramEnd"/>
      <w:r>
        <w:t xml:space="preserve"> is still uncertain whether this is achieved by the transcript itself, or the act of transcription, but experiments showed evidences for a trancript-dependent role of eRNAs in the formation of promoter-enhancer loops, as reducing their abundance reduced promoter-enhancer contacts (Li et al., 2013)⁠. </w:t>
      </w:r>
    </w:p>
    <w:p w14:paraId="6D2BD8F1" w14:textId="77777777" w:rsidR="00B2345B" w:rsidRDefault="00B2345B">
      <w:pPr>
        <w:jc w:val="both"/>
      </w:pPr>
    </w:p>
    <w:p w14:paraId="462E7AB4" w14:textId="77777777" w:rsidR="00B2345B" w:rsidRDefault="00B2345B">
      <w:pPr>
        <w:jc w:val="both"/>
      </w:pPr>
    </w:p>
    <w:p w14:paraId="00262DA0" w14:textId="77777777" w:rsidR="00B2345B" w:rsidRDefault="00F31ED2">
      <w:pPr>
        <w:jc w:val="both"/>
      </w:pPr>
      <w:r>
        <w:t>5. Materials and methods:</w:t>
      </w:r>
    </w:p>
    <w:p w14:paraId="53B10B9F" w14:textId="77777777" w:rsidR="00B2345B" w:rsidRDefault="00B2345B">
      <w:pPr>
        <w:jc w:val="both"/>
      </w:pPr>
    </w:p>
    <w:p w14:paraId="4A17AAF4" w14:textId="77777777" w:rsidR="00B2345B" w:rsidRDefault="00F31ED2">
      <w:pPr>
        <w:jc w:val="both"/>
      </w:pPr>
      <w:r>
        <w:t>Unless stated otherwise, all statistical tests were performed using R 3.3.1 (R Core Team, 2016</w:t>
      </w:r>
      <w:proofErr w:type="gramStart"/>
      <w:r>
        <w:t>)⁠</w:t>
      </w:r>
      <w:proofErr w:type="gramEnd"/>
      <w:r>
        <w:t>. Overlapping of genomic elements were done using either bedtools 2.26 (Quinlan &amp; Hall, 2010</w:t>
      </w:r>
      <w:proofErr w:type="gramStart"/>
      <w:r>
        <w:t>)⁠</w:t>
      </w:r>
      <w:proofErr w:type="gramEnd"/>
      <w:r>
        <w:t>or the “intervals” package (Bourgon, 2015)⁠ in R. Manipulations on Hi-C contact matrices were performed using the “Matrix” package (Bates &amp; Maechler, 2016)⁠.</w:t>
      </w:r>
    </w:p>
    <w:p w14:paraId="090632DA" w14:textId="77777777" w:rsidR="00B2345B" w:rsidRDefault="00B2345B">
      <w:pPr>
        <w:jc w:val="both"/>
      </w:pPr>
    </w:p>
    <w:p w14:paraId="4DD9915D" w14:textId="77777777" w:rsidR="00B2345B" w:rsidRDefault="00B2345B">
      <w:pPr>
        <w:jc w:val="both"/>
      </w:pPr>
    </w:p>
    <w:p w14:paraId="2EAA7128" w14:textId="77777777" w:rsidR="00B2345B" w:rsidRDefault="00F31ED2">
      <w:pPr>
        <w:jc w:val="both"/>
      </w:pPr>
      <w:r>
        <w:t>Genes</w:t>
      </w:r>
    </w:p>
    <w:p w14:paraId="5BC3D33C" w14:textId="77777777" w:rsidR="00B2345B" w:rsidRDefault="00B2345B">
      <w:pPr>
        <w:jc w:val="both"/>
      </w:pPr>
    </w:p>
    <w:p w14:paraId="028B9E7C" w14:textId="77777777" w:rsidR="00B2345B" w:rsidRDefault="00F31ED2">
      <w:pPr>
        <w:jc w:val="both"/>
      </w:pPr>
      <w:r>
        <w:t>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These regulatory elements are predicted computationally from Chip-seq data by a hidden Markov-model. Only predicted active promoters where considered when using promoters, and all enhancers when considering enhancers. The 2 categories of lincRNAs that are used throughout this report are elincRNAs, defined as overlapping enhancers but no promoters in their promoter region, and other lincRNAs defined as overlapping neither enhancer nor promoters in their promoter region.</w:t>
      </w:r>
    </w:p>
    <w:p w14:paraId="414BADEC" w14:textId="77777777" w:rsidR="00B2345B" w:rsidRDefault="00B2345B">
      <w:pPr>
        <w:jc w:val="both"/>
      </w:pPr>
    </w:p>
    <w:p w14:paraId="0F5C1D64" w14:textId="77777777" w:rsidR="00B2345B" w:rsidRDefault="00B2345B">
      <w:pPr>
        <w:jc w:val="both"/>
      </w:pPr>
    </w:p>
    <w:p w14:paraId="5BE049F6" w14:textId="77777777" w:rsidR="00B2345B" w:rsidRDefault="00F31ED2">
      <w:pPr>
        <w:jc w:val="both"/>
      </w:pPr>
      <w:r>
        <w:t>TAD definition</w:t>
      </w:r>
    </w:p>
    <w:p w14:paraId="46824AE4" w14:textId="77777777" w:rsidR="00B2345B" w:rsidRDefault="00B2345B">
      <w:pPr>
        <w:jc w:val="both"/>
      </w:pPr>
    </w:p>
    <w:p w14:paraId="0F7FF595" w14:textId="77777777" w:rsidR="00B2345B" w:rsidRDefault="00F31ED2">
      <w:pPr>
        <w:jc w:val="both"/>
      </w:pPr>
      <w: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14:paraId="3AFD060F" w14:textId="77777777" w:rsidR="00B2345B" w:rsidRDefault="00B2345B">
      <w:pPr>
        <w:jc w:val="both"/>
      </w:pPr>
    </w:p>
    <w:p w14:paraId="17DE3861" w14:textId="77777777" w:rsidR="00B2345B" w:rsidRDefault="00B2345B">
      <w:pPr>
        <w:jc w:val="both"/>
      </w:pPr>
    </w:p>
    <w:p w14:paraId="4325AD4A" w14:textId="77777777" w:rsidR="00B2345B" w:rsidRDefault="00F31ED2">
      <w:pPr>
        <w:jc w:val="both"/>
      </w:pPr>
      <w:r>
        <w:t>TAD boundaries definition</w:t>
      </w:r>
    </w:p>
    <w:p w14:paraId="1775D7BC" w14:textId="77777777" w:rsidR="00B2345B" w:rsidRDefault="00B2345B">
      <w:pPr>
        <w:jc w:val="both"/>
      </w:pPr>
    </w:p>
    <w:p w14:paraId="1EE217B3" w14:textId="77777777" w:rsidR="00B2345B" w:rsidRDefault="00F31ED2">
      <w:pPr>
        <w:jc w:val="both"/>
      </w:pPr>
      <w:r>
        <w:t xml:space="preserve">Boundaries are extended from TAD borders towards the interior of TADs using a custom algorithm (Figure 10). The method used to define boundaries relies on the assumption that boundaries are insulated regions. In other words, there are few  interactions between elements before and after the boundaries. The insulation is measured by sliding a diamond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14:paraId="62B3DDAE" w14:textId="77777777" w:rsidR="00B2345B" w:rsidRDefault="00F31ED2">
      <w:pPr>
        <w:jc w:val="both"/>
      </w:pPr>
      <w: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14:paraId="294C4A22" w14:textId="77777777" w:rsidR="00B2345B" w:rsidRDefault="00B2345B">
      <w:pPr>
        <w:jc w:val="both"/>
      </w:pPr>
    </w:p>
    <w:p w14:paraId="6EC4BFBC" w14:textId="77777777" w:rsidR="00B2345B" w:rsidRDefault="00F31ED2">
      <w:pPr>
        <w:jc w:val="both"/>
      </w:pPr>
      <w:r>
        <w:lastRenderedPageBreak/>
        <w:t>$\left</w:t>
      </w:r>
      <w:proofErr w:type="gramStart"/>
      <w:r>
        <w:t>\{</w:t>
      </w:r>
      <w:proofErr w:type="gramEnd"/>
      <w:r>
        <w:t>\begin{matrix}1\leq w\leq \frac{n}{2}+1 \\ \forall d\in\left \{ w , ... , n-\left ( w-1 \right ) \right \}\end{matrix}\right. V_{d}=\sum_{i=d-(w-1)}^{d}\sum_{j=d}^{d+(w-1)}M_{i,j}$</w:t>
      </w:r>
    </w:p>
    <w:p w14:paraId="0CFC70C8" w14:textId="77777777" w:rsidR="00B2345B" w:rsidRDefault="00B2345B">
      <w:pPr>
        <w:jc w:val="both"/>
      </w:pPr>
    </w:p>
    <w:p w14:paraId="4B7F6845" w14:textId="77777777" w:rsidR="00B2345B" w:rsidRDefault="00F31ED2">
      <w:pPr>
        <w:jc w:val="both"/>
      </w:pPr>
      <w:r>
        <w:t>The sums from the diamond are then used to compute boundaries. For all TADs, boundaries are extended inwards from the borders as long as the value of V does not exceed a threshold defined as the starting value (at the border) plus 10% of the maximum value in the TAD (Figure 11).</w:t>
      </w:r>
    </w:p>
    <w:p w14:paraId="71D00112" w14:textId="77777777" w:rsidR="00B2345B" w:rsidRDefault="00B2345B">
      <w:pPr>
        <w:jc w:val="both"/>
      </w:pPr>
    </w:p>
    <w:p w14:paraId="53C5FFDB" w14:textId="77777777" w:rsidR="00B2345B" w:rsidRDefault="00F31ED2">
      <w:pPr>
        <w:jc w:val="both"/>
      </w:pPr>
      <w:r>
        <w:t>TADs were split into 10 bins of 10% their length. This threshold was chosen based on previous findings showing an increase in transcriptional activity at ~10% from the TAD border (Histogram from summary 3).</w:t>
      </w:r>
    </w:p>
    <w:p w14:paraId="6DF5592F" w14:textId="77777777" w:rsidR="00B2345B" w:rsidRDefault="00B2345B">
      <w:pPr>
        <w:jc w:val="both"/>
      </w:pPr>
    </w:p>
    <w:p w14:paraId="786B5E1A" w14:textId="77777777" w:rsidR="00B2345B" w:rsidRDefault="00F31ED2">
      <w:pPr>
        <w:jc w:val="both"/>
      </w:pPr>
      <w:r>
        <w:t>Conservation and tissue specificity</w:t>
      </w:r>
    </w:p>
    <w:p w14:paraId="4A05F95D" w14:textId="77777777" w:rsidR="00B2345B" w:rsidRDefault="00B2345B">
      <w:pPr>
        <w:jc w:val="both"/>
      </w:pPr>
    </w:p>
    <w:p w14:paraId="623C509B" w14:textId="77777777" w:rsidR="00B2345B" w:rsidRDefault="00F31ED2">
      <w:pPr>
        <w:jc w:val="both"/>
      </w:pPr>
      <w:r>
        <w:t xml:space="preserve">The sequence conservation was previously calculated (Tan Yihong, J., unpublished) using phastCons scores (Siepel et </w:t>
      </w:r>
      <w:proofErr w:type="gramStart"/>
      <w:r>
        <w:t>al.,</w:t>
      </w:r>
      <w:proofErr w:type="gramEnd"/>
      <w:r>
        <w:t xml:space="preserve"> 2005)⁠. Tissue specificity index (Tau) was computed following the described in Kryuchkova &amp; Robinson-Rechavi (2015⁠), considering only genes with expression above a 0.1 [RPKM?] cutoff.</w:t>
      </w:r>
    </w:p>
    <w:p w14:paraId="3EED32C2" w14:textId="77777777" w:rsidR="00B2345B" w:rsidRDefault="00B2345B">
      <w:pPr>
        <w:jc w:val="both"/>
      </w:pPr>
    </w:p>
    <w:p w14:paraId="2CC11E42" w14:textId="77777777" w:rsidR="00B2345B" w:rsidRDefault="00F31ED2">
      <w:pPr>
        <w:jc w:val="both"/>
      </w:pPr>
      <w:r>
        <w:t>Expression levels</w:t>
      </w:r>
    </w:p>
    <w:p w14:paraId="07B2A565" w14:textId="77777777" w:rsidR="00B2345B" w:rsidRDefault="00B2345B">
      <w:pPr>
        <w:jc w:val="both"/>
      </w:pPr>
    </w:p>
    <w:p w14:paraId="6B7FB7E1" w14:textId="77777777" w:rsidR="00B2345B" w:rsidRDefault="00F31ED2">
      <w:pPr>
        <w:jc w:val="both"/>
      </w:pPr>
      <w:r>
        <w:t>Median expression levels were computed from [the GEUVADIS 1000 Genomes project expression matrix. The matrix contains expression data for 373 individuals.] → encode, source ?</w:t>
      </w:r>
    </w:p>
    <w:p w14:paraId="1DBE28AE" w14:textId="77777777" w:rsidR="00B2345B" w:rsidRDefault="00B2345B">
      <w:pPr>
        <w:jc w:val="both"/>
      </w:pPr>
    </w:p>
    <w:p w14:paraId="232B4B18" w14:textId="77777777" w:rsidR="00B2345B" w:rsidRDefault="00F31ED2">
      <w:pPr>
        <w:jc w:val="both"/>
      </w:pPr>
      <w:r>
        <w:t>DNA-DNA contacts</w:t>
      </w:r>
    </w:p>
    <w:p w14:paraId="4EEC8DD1" w14:textId="77777777" w:rsidR="00B2345B" w:rsidRDefault="00B2345B">
      <w:pPr>
        <w:jc w:val="both"/>
      </w:pPr>
    </w:p>
    <w:p w14:paraId="64096A4F" w14:textId="77777777" w:rsidR="00B2345B" w:rsidRDefault="00F31ED2">
      <w:pPr>
        <w:jc w:val="both"/>
      </w:pPr>
      <w:r>
        <w:t>Contacts were calculated using Hi-C contact matrices from Rao et al (2014). All computations are performed on 5kb resolution matrices with a MAPQ score of at least 30.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14:paraId="58403B4E" w14:textId="77777777" w:rsidR="00B2345B" w:rsidRDefault="00F31ED2">
      <w:pPr>
        <w:jc w:val="both"/>
      </w:pPr>
      <w: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14:paraId="332FFAAD" w14:textId="77777777" w:rsidR="00B2345B" w:rsidRDefault="00B2345B">
      <w:pPr>
        <w:jc w:val="both"/>
      </w:pPr>
    </w:p>
    <w:p w14:paraId="52B0826F" w14:textId="77777777" w:rsidR="00B2345B" w:rsidRDefault="00F31ED2">
      <w:pPr>
        <w:jc w:val="both"/>
      </w:pPr>
      <w:r>
        <w:t>Chip-seq</w:t>
      </w:r>
    </w:p>
    <w:p w14:paraId="5888B005" w14:textId="77777777" w:rsidR="00B2345B" w:rsidRDefault="00B2345B">
      <w:pPr>
        <w:jc w:val="both"/>
      </w:pPr>
    </w:p>
    <w:p w14:paraId="0ED5858A" w14:textId="77777777" w:rsidR="00B2345B" w:rsidRDefault="00F31ED2">
      <w:pPr>
        <w:jc w:val="both"/>
      </w:pPr>
      <w:r>
        <w:t xml:space="preserve">Chip-seq data for CTCF, RAD21 and SMC3 in GM12878 were retrieved from the ENCODE website. </w:t>
      </w:r>
    </w:p>
    <w:p w14:paraId="3070AAD1" w14:textId="77777777" w:rsidR="00B2345B" w:rsidRDefault="00B2345B">
      <w:pPr>
        <w:jc w:val="both"/>
      </w:pPr>
    </w:p>
    <w:p w14:paraId="6D55E9CB" w14:textId="77777777" w:rsidR="00B2345B" w:rsidRDefault="00B2345B">
      <w:pPr>
        <w:jc w:val="both"/>
      </w:pPr>
    </w:p>
    <w:p w14:paraId="13F6F0BB" w14:textId="77777777" w:rsidR="00B2345B" w:rsidRDefault="00F31ED2">
      <w:pPr>
        <w:jc w:val="both"/>
      </w:pPr>
      <w:r>
        <w:t>Enrichment of genetic elements</w:t>
      </w:r>
    </w:p>
    <w:p w14:paraId="037E03A3" w14:textId="77777777" w:rsidR="00B2345B" w:rsidRDefault="00B2345B">
      <w:pPr>
        <w:jc w:val="both"/>
      </w:pPr>
    </w:p>
    <w:p w14:paraId="145E458E" w14:textId="77777777" w:rsidR="00B2345B" w:rsidRDefault="00F31ED2">
      <w:pPr>
        <w:jc w:val="both"/>
      </w:pPr>
      <w:r>
        <w:t xml:space="preserve">All enrichment tests were performed using the genome association tester (GAT) (Heger et </w:t>
      </w:r>
      <w:proofErr w:type="gramStart"/>
      <w:r>
        <w:t>al.,</w:t>
      </w:r>
      <w:proofErr w:type="gramEnd"/>
      <w:r>
        <w:t xml:space="preserve"> 2013)⁠ version 1.2. All tests for enrichment of lincRNAs were performed using the intergenic space of the genome as a workspace. When testing for enrichment of protein-coding genes, the protein coding space of the genome was used as the workspace. For all tests, the number of samples was set to 10,000, the number of buckets was consequently adjusted to 270,000 and segments overlap was used as the measure.</w:t>
      </w:r>
    </w:p>
    <w:p w14:paraId="7F9F1B0B" w14:textId="77777777" w:rsidR="00B2345B" w:rsidRDefault="00B2345B">
      <w:pPr>
        <w:jc w:val="both"/>
      </w:pPr>
    </w:p>
    <w:p w14:paraId="15DD799F" w14:textId="77777777" w:rsidR="00B2345B" w:rsidRDefault="00B2345B">
      <w:pPr>
        <w:jc w:val="both"/>
      </w:pPr>
    </w:p>
    <w:p w14:paraId="6C8F8FB7" w14:textId="77777777" w:rsidR="00B2345B" w:rsidRDefault="00B2345B">
      <w:pPr>
        <w:jc w:val="both"/>
      </w:pPr>
    </w:p>
    <w:p w14:paraId="5A896035" w14:textId="77777777" w:rsidR="00B2345B" w:rsidRDefault="00B2345B">
      <w:pPr>
        <w:jc w:val="both"/>
      </w:pPr>
    </w:p>
    <w:p w14:paraId="633CAD7D" w14:textId="77777777" w:rsidR="00B2345B" w:rsidRDefault="00B2345B">
      <w:pPr>
        <w:jc w:val="both"/>
      </w:pPr>
    </w:p>
    <w:p w14:paraId="29D88541" w14:textId="77777777" w:rsidR="00B2345B" w:rsidRDefault="00B2345B">
      <w:pPr>
        <w:jc w:val="both"/>
      </w:pPr>
    </w:p>
    <w:p w14:paraId="727CD737" w14:textId="77777777" w:rsidR="00B2345B" w:rsidRDefault="00F31ED2">
      <w:pPr>
        <w:jc w:val="both"/>
      </w:pPr>
      <w:r>
        <w:t>6. References:</w:t>
      </w:r>
    </w:p>
    <w:p w14:paraId="3A59598F" w14:textId="77777777" w:rsidR="00B2345B" w:rsidRDefault="00B2345B">
      <w:pPr>
        <w:jc w:val="both"/>
      </w:pPr>
    </w:p>
    <w:p w14:paraId="10CD911A" w14:textId="77777777" w:rsidR="00B2345B" w:rsidRDefault="00B2345B">
      <w:pPr>
        <w:jc w:val="both"/>
      </w:pPr>
    </w:p>
    <w:p w14:paraId="3944573B" w14:textId="77777777" w:rsidR="00B2345B" w:rsidRDefault="00B2345B">
      <w:pPr>
        <w:jc w:val="both"/>
      </w:pPr>
    </w:p>
    <w:p w14:paraId="0DD34289" w14:textId="77777777" w:rsidR="00B2345B" w:rsidRDefault="00F31ED2">
      <w:pPr>
        <w:jc w:val="both"/>
      </w:pPr>
      <w:r>
        <w:t>Arner, E., Daub, C. O., Vitting-Seerup, K., Andersson, R., Lilje, B., Drabløs, F., … Hayashizaki, Y. (2015). Transcribed enhancers lead waves of coordinated transcription in transitioning mammalian cells. Science (New York, N.Y.), 347(6225), 1010–4. http://doi.org/10.1126/science.1259418</w:t>
      </w:r>
    </w:p>
    <w:p w14:paraId="7CAC3BE9" w14:textId="77777777" w:rsidR="00B2345B" w:rsidRDefault="00F31ED2">
      <w:pPr>
        <w:jc w:val="both"/>
      </w:pPr>
      <w:r>
        <w:t xml:space="preserve">Bates, D., &amp; Maechler, M. (2016). Matrix: Sparse and Dense Matrix Classes and Methods. </w:t>
      </w:r>
      <w:proofErr w:type="gramStart"/>
      <w:r>
        <w:t>manual</w:t>
      </w:r>
      <w:proofErr w:type="gramEnd"/>
      <w:r>
        <w:t>.</w:t>
      </w:r>
    </w:p>
    <w:p w14:paraId="7683580C" w14:textId="77777777" w:rsidR="00B2345B" w:rsidRDefault="00F31ED2">
      <w:pPr>
        <w:jc w:val="both"/>
      </w:pPr>
      <w:r>
        <w:t xml:space="preserve">Bourgon, R. (2015). </w:t>
      </w:r>
      <w:proofErr w:type="gramStart"/>
      <w:r>
        <w:t>intervals</w:t>
      </w:r>
      <w:proofErr w:type="gramEnd"/>
      <w:r>
        <w:t xml:space="preserve">: Tools for Working with Points and Intervals. </w:t>
      </w:r>
      <w:proofErr w:type="gramStart"/>
      <w:r>
        <w:t>manual</w:t>
      </w:r>
      <w:proofErr w:type="gramEnd"/>
      <w:r>
        <w:t>.</w:t>
      </w:r>
    </w:p>
    <w:p w14:paraId="27D5AEAF" w14:textId="77777777" w:rsidR="00B2345B" w:rsidRDefault="00F31ED2">
      <w:pPr>
        <w:jc w:val="both"/>
      </w:pPr>
      <w:r>
        <w:t xml:space="preserve">Darrow, E. M., &amp; Chadwick, B. P. (2013). Boosting transcription by transcription: enhancer-associated transcripts. Chromosome Research, 21(6), 713–724. </w:t>
      </w:r>
      <w:proofErr w:type="gramStart"/>
      <w:r>
        <w:t>article</w:t>
      </w:r>
      <w:proofErr w:type="gramEnd"/>
      <w:r>
        <w:t>. http://doi.org/10.1007/s10577-013-9384-6</w:t>
      </w:r>
    </w:p>
    <w:p w14:paraId="4B9B3FD2" w14:textId="77777777" w:rsidR="00B2345B" w:rsidRDefault="00F31ED2">
      <w:pPr>
        <w:jc w:val="both"/>
      </w:pPr>
      <w:r>
        <w:t>Durand, N. C., Robinson, J. T., Shamim, M. S., Machol, I., Mesirov, J. P., Lander, E. S., &amp; Aiden, E. L. (2016). Juicebox Provides a Visualization System for Hi-C Contact Maps with Unlimited Zoom. Cell Systems, 3(1), 99–101. http://doi.org/10.1016/j.cels.2015.07.012</w:t>
      </w:r>
    </w:p>
    <w:p w14:paraId="1DEC49BC" w14:textId="77777777" w:rsidR="00B2345B" w:rsidRDefault="00F31ED2">
      <w:pPr>
        <w:jc w:val="both"/>
      </w:pPr>
      <w:r>
        <w:t>ENCODE Project, Bernstein, B. E., Birney, E., Dunham, I., Green, E. D., Gunter, C., &amp; Snyder, M. (2012). An integrated encyclopedia of DNA elements in the human genome. Nature, 489(7414), 57–74. http://doi.org/nature11247 [pii]\n10.1038/nature11247</w:t>
      </w:r>
    </w:p>
    <w:p w14:paraId="0CD58119" w14:textId="77777777" w:rsidR="00B2345B" w:rsidRDefault="00F31ED2">
      <w:pPr>
        <w:jc w:val="both"/>
      </w:pPr>
      <w:r>
        <w:t>Engreitz, J. M., Ollikainen, N., &amp; Guttman, M. (2016). Long non-coding RNAs: spatial amplifiers that control nuclear structure and gene expression. Nature Reviews Molecular Cell Biology, 17(12), 756–770. http://doi.org/10.1038/nrm.2016.126</w:t>
      </w:r>
    </w:p>
    <w:p w14:paraId="75C660B7" w14:textId="77777777" w:rsidR="00B2345B" w:rsidRDefault="00F31ED2">
      <w:pPr>
        <w:jc w:val="both"/>
      </w:pPr>
      <w:r>
        <w:t>Gorkin, D. U., Leung, D., &amp; Ren, B. (2014). The 3D genome in transcriptional regulation and pluripotency. Cell Stem Cell, 14(6), 771–775. http://doi.org/10.1016/j.stem.2014.05.017</w:t>
      </w:r>
    </w:p>
    <w:p w14:paraId="56793501" w14:textId="77777777" w:rsidR="00B2345B" w:rsidRDefault="00F31ED2">
      <w:pPr>
        <w:jc w:val="both"/>
      </w:pPr>
      <w:r>
        <w:t>Guil, S., &amp; Esteller, M. (2012). Cis-acting noncoding RNAs: friends and foes. Nature Structural &amp; Molecular Biology, 19(11), 1068–1075. http://doi.org/10.1038/nsmb.2428</w:t>
      </w:r>
    </w:p>
    <w:p w14:paraId="02F35031" w14:textId="77777777" w:rsidR="00B2345B" w:rsidRDefault="00F31ED2">
      <w:pPr>
        <w:jc w:val="both"/>
      </w:pPr>
      <w:r>
        <w:t>Hadjur, S., Williams, L. M., Ryan, N. K., Cobb, B. S., Sexton, T., Fraser, P., … Merkenschlager, M. (2009). Cohesins form chromosomal cis-interactions at the developmentally regulated IFNG locus. Nature, 460(7253), 410–413. http://doi.org/10.1038/nature08079</w:t>
      </w:r>
    </w:p>
    <w:p w14:paraId="4B581FB2" w14:textId="77777777" w:rsidR="00B2345B" w:rsidRDefault="00F31ED2">
      <w:pPr>
        <w:jc w:val="both"/>
      </w:pPr>
      <w:r>
        <w:t>Heger, A., Webber, C., Goodson, M., Ponting, C. P., &amp; Lunter, G. (2013). GAT: A simulation framework for testing the association of genomic intervals. Bioinformatics, 29(16), 2046–2048. http://doi.org/10.1093/bioinformatics/btt343</w:t>
      </w:r>
    </w:p>
    <w:p w14:paraId="0EC4DCD7" w14:textId="77777777" w:rsidR="00B2345B" w:rsidRDefault="00F31ED2">
      <w:pPr>
        <w:jc w:val="both"/>
      </w:pPr>
      <w:r>
        <w:t>Iyer, M. K., Niknafs, Y. S., Malik, R., Singhal, U., Sahu, A., Hosono, Y., … Chinnnaiyan, A. M. (2015). The Landscape of Long Noncoding RNAs in the Human Transcriptome. Nat Genet., 47(3), 199–208. http://doi.org/10.1038/ng.3192.The</w:t>
      </w:r>
    </w:p>
    <w:p w14:paraId="3158E12C" w14:textId="77777777" w:rsidR="00B2345B" w:rsidRDefault="00F31ED2">
      <w:pPr>
        <w:jc w:val="both"/>
      </w:pPr>
      <w:r>
        <w:t>Ji, X., Dadon, D. B., Powell, B. E., Fan, Z. P., Borges-Rivera, D., Shachar, S., … Young, R. A. (2016). 3D Chromosome Regulatory Landscape of Human Pluripotent Cells. Cell Stem Cell, 18(2), 262–275. http://doi.org/10.1016/j.stem.2015.11.007</w:t>
      </w:r>
    </w:p>
    <w:p w14:paraId="39C3303F" w14:textId="77777777" w:rsidR="00B2345B" w:rsidRDefault="00F31ED2">
      <w:pPr>
        <w:jc w:val="both"/>
      </w:pPr>
      <w:r>
        <w:t>Kornienko, A. E., Guenzl, P. M., Barlow, D. P., &amp; Pauler, F. M. (2013). Gene regulation by the act of long non-coding RNA transcription. BMC Biology, 11(1), 59. http://doi.org/10.1186/1741-7007-11-59</w:t>
      </w:r>
    </w:p>
    <w:p w14:paraId="101EC3DF" w14:textId="77777777" w:rsidR="00B2345B" w:rsidRDefault="00F31ED2">
      <w:pPr>
        <w:jc w:val="both"/>
      </w:pPr>
      <w:r>
        <w:t xml:space="preserve">Kryuchkova, N., &amp; Robinson-Rechavi, M. (2015). A benchmark of gene expression tissue-specificity metrics. </w:t>
      </w:r>
      <w:proofErr w:type="gramStart"/>
      <w:r>
        <w:t>bioRxiv</w:t>
      </w:r>
      <w:proofErr w:type="gramEnd"/>
      <w:r>
        <w:t>, (January), 27755. http://doi.org/10.1093/bib/bbw008</w:t>
      </w:r>
    </w:p>
    <w:p w14:paraId="074CF378" w14:textId="77777777" w:rsidR="00B2345B" w:rsidRDefault="00F31ED2">
      <w:pPr>
        <w:jc w:val="both"/>
      </w:pPr>
      <w:r>
        <w:t>Lam, M. T. Y., Li, W., Rosenfeld, M. G., &amp; Glass, C. K. (2014). Enhancer RNAs and regulated transcriptional programs. Trends in Biochemical Sciences, 39(4), 170–182. http://doi.org/10.1016/j.tibs.2014.02.007</w:t>
      </w:r>
    </w:p>
    <w:p w14:paraId="2E24F193" w14:textId="77777777" w:rsidR="00B2345B" w:rsidRDefault="00F31ED2">
      <w:pPr>
        <w:jc w:val="both"/>
      </w:pPr>
      <w:r>
        <w:t>Li, W., Notani, D., Ma, Q., Tanasa, B., Nunez, E., Chen, A. Y., … Rosenfeld, M. G. (2013). Functional roles of enhancer RNAs for oestrogen-dependent transcriptional activation. Nature, 498(7455), 516–20. http://doi.org/10.1038/nature12210</w:t>
      </w:r>
    </w:p>
    <w:p w14:paraId="5A5469F8" w14:textId="77777777" w:rsidR="00B2345B" w:rsidRDefault="00F31ED2">
      <w:pPr>
        <w:jc w:val="both"/>
      </w:pPr>
      <w:r>
        <w:lastRenderedPageBreak/>
        <w:t>Lupiáñez, D. G., Spielmann, M., &amp; Mundlos, S. (2016). Breaking TADs: How Alterations of Chromatin Domains Result in Disease. Trends in Genetics, 32(4), 225–237. http://doi.org/10.1016/j.tig.2016.01.003</w:t>
      </w:r>
    </w:p>
    <w:p w14:paraId="73723990" w14:textId="77777777" w:rsidR="00B2345B" w:rsidRDefault="00F31ED2">
      <w:pPr>
        <w:jc w:val="both"/>
      </w:pPr>
      <w: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14:paraId="00174DCA" w14:textId="77777777" w:rsidR="00B2345B" w:rsidRDefault="00F31ED2">
      <w:pPr>
        <w:jc w:val="both"/>
      </w:pPr>
      <w:r>
        <w:t>Ong, C., &amp; Corces, V. G. (2014). CTCF : an architectural protein bridging genome topology and function. Nature Publishing Group, 15(4), 234–246. http://doi.org/10.1038/nrg3663</w:t>
      </w:r>
    </w:p>
    <w:p w14:paraId="190FF742" w14:textId="77777777" w:rsidR="00B2345B" w:rsidRDefault="00F31ED2">
      <w:pPr>
        <w:jc w:val="both"/>
      </w:pPr>
      <w:r>
        <w:t>Passarge, E. (1979). Emil Heitz and the concept of heterochromatin: longitudinal chromosome differentiation was recognized fifty years ago. American Journal of Human Genetics, 31(2), 106–15.</w:t>
      </w:r>
    </w:p>
    <w:p w14:paraId="148D4D49" w14:textId="77777777" w:rsidR="00B2345B" w:rsidRDefault="00F31ED2">
      <w:pPr>
        <w:jc w:val="both"/>
      </w:pPr>
      <w:r>
        <w:t>Pope, B. D., Ryba, T., Dileep, V., Yue, F., Wu, W., Denas, O., … Gilbert, D. M. (2014). Topologically associating domains are stable units of replication-timing regulation. Nature, 515(7527), 402–405. http://doi.org/10.1038/nature13986</w:t>
      </w:r>
    </w:p>
    <w:p w14:paraId="0BDAB465" w14:textId="77777777" w:rsidR="00B2345B" w:rsidRDefault="00F31ED2">
      <w:pPr>
        <w:jc w:val="both"/>
      </w:pPr>
      <w:r>
        <w:t>Quinlan, A. R., &amp; Hall, I. M. (2010). BEDTools: A flexible suite of utilities for comparing genomic features. Bioinformatics, 26(6), 841–842. http://doi.org/10.1093/bioinformatics/btq033</w:t>
      </w:r>
    </w:p>
    <w:p w14:paraId="604743ED" w14:textId="77777777" w:rsidR="00B2345B" w:rsidRDefault="00F31ED2">
      <w:pPr>
        <w:jc w:val="both"/>
      </w:pPr>
      <w:r>
        <w:t xml:space="preserve">R Core Team. (2016). R: A Language and Environment for Statistical Computing. </w:t>
      </w:r>
      <w:proofErr w:type="gramStart"/>
      <w:r>
        <w:t>manual</w:t>
      </w:r>
      <w:proofErr w:type="gramEnd"/>
      <w:r>
        <w:t>, Vienna, Austria.</w:t>
      </w:r>
    </w:p>
    <w:p w14:paraId="2905BC73" w14:textId="77777777" w:rsidR="00B2345B" w:rsidRDefault="00F31ED2">
      <w:pPr>
        <w:jc w:val="both"/>
      </w:pPr>
      <w:r>
        <w:t>Rinn, J. L., &amp; Chang, H. Y. (2012). Genome regulation by long noncoding RNAs. Annual Review of Biochemistry, 81, 145–166. http://doi.org/10.1146/annurev-biochem-051410-092902</w:t>
      </w:r>
    </w:p>
    <w:p w14:paraId="5C1B57E0" w14:textId="77777777" w:rsidR="00B2345B" w:rsidRDefault="00F31ED2">
      <w:pPr>
        <w:jc w:val="both"/>
      </w:pPr>
      <w:r>
        <w:t>Sanyal, A., Lajoie, B. R., Jain, G., &amp; Dekker, J. (2012). The long-range interaction landscape of gene promoters. Nature, 489(7414), 109–113. http://doi.org/10.1038/nature11279</w:t>
      </w:r>
    </w:p>
    <w:p w14:paraId="20070CE3" w14:textId="77777777" w:rsidR="00B2345B" w:rsidRDefault="00F31ED2">
      <w:pPr>
        <w:jc w:val="both"/>
      </w:pPr>
      <w:r>
        <w:t>Siepel, A., Bejerano, G., Pedersen, J. S., Hinrichs, A. S., Hou, M., Rosenbloom, K., … Haussler, D. (2005). Evolutionarily conserved elements in vertebrate, insect, worm, and yeast genomes. Genome Research, 15(8), 1034–1050. http://doi.org/10.1101/gr.3715005</w:t>
      </w:r>
    </w:p>
    <w:p w14:paraId="49861224" w14:textId="77777777" w:rsidR="00B2345B" w:rsidRDefault="00F31ED2">
      <w:pPr>
        <w:jc w:val="both"/>
      </w:pPr>
      <w:r>
        <w:t>Tamaru, H. (2010). Confining euchromatin/heterochromatin territory: Jumonji crosses the line. Genes and Development, 24(14), 1465–1478. http://doi.org/10.1101/gad.1941010</w:t>
      </w:r>
    </w:p>
    <w:p w14:paraId="3772D954" w14:textId="77777777" w:rsidR="00B2345B" w:rsidRDefault="00F31ED2">
      <w:pPr>
        <w:jc w:val="both"/>
      </w:pPr>
      <w:r>
        <w:t>Wang, K. C., Yang, Y. W., Liu, B., Sanyal, A., Corces-Zimmerman, R., Chen, Y., … Chang, H. Y. (2011). A long noncoding RNA maintains active chromatin to coordinate homeotic gene expression. Nature, 472(7341), 120–4. http://doi.org/10.1038/nature09819</w:t>
      </w:r>
    </w:p>
    <w:p w14:paraId="4C0834B8" w14:textId="77777777" w:rsidR="00B2345B" w:rsidRDefault="00F31ED2">
      <w:pPr>
        <w:jc w:val="both"/>
      </w:pPr>
      <w:r>
        <w:t>Yin, Y., Yan, P., Lu, J., Song, G., Zhu, Y., Li, Z., … Shen, X. (2015). Opposing roles for the lncRNA haunt and its genomic locus in regulating HOXA gene activation during embryonic stem cell differentiation. Cell Stem Cell, 16(5), 504–516. http://doi.org/10.1016/j.stem.2015.03.007</w:t>
      </w:r>
    </w:p>
    <w:sectPr w:rsidR="00B2345B">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min" w:date="2016-12-14T09:26:00Z" w:initials="a">
    <w:p w14:paraId="71DB6270" w14:textId="77777777" w:rsidR="00F31ED2" w:rsidRDefault="00F31ED2">
      <w:pPr>
        <w:pStyle w:val="CommentText"/>
      </w:pPr>
      <w:r>
        <w:rPr>
          <w:rStyle w:val="CommentReference"/>
        </w:rPr>
        <w:annotationRef/>
      </w:r>
      <w:r>
        <w:t>Not sure what these means</w:t>
      </w:r>
    </w:p>
  </w:comment>
  <w:comment w:id="23" w:author="admin" w:date="2016-12-14T09:29:00Z" w:initials="a">
    <w:p w14:paraId="085C5C99" w14:textId="77777777" w:rsidR="00F31ED2" w:rsidRDefault="00F31ED2">
      <w:pPr>
        <w:pStyle w:val="CommentText"/>
      </w:pPr>
      <w:r>
        <w:rPr>
          <w:rStyle w:val="CommentReference"/>
        </w:rPr>
        <w:annotationRef/>
      </w:r>
      <w:r>
        <w:t>You need to explain the abreviations.</w:t>
      </w:r>
    </w:p>
  </w:comment>
  <w:comment w:id="36" w:author="admin" w:date="2016-12-14T09:32:00Z" w:initials="a">
    <w:p w14:paraId="5A592170" w14:textId="77777777" w:rsidR="00F31ED2" w:rsidRDefault="00F31ED2">
      <w:pPr>
        <w:pStyle w:val="CommentText"/>
      </w:pPr>
      <w:r>
        <w:rPr>
          <w:rStyle w:val="CommentReference"/>
        </w:rPr>
        <w:annotationRef/>
      </w:r>
      <w:r>
        <w:t>But you have two classes (3 classes –elincRNAs) so I don’t get why you merge the other two classes into one.</w:t>
      </w:r>
    </w:p>
  </w:comment>
  <w:comment w:id="38" w:author="admin" w:date="2016-12-14T09:33:00Z" w:initials="a">
    <w:p w14:paraId="2864A6F2" w14:textId="77777777" w:rsidR="00F31ED2" w:rsidRDefault="00F31ED2">
      <w:pPr>
        <w:pStyle w:val="CommentText"/>
      </w:pPr>
      <w:r>
        <w:rPr>
          <w:rStyle w:val="CommentReference"/>
        </w:rPr>
        <w:annotationRef/>
      </w:r>
      <w:r>
        <w:t>Relative to eRNAs ?</w:t>
      </w:r>
    </w:p>
  </w:comment>
  <w:comment w:id="40" w:author="admin" w:date="2016-12-14T09:36:00Z" w:initials="a">
    <w:p w14:paraId="386562EA" w14:textId="77777777" w:rsidR="00F31ED2" w:rsidRDefault="00F31ED2">
      <w:pPr>
        <w:pStyle w:val="CommentText"/>
      </w:pPr>
      <w:r>
        <w:rPr>
          <w:rStyle w:val="CommentReference"/>
        </w:rPr>
        <w:annotationRef/>
      </w:r>
      <w:r>
        <w:t>What are you looking at here ? Exons ? Loci ? Promoter ?</w:t>
      </w:r>
    </w:p>
  </w:comment>
  <w:comment w:id="48" w:author="admin" w:date="2016-12-14T09:37:00Z" w:initials="a">
    <w:p w14:paraId="24906C0C" w14:textId="77777777" w:rsidR="00F31ED2" w:rsidRDefault="00F31ED2">
      <w:pPr>
        <w:pStyle w:val="CommentText"/>
      </w:pPr>
      <w:r>
        <w:rPr>
          <w:rStyle w:val="CommentReference"/>
        </w:rPr>
        <w:annotationRef/>
      </w:r>
      <w:r>
        <w:t>This should go into the conclusion/perspective section.</w:t>
      </w:r>
    </w:p>
  </w:comment>
  <w:comment w:id="50" w:author="admin" w:date="2016-12-14T09:40:00Z" w:initials="a">
    <w:p w14:paraId="538DD54F" w14:textId="77777777" w:rsidR="00F31ED2" w:rsidRDefault="00F31ED2">
      <w:pPr>
        <w:pStyle w:val="CommentText"/>
      </w:pPr>
      <w:r>
        <w:rPr>
          <w:rStyle w:val="CommentReference"/>
        </w:rPr>
        <w:annotationRef/>
      </w:r>
      <w:r>
        <w:t>Because wou use GAT a lot and it may not be clearer to all what you are doing when you refer to enrichment I would explain the general principle of the analysis here.</w:t>
      </w:r>
    </w:p>
  </w:comment>
  <w:comment w:id="53" w:author="admin" w:date="2016-12-14T09:38:00Z" w:initials="a">
    <w:p w14:paraId="033D2673" w14:textId="77777777" w:rsidR="00F31ED2" w:rsidRDefault="00F31ED2">
      <w:pPr>
        <w:pStyle w:val="CommentText"/>
      </w:pPr>
      <w:r>
        <w:rPr>
          <w:rStyle w:val="CommentReference"/>
        </w:rPr>
        <w:annotationRef/>
      </w:r>
      <w:r>
        <w:t>Swap the order of the results it would make the message clearer.</w:t>
      </w:r>
    </w:p>
  </w:comment>
  <w:comment w:id="51" w:author="admin" w:date="2016-12-14T09:42:00Z" w:initials="a">
    <w:p w14:paraId="5BF8A8B9" w14:textId="77777777" w:rsidR="00F31ED2" w:rsidRDefault="00F31ED2">
      <w:pPr>
        <w:pStyle w:val="CommentText"/>
      </w:pPr>
      <w:r>
        <w:rPr>
          <w:rStyle w:val="CommentReference"/>
        </w:rPr>
        <w:annotationRef/>
      </w:r>
      <w:r>
        <w:t>You can make this cleared by swapping the order and eneding with the limitations that you discuss at the end of the 1st paragraph. I would write a small introductory sentence on why you looked at TADs. In the GB paper we discussed that elincRNAs are associated with increased expression of neigbouring genes and given the increasing nb of examples of lincRNAs with roles in chromosomal organisation you decded to look into whether this mechanims of elincRNA wasp revalent.</w:t>
      </w:r>
    </w:p>
  </w:comment>
  <w:comment w:id="55" w:author="admin" w:date="2016-12-14T09:44:00Z" w:initials="a">
    <w:p w14:paraId="6D6D9BB8" w14:textId="77777777" w:rsidR="0044460B" w:rsidRDefault="0044460B">
      <w:pPr>
        <w:pStyle w:val="CommentText"/>
      </w:pPr>
      <w:r>
        <w:rPr>
          <w:rStyle w:val="CommentReference"/>
        </w:rPr>
        <w:annotationRef/>
      </w:r>
      <w:r>
        <w:t>You need to explain why is this important biologically.</w:t>
      </w:r>
    </w:p>
  </w:comment>
  <w:comment w:id="56" w:author="admin" w:date="2016-12-14T09:45:00Z" w:initials="a">
    <w:p w14:paraId="20FBE2DF" w14:textId="77777777" w:rsidR="0044460B" w:rsidRDefault="0044460B">
      <w:pPr>
        <w:pStyle w:val="CommentText"/>
      </w:pPr>
      <w:r>
        <w:rPr>
          <w:rStyle w:val="CommentReference"/>
        </w:rPr>
        <w:annotationRef/>
      </w:r>
      <w:r>
        <w:t>I think you can use the enrichment in anchor loops and cohesin to introduce this analysis. It makes more sense than using eRNAs as you already shown elincRNAs are likley not eRNAs.</w:t>
      </w:r>
    </w:p>
  </w:comment>
  <w:comment w:id="57" w:author="admin" w:date="2016-12-14T09:47:00Z" w:initials="a">
    <w:p w14:paraId="7A3B56C1" w14:textId="77777777" w:rsidR="0044460B" w:rsidRDefault="0044460B">
      <w:pPr>
        <w:pStyle w:val="CommentText"/>
      </w:pPr>
      <w:r>
        <w:rPr>
          <w:rStyle w:val="CommentReference"/>
        </w:rPr>
        <w:annotationRef/>
      </w:r>
      <w:r>
        <w:t>Did you test the correlation between elincRNAs and DNA-DNA contacts ?</w:t>
      </w:r>
    </w:p>
  </w:comment>
  <w:comment w:id="59" w:author="admin" w:date="2016-12-14T09:48:00Z" w:initials="a">
    <w:p w14:paraId="517C30D5" w14:textId="77777777" w:rsidR="0044460B" w:rsidRDefault="0044460B">
      <w:pPr>
        <w:pStyle w:val="CommentText"/>
      </w:pPr>
      <w:r>
        <w:rPr>
          <w:rStyle w:val="CommentReference"/>
        </w:rPr>
        <w:annotationRef/>
      </w:r>
      <w:r>
        <w:t xml:space="preserve">You don’t need supplementary figures in a report. </w:t>
      </w:r>
      <w:r>
        <w:t>I would also consider merging figures into multi-panel figures.</w:t>
      </w:r>
      <w:bookmarkStart w:id="60" w:name="_GoBack"/>
      <w:bookmarkEnd w:id="6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5B"/>
    <w:rsid w:val="0044460B"/>
    <w:rsid w:val="00B2345B"/>
    <w:rsid w:val="00F31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8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F31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ED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1ED2"/>
    <w:rPr>
      <w:sz w:val="18"/>
      <w:szCs w:val="18"/>
    </w:rPr>
  </w:style>
  <w:style w:type="paragraph" w:styleId="CommentText">
    <w:name w:val="annotation text"/>
    <w:basedOn w:val="Normal"/>
    <w:link w:val="CommentTextChar"/>
    <w:uiPriority w:val="99"/>
    <w:semiHidden/>
    <w:unhideWhenUsed/>
    <w:rsid w:val="00F31ED2"/>
  </w:style>
  <w:style w:type="character" w:customStyle="1" w:styleId="CommentTextChar">
    <w:name w:val="Comment Text Char"/>
    <w:basedOn w:val="DefaultParagraphFont"/>
    <w:link w:val="CommentText"/>
    <w:uiPriority w:val="99"/>
    <w:semiHidden/>
    <w:rsid w:val="00F31ED2"/>
  </w:style>
  <w:style w:type="paragraph" w:styleId="CommentSubject">
    <w:name w:val="annotation subject"/>
    <w:basedOn w:val="CommentText"/>
    <w:next w:val="CommentText"/>
    <w:link w:val="CommentSubjectChar"/>
    <w:uiPriority w:val="99"/>
    <w:semiHidden/>
    <w:unhideWhenUsed/>
    <w:rsid w:val="00F31ED2"/>
    <w:rPr>
      <w:b/>
      <w:bCs/>
      <w:sz w:val="20"/>
      <w:szCs w:val="20"/>
    </w:rPr>
  </w:style>
  <w:style w:type="character" w:customStyle="1" w:styleId="CommentSubjectChar">
    <w:name w:val="Comment Subject Char"/>
    <w:basedOn w:val="CommentTextChar"/>
    <w:link w:val="CommentSubject"/>
    <w:uiPriority w:val="99"/>
    <w:semiHidden/>
    <w:rsid w:val="00F31ED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F31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ED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1ED2"/>
    <w:rPr>
      <w:sz w:val="18"/>
      <w:szCs w:val="18"/>
    </w:rPr>
  </w:style>
  <w:style w:type="paragraph" w:styleId="CommentText">
    <w:name w:val="annotation text"/>
    <w:basedOn w:val="Normal"/>
    <w:link w:val="CommentTextChar"/>
    <w:uiPriority w:val="99"/>
    <w:semiHidden/>
    <w:unhideWhenUsed/>
    <w:rsid w:val="00F31ED2"/>
  </w:style>
  <w:style w:type="character" w:customStyle="1" w:styleId="CommentTextChar">
    <w:name w:val="Comment Text Char"/>
    <w:basedOn w:val="DefaultParagraphFont"/>
    <w:link w:val="CommentText"/>
    <w:uiPriority w:val="99"/>
    <w:semiHidden/>
    <w:rsid w:val="00F31ED2"/>
  </w:style>
  <w:style w:type="paragraph" w:styleId="CommentSubject">
    <w:name w:val="annotation subject"/>
    <w:basedOn w:val="CommentText"/>
    <w:next w:val="CommentText"/>
    <w:link w:val="CommentSubjectChar"/>
    <w:uiPriority w:val="99"/>
    <w:semiHidden/>
    <w:unhideWhenUsed/>
    <w:rsid w:val="00F31ED2"/>
    <w:rPr>
      <w:b/>
      <w:bCs/>
      <w:sz w:val="20"/>
      <w:szCs w:val="20"/>
    </w:rPr>
  </w:style>
  <w:style w:type="character" w:customStyle="1" w:styleId="CommentSubjectChar">
    <w:name w:val="Comment Subject Char"/>
    <w:basedOn w:val="CommentTextChar"/>
    <w:link w:val="CommentSubject"/>
    <w:uiPriority w:val="99"/>
    <w:semiHidden/>
    <w:rsid w:val="00F31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4490</Words>
  <Characters>25599</Characters>
  <Application>Microsoft Macintosh Word</Application>
  <DocSecurity>0</DocSecurity>
  <Lines>213</Lines>
  <Paragraphs>60</Paragraphs>
  <ScaleCrop>false</ScaleCrop>
  <Company/>
  <LinksUpToDate>false</LinksUpToDate>
  <CharactersWithSpaces>30029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2</cp:revision>
  <dcterms:created xsi:type="dcterms:W3CDTF">2016-12-14T08:49:00Z</dcterms:created>
  <dcterms:modified xsi:type="dcterms:W3CDTF">2016-12-14T08:49:00Z</dcterms:modified>
  <dc:language>fr-FR</dc:language>
</cp:coreProperties>
</file>