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Paul DeBach, UNIPARENTAL, SIBLING AND SEMI-SPECIES IN RELATION TO TAXONOMY AND BIOLOGICAL CONTROL, </w:t>
      </w:r>
      <w:r w:rsidDel="00000000" w:rsidR="00000000" w:rsidRPr="00000000">
        <w:rPr>
          <w:i w:val="1"/>
          <w:rtl w:val="0"/>
        </w:rPr>
        <w:t xml:space="preserve">Israel Journal of Entomology, </w:t>
      </w:r>
      <w:r w:rsidDel="00000000" w:rsidR="00000000" w:rsidRPr="00000000">
        <w:rPr>
          <w:rtl w:val="0"/>
        </w:rPr>
        <w:t xml:space="preserve">Vol. IV, 1969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Notions of semi, sibling, biological and morphological species.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Accidental male production in parthenogenic species, can be increased by raising the temperature.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Argov et al, BIOSYSTEMATIC STUDIES IN THE APHYTIS LINGNANENSIS COMPLEX, </w:t>
      </w:r>
      <w:r w:rsidDel="00000000" w:rsidR="00000000" w:rsidRPr="00000000">
        <w:rPr>
          <w:i w:val="1"/>
          <w:rtl w:val="0"/>
        </w:rPr>
        <w:t xml:space="preserve">Israel Journal of Entomology </w:t>
      </w:r>
      <w:r w:rsidDel="00000000" w:rsidR="00000000" w:rsidRPr="00000000">
        <w:rPr>
          <w:rtl w:val="0"/>
        </w:rPr>
        <w:t xml:space="preserve">Vol.XXIX pp.315-320, 1995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Inducing male production in uniparental lines to check crosscompatibility between lines.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Assessing reproductive isolation of different lines to determine semi species and species.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Zchori-Fein et al, Parthenogenesis-inducing microorganisms in Aphytis (Hymenoptera: Aphelinidae), </w:t>
      </w:r>
      <w:r w:rsidDel="00000000" w:rsidR="00000000" w:rsidRPr="00000000">
        <w:rPr>
          <w:i w:val="1"/>
          <w:rtl w:val="0"/>
        </w:rPr>
        <w:t xml:space="preserve">Insect Molecular Biology</w:t>
      </w:r>
      <w:r w:rsidDel="00000000" w:rsidR="00000000" w:rsidRPr="00000000">
        <w:rPr>
          <w:rtl w:val="0"/>
        </w:rPr>
        <w:t xml:space="preserve">, 4, p.173-178, 1995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Determining relation between presence of </w:t>
      </w:r>
      <w:r w:rsidDel="00000000" w:rsidR="00000000" w:rsidRPr="00000000">
        <w:rPr>
          <w:i w:val="1"/>
          <w:rtl w:val="0"/>
        </w:rPr>
        <w:t xml:space="preserve">Wolbachia</w:t>
      </w:r>
      <w:r w:rsidDel="00000000" w:rsidR="00000000" w:rsidRPr="00000000">
        <w:rPr>
          <w:rtl w:val="0"/>
        </w:rPr>
        <w:t xml:space="preserve"> and thelytoky.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Antibiotic induced males from different species of Aphytis had different degrees of fertility.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Boivin et al, Epidemiology of asexuality induced by the endosymbiotic </w:t>
      </w:r>
      <w:r w:rsidDel="00000000" w:rsidR="00000000" w:rsidRPr="00000000">
        <w:rPr>
          <w:i w:val="1"/>
          <w:rtl w:val="0"/>
        </w:rPr>
        <w:t xml:space="preserve">Wolbachia</w:t>
      </w:r>
      <w:r w:rsidDel="00000000" w:rsidR="00000000" w:rsidRPr="00000000">
        <w:rPr>
          <w:rtl w:val="0"/>
        </w:rPr>
        <w:t xml:space="preserve"> across phytophagous wassp species: host plant specialization matters, </w:t>
      </w:r>
      <w:r w:rsidDel="00000000" w:rsidR="00000000" w:rsidRPr="00000000">
        <w:rPr>
          <w:i w:val="1"/>
          <w:rtl w:val="0"/>
        </w:rPr>
        <w:t xml:space="preserve">MOLECULAR ECOLOGY, </w:t>
      </w:r>
      <w:r w:rsidDel="00000000" w:rsidR="00000000" w:rsidRPr="00000000">
        <w:rPr>
          <w:rtl w:val="0"/>
        </w:rPr>
        <w:t xml:space="preserve">23, p.2362-2375,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Thelytoky evolved from arrhenotoky through horizontal transmission and fixation of </w:t>
      </w:r>
      <w:r w:rsidDel="00000000" w:rsidR="00000000" w:rsidRPr="00000000">
        <w:rPr>
          <w:i w:val="1"/>
          <w:rtl w:val="0"/>
        </w:rPr>
        <w:t xml:space="preserve">Wolbachia</w:t>
      </w:r>
      <w:r w:rsidDel="00000000" w:rsidR="00000000" w:rsidRPr="00000000">
        <w:rPr>
          <w:rtl w:val="0"/>
        </w:rPr>
        <w:t xml:space="preserve"> infection.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Ecological specialization (host plant) is a major driver of thelytoky transmission.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