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Male production was only evident in F2 after antibiotic treatment, suggesting a factore released by </w:t>
      </w:r>
      <w:r w:rsidDel="00000000" w:rsidR="00000000" w:rsidRPr="00000000">
        <w:rPr>
          <w:i w:val="1"/>
          <w:rtl w:val="0"/>
        </w:rPr>
        <w:t xml:space="preserve">Wolbachia</w:t>
      </w:r>
      <w:r w:rsidDel="00000000" w:rsidR="00000000" w:rsidRPr="00000000">
        <w:rPr>
          <w:rtl w:val="0"/>
        </w:rPr>
        <w:t xml:space="preserve"> induces thelytoky (not the bacteria itself).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Depending on the species, the fertility of antibiotic induced males ranged from being unable to transmit their sperm to successful production of daughter.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16S rRNA phylogeny of endosymbiotic bacteria in different species of Aphytis and Trichogramma revealded a possible horizontal tranfer of symbionts (distant species harbor almost identical endosymbionts).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