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04"/>
        <w:gridCol w:w="2520"/>
        <w:gridCol w:w="1699"/>
      </w:tblGrid>
      <w:tr>
        <w:tc>
          <w:tcPr>
            <w:tcW w:type="dxa" w:w="6408"/>
            <w:tcMar>
              <w:top w:w="70" w:type="dxa"/>
              <w:start w:w="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40"/>
            </w:pPr>
            <w:r>
              <w:rPr>
                <w:rFonts w:ascii="Avenir Next" w:hAnsi="Avenir Next"/>
                <w:b/>
                <w:i w:val="0"/>
                <w:color w:val="1F3944"/>
                <w:sz w:val="48"/>
              </w:rPr>
              <w:t>CAROLINE DUNNE</w:t>
            </w:r>
          </w:p>
          <w:p>
            <w:pPr>
              <w:keepLines/>
              <w:spacing w:after="40"/>
            </w:pPr>
            <w:r>
              <w:rPr>
                <w:rFonts w:ascii="Avenir Next" w:hAnsi="Avenir Next"/>
                <w:b/>
                <w:i w:val="0"/>
                <w:color w:val="357171"/>
                <w:sz w:val="20"/>
              </w:rPr>
              <w:t>QUALITÉ  •  AMÉLIORATION CONTINUE  •  TRANSFORMATION</w:t>
            </w:r>
          </w:p>
          <w:p>
            <w:pPr>
              <w:keepLines/>
              <w:spacing w:after="40"/>
            </w:pPr>
            <w:r>
              <w:rPr>
                <w:rFonts w:ascii="Avenir Next" w:hAnsi="Avenir Next"/>
                <w:b w:val="0"/>
                <w:i w:val="0"/>
                <w:color w:val="666C6E"/>
                <w:sz w:val="20"/>
              </w:rPr>
              <w:t>Construire des systèmes qualité, des processus évolutifs et des modes de pilotage fondés sur la donnée.</w:t>
            </w:r>
          </w:p>
        </w:tc>
        <w:tc>
          <w:tcPr>
            <w:tcW w:type="dxa" w:w="2332"/>
            <w:shd w:fill="1F3944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</w:tcPr>
          <w:p>
            <w:pPr>
              <w:keepLines/>
              <w:spacing w:after="40"/>
              <w:jc w:val="right"/>
            </w:pPr>
            <w:r>
              <w:rPr>
                <w:rFonts w:ascii="Avenir Next" w:hAnsi="Avenir Next"/>
                <w:b/>
                <w:i w:val="0"/>
                <w:color w:val="FFFFFF"/>
                <w:sz w:val="17"/>
              </w:rPr>
              <w:t>PARIS, FRANCE</w:t>
            </w:r>
          </w:p>
          <w:p>
            <w:pPr>
              <w:keepLines/>
              <w:spacing w:after="40"/>
              <w:jc w:val="right"/>
            </w:pPr>
            <w:r>
              <w:rPr>
                <w:rFonts w:ascii="Avenir Next" w:hAnsi="Avenir Next"/>
                <w:b w:val="0"/>
                <w:i w:val="0"/>
                <w:color w:val="FFFFFF"/>
                <w:sz w:val="17"/>
              </w:rPr>
              <w:t>+33 7 62 76 67 05</w:t>
            </w:r>
          </w:p>
          <w:p>
            <w:pPr>
              <w:keepLines/>
              <w:spacing w:after="40"/>
              <w:jc w:val="right"/>
            </w:pPr>
            <w:r>
              <w:rPr>
                <w:rFonts w:ascii="Avenir Next" w:hAnsi="Avenir Next"/>
                <w:b w:val="0"/>
                <w:i w:val="0"/>
                <w:color w:val="FFFFFF"/>
                <w:sz w:val="17"/>
              </w:rPr>
              <w:t>c.m.dunne82@gmail.com</w:t>
            </w:r>
          </w:p>
        </w:tc>
        <w:tc>
          <w:tcPr>
            <w:tcW w:type="dxa" w:w="1699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venir Next" w:hAnsi="Avenir Next"/>
              </w:rPr>
            </w:r>
            <w:r>
              <w:rPr>
                <w:rFonts w:ascii="Avenir Next" w:hAnsi="Avenir Next"/>
              </w:rPr>
              <w:drawing>
                <wp:inline xmlns:a="http://schemas.openxmlformats.org/drawingml/2006/main" xmlns:pic="http://schemas.openxmlformats.org/drawingml/2006/picture">
                  <wp:extent cx="987552" cy="9875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_photo_round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987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20" w:after="160"/>
      </w:pPr>
      <w:r>
        <w:rPr>
          <w:rFonts w:ascii="Avenir Next" w:hAnsi="Avenir Next"/>
          <w:b w:val="0"/>
          <w:i w:val="0"/>
          <w:color w:val="2D3032"/>
          <w:sz w:val="20"/>
        </w:rPr>
        <w:t>Responsable qualité et amélioration continue avec plus de 15 ans d’expérience dans l’éducation et la formation, dont 8+ ans chez OpenClassrooms. Je conçois des processus de A à Z, utilise la donnée pour piloter la performance et mène des projets transverses complexes.</w:t>
      </w:r>
      <w:r>
        <w:rPr>
          <w:rFonts w:ascii="Avenir Next" w:hAnsi="Avenir Next"/>
          <w:b/>
          <w:i w:val="0"/>
          <w:color w:val="1F3944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613"/>
            <w:shd w:fill="EDF3F2"/>
            <w:tcMar>
              <w:top w:w="12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/>
              <w:spacing w:after="60"/>
              <w:jc w:val="center"/>
            </w:pPr>
            <w:r>
              <w:rPr>
                <w:rFonts w:ascii="Avenir Next" w:hAnsi="Avenir Next"/>
                <w:b/>
                <w:i w:val="0"/>
                <w:color w:val="357171"/>
                <w:sz w:val="28"/>
              </w:rPr>
              <w:t>16</w:t>
            </w:r>
          </w:p>
          <w:p>
            <w:pPr>
              <w:keepLines/>
              <w:spacing w:after="0"/>
              <w:jc w:val="center"/>
            </w:pPr>
            <w:r>
              <w:rPr>
                <w:rFonts w:ascii="Avenir Next" w:hAnsi="Avenir Next"/>
                <w:b w:val="0"/>
                <w:i w:val="0"/>
                <w:color w:val="2D3032"/>
                <w:sz w:val="15"/>
              </w:rPr>
              <w:t>certifications RNCP</w:t>
            </w:r>
          </w:p>
          <w:p>
            <w:r>
              <w:t>sous responsabilité</w:t>
            </w:r>
          </w:p>
        </w:tc>
        <w:tc>
          <w:tcPr>
            <w:tcW w:type="dxa" w:w="2613"/>
            <w:shd w:fill="EDF3F2"/>
            <w:tcMar>
              <w:top w:w="12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/>
              <w:spacing w:after="60"/>
              <w:jc w:val="center"/>
            </w:pPr>
            <w:r>
              <w:rPr>
                <w:rFonts w:ascii="Avenir Next" w:hAnsi="Avenir Next"/>
                <w:b/>
                <w:i w:val="0"/>
                <w:color w:val="357171"/>
                <w:sz w:val="28"/>
              </w:rPr>
              <w:t>2026</w:t>
            </w:r>
          </w:p>
          <w:p>
            <w:pPr>
              <w:keepLines/>
              <w:spacing w:after="0"/>
              <w:jc w:val="center"/>
            </w:pPr>
            <w:r>
              <w:rPr>
                <w:rFonts w:ascii="Avenir Next" w:hAnsi="Avenir Next"/>
                <w:b w:val="0"/>
                <w:i w:val="0"/>
                <w:color w:val="2D3032"/>
                <w:sz w:val="15"/>
              </w:rPr>
              <w:t>audit de renouvellement</w:t>
            </w:r>
          </w:p>
          <w:p>
            <w:r>
              <w:t>Qualiopi piloté</w:t>
            </w:r>
          </w:p>
        </w:tc>
        <w:tc>
          <w:tcPr>
            <w:tcW w:type="dxa" w:w="2613"/>
            <w:shd w:fill="EDF3F2"/>
            <w:tcMar>
              <w:top w:w="12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/>
              <w:spacing w:after="60"/>
              <w:jc w:val="center"/>
            </w:pPr>
            <w:r>
              <w:rPr>
                <w:rFonts w:ascii="Avenir Next" w:hAnsi="Avenir Next"/>
                <w:b/>
                <w:i w:val="0"/>
                <w:color w:val="357171"/>
                <w:sz w:val="28"/>
              </w:rPr>
              <w:t>A–Z</w:t>
            </w:r>
          </w:p>
          <w:p>
            <w:pPr>
              <w:keepLines/>
              <w:spacing w:after="0"/>
              <w:jc w:val="center"/>
            </w:pPr>
            <w:r>
              <w:rPr>
                <w:rFonts w:ascii="Avenir Next" w:hAnsi="Avenir Next"/>
                <w:b w:val="0"/>
                <w:i w:val="0"/>
                <w:color w:val="2D3032"/>
                <w:sz w:val="15"/>
              </w:rPr>
              <w:t>processus qualité contenus</w:t>
            </w:r>
          </w:p>
          <w:p>
            <w:r>
              <w:t>conçus de zéro</w:t>
            </w:r>
          </w:p>
        </w:tc>
        <w:tc>
          <w:tcPr>
            <w:tcW w:type="dxa" w:w="2613"/>
            <w:shd w:fill="EDF3F2"/>
            <w:tcMar>
              <w:top w:w="12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Lines/>
              <w:spacing w:after="60"/>
              <w:jc w:val="center"/>
            </w:pPr>
            <w:r>
              <w:rPr>
                <w:rFonts w:ascii="Avenir Next" w:hAnsi="Avenir Next"/>
                <w:b/>
                <w:i w:val="0"/>
                <w:color w:val="357171"/>
                <w:sz w:val="28"/>
              </w:rPr>
              <w:t>DATA</w:t>
            </w:r>
          </w:p>
          <w:p>
            <w:pPr>
              <w:keepLines/>
              <w:spacing w:after="0"/>
              <w:jc w:val="center"/>
            </w:pPr>
            <w:r>
              <w:rPr>
                <w:rFonts w:ascii="Avenir Next" w:hAnsi="Avenir Next"/>
                <w:b w:val="0"/>
                <w:i w:val="0"/>
                <w:color w:val="2D3032"/>
                <w:sz w:val="15"/>
              </w:rPr>
              <w:t>tableaux de bord</w:t>
            </w:r>
          </w:p>
          <w:p>
            <w:r>
              <w:t>Salesforce + Zendesk</w:t>
            </w:r>
          </w:p>
        </w:tc>
      </w:tr>
    </w:tbl>
    <w:p>
      <w:pPr>
        <w:spacing w:before="200" w:after="100"/>
      </w:pPr>
      <w:r>
        <w:rPr>
          <w:rFonts w:ascii="Avenir Next" w:hAnsi="Avenir Next"/>
          <w:b/>
          <w:i w:val="0"/>
          <w:color w:val="357171"/>
          <w:sz w:val="18"/>
        </w:rPr>
        <w:t>EXPÉRIENCE PROFESSIONNELLE</w:t>
      </w:r>
    </w:p>
    <w:p>
      <w:pPr>
        <w:spacing w:after="100"/>
      </w:pPr>
      <w:r>
        <w:rPr>
          <w:rFonts w:ascii="Avenir Next" w:hAnsi="Avenir Next"/>
          <w:b/>
          <w:i w:val="0"/>
          <w:color w:val="1F3944"/>
          <w:sz w:val="26"/>
        </w:rPr>
        <w:t>OPENCLASSROOMS  |  Paris, France  |  2018–Aujourd’hui</w:t>
      </w:r>
      <w:r>
        <w:rPr>
          <w:rFonts w:ascii="Avenir Next" w:hAnsi="Avenir Next"/>
          <w:b w:val="0"/>
          <w:i w:val="0"/>
          <w:color w:val="666C6E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2232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/>
              <w:spacing w:after="20"/>
            </w:pPr>
            <w:r>
              <w:rPr>
                <w:rFonts w:ascii="Avenir Next" w:hAnsi="Avenir Next"/>
                <w:b/>
                <w:i w:val="0"/>
                <w:color w:val="1F3944"/>
                <w:sz w:val="22"/>
              </w:rPr>
              <w:t>Accréditation, Partenariats &amp; Assurance Qualité — Leadership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/>
              <w:jc w:val="right"/>
            </w:pPr>
            <w:r>
              <w:rPr>
                <w:rFonts w:ascii="Avenir Next" w:hAnsi="Avenir Next"/>
                <w:b/>
                <w:i w:val="0"/>
                <w:color w:val="666C6E"/>
                <w:sz w:val="18"/>
              </w:rPr>
              <w:t>2026–Aujourd’hui</w:t>
            </w:r>
          </w:p>
        </w:tc>
      </w:tr>
    </w:tbl>
    <w:p>
      <w:pPr>
        <w:spacing w:after="80"/>
      </w:pPr>
      <w:r>
        <w:rPr>
          <w:rFonts w:ascii="Avenir Next" w:hAnsi="Avenir Next"/>
          <w:b w:val="0"/>
          <w:i/>
          <w:color w:val="666C6E"/>
          <w:sz w:val="18"/>
        </w:rPr>
        <w:t>Co-pilotage des activités d’accréditation, de certification, de partenariats et d’assurance qualité au sein de Learning Products.</w:t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Management d’une équipe en charge d’un portefeuille de 16 certifications RNCP : renouvellements, conformité et relations avec les parties prenantes.</w:t>
      </w:r>
      <w:r>
        <w:rPr>
          <w:rFonts w:ascii="Avenir Next" w:hAnsi="Avenir Next"/>
          <w:b/>
          <w:i w:val="0"/>
          <w:color w:val="2D3032"/>
          <w:sz w:val="19"/>
        </w:rPr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Pilotage de l’audit de renouvellement Qualiopi 2026 : préparation transverse, collecte des preuves, mobilisation des équipes et suivi post-audit.</w:t>
      </w:r>
      <w:r>
        <w:rPr>
          <w:rFonts w:ascii="Avenir Next" w:hAnsi="Avenir Next"/>
          <w:b/>
          <w:i w:val="0"/>
          <w:color w:val="2D3032"/>
          <w:sz w:val="19"/>
        </w:rPr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Supervision de la conformité WSCUC et développement de politiques de gouvernance académique et de processus transverses évolutifs.</w:t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Conseil auprès de la direction et collaboration avec Learning, Product, Operations, Legal, Finance et RH sur la qualité, la conformité et l’amélioration organisationnelle.</w:t>
      </w:r>
      <w:r>
        <w:rPr>
          <w:rFonts w:ascii="Avenir Next" w:hAnsi="Avenir Next"/>
          <w:b w:val="0"/>
          <w:i w:val="0"/>
          <w:color w:val="2D3032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2232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/>
              <w:spacing w:after="20"/>
            </w:pPr>
            <w:r>
              <w:rPr>
                <w:rFonts w:ascii="Avenir Next" w:hAnsi="Avenir Next"/>
                <w:b/>
                <w:i w:val="0"/>
                <w:color w:val="1F3944"/>
                <w:sz w:val="22"/>
              </w:rPr>
              <w:t>Responsable Certifications &amp; Partenariats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/>
              <w:jc w:val="right"/>
            </w:pPr>
            <w:r>
              <w:rPr>
                <w:rFonts w:ascii="Avenir Next" w:hAnsi="Avenir Next"/>
                <w:b/>
                <w:i w:val="0"/>
                <w:color w:val="666C6E"/>
                <w:sz w:val="18"/>
              </w:rPr>
              <w:t>2024–2026</w:t>
            </w:r>
          </w:p>
        </w:tc>
      </w:tr>
    </w:tbl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Pilotage de projets d’enregistrement et de renouvellement RNCP, de l’analyse d’opportunité à la conception des référentiels de compétences et d’évaluation, jusqu’au dépôt auprès de France Compétences.</w:t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Pilotage du renouvellement CAMES/PRED : autoévaluation, collecte des preuves, coordination des contributeurs et préparation de l’évaluation externe ; gestion des partenariats de certification.</w:t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Développement de l’activité de centre d’examen Titres Professionnels d’OpenClassrooms avec la DRIEETS et des partenaires externes.</w:t>
      </w:r>
      <w:r>
        <w:rPr>
          <w:rFonts w:ascii="Avenir Next" w:hAnsi="Avenir Next"/>
          <w:b w:val="0"/>
          <w:i w:val="0"/>
          <w:color w:val="2D3032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2232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/>
              <w:spacing w:after="20"/>
            </w:pPr>
            <w:r>
              <w:rPr>
                <w:rFonts w:ascii="Avenir Next" w:hAnsi="Avenir Next"/>
                <w:b/>
                <w:i w:val="0"/>
                <w:color w:val="1F3944"/>
                <w:sz w:val="22"/>
              </w:rPr>
              <w:t>Responsable Assurance Qualité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/>
              <w:jc w:val="right"/>
            </w:pPr>
            <w:r>
              <w:rPr>
                <w:rFonts w:ascii="Avenir Next" w:hAnsi="Avenir Next"/>
                <w:b/>
                <w:i w:val="0"/>
                <w:color w:val="666C6E"/>
                <w:sz w:val="18"/>
              </w:rPr>
              <w:t>2018–2024</w:t>
            </w:r>
          </w:p>
        </w:tc>
      </w:tr>
    </w:tbl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Conception de A à Z du dispositif d’assurance qualité des contenus : standards, méthodes de revue, workflows, reporting et mécanismes d’amélioration continue.</w:t>
      </w:r>
      <w:r>
        <w:rPr>
          <w:rFonts w:ascii="Avenir Next" w:hAnsi="Avenir Next"/>
          <w:b/>
          <w:i w:val="0"/>
          <w:color w:val="2D3032"/>
          <w:sz w:val="19"/>
        </w:rPr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Création de tableaux de bord Salesforce et Zendesk pour analyser les tickets par programme, typologie et délai de résolution.</w:t>
      </w:r>
      <w:r>
        <w:rPr>
          <w:rFonts w:ascii="Avenir Next" w:hAnsi="Avenir Next"/>
          <w:b/>
          <w:i w:val="0"/>
          <w:color w:val="2D3032"/>
          <w:sz w:val="19"/>
        </w:rPr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Exploitation des données opérationnelles, audits et retours des parties prenantes pour identifier les causes racines et prioriser les actions d’amélioration.</w:t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Recrutement, intégration et développement de l’équipe qualité ; diffusion des pratiques qualité auprès de Learning, Product, Operations et Support.</w:t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r>
        <w:rPr>
          <w:rFonts w:ascii="Avenir Next" w:hAnsi="Avenir Next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76"/>
        <w:gridCol w:w="2448"/>
      </w:tblGrid>
      <w:tr>
        <w:tc>
          <w:tcPr>
            <w:tcW w:type="dxa" w:w="5227"/>
            <w:tcMar>
              <w:top w:w="20" w:type="dxa"/>
              <w:start w:w="0" w:type="dxa"/>
              <w:bottom w:w="60" w:type="dxa"/>
              <w:end w:w="0" w:type="dxa"/>
            </w:tcMar>
          </w:tcPr>
          <w:p>
            <w:pPr>
              <w:keepLines/>
            </w:pPr>
            <w:r>
              <w:rPr>
                <w:rFonts w:ascii="Avenir Next" w:hAnsi="Avenir Next"/>
                <w:b/>
                <w:i w:val="0"/>
                <w:color w:val="1F3944"/>
                <w:sz w:val="30"/>
              </w:rPr>
              <w:t>CAROLINE DUNNE</w:t>
            </w:r>
          </w:p>
        </w:tc>
        <w:tc>
          <w:tcPr>
            <w:tcW w:type="dxa" w:w="5227"/>
            <w:tcMar>
              <w:top w:w="20" w:type="dxa"/>
              <w:start w:w="0" w:type="dxa"/>
              <w:bottom w:w="60" w:type="dxa"/>
              <w:end w:w="0" w:type="dxa"/>
            </w:tcMar>
          </w:tcPr>
          <w:p>
            <w:pPr>
              <w:keepLines/>
              <w:jc w:val="right"/>
            </w:pPr>
            <w:r>
              <w:rPr>
                <w:rFonts w:ascii="Avenir Next" w:hAnsi="Avenir Next"/>
                <w:b/>
                <w:i w:val="0"/>
                <w:color w:val="357171"/>
                <w:sz w:val="17"/>
              </w:rPr>
              <w:t>CV  •  2026</w:t>
            </w:r>
          </w:p>
        </w:tc>
      </w:tr>
    </w:tbl>
    <w:p>
      <w:pPr>
        <w:pageBreakBefore w:val="0"/>
        <w:spacing w:before="200" w:after="100"/>
      </w:pPr>
      <w:r>
        <w:rPr>
          <w:rFonts w:ascii="Avenir Next" w:hAnsi="Avenir Next"/>
          <w:b/>
          <w:i w:val="0"/>
          <w:color w:val="357171"/>
          <w:sz w:val="18"/>
        </w:rPr>
        <w:t>EXPÉRIENCE MANAGÉRIALE ANTÉRIEURE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2232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/>
              <w:spacing w:after="20"/>
            </w:pPr>
            <w:r>
              <w:rPr>
                <w:rFonts w:ascii="Avenir Next" w:hAnsi="Avenir Next"/>
                <w:b/>
                <w:i w:val="0"/>
                <w:color w:val="1F3944"/>
                <w:sz w:val="22"/>
              </w:rPr>
              <w:t>BERLITZ FRANCE — Responsable pédagogique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/>
              <w:jc w:val="right"/>
            </w:pPr>
            <w:r>
              <w:rPr>
                <w:rFonts w:ascii="Avenir Next" w:hAnsi="Avenir Next"/>
                <w:b/>
                <w:i w:val="0"/>
                <w:color w:val="666C6E"/>
                <w:sz w:val="18"/>
              </w:rPr>
              <w:t>2010–2018</w:t>
            </w:r>
          </w:p>
        </w:tc>
      </w:tr>
    </w:tbl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Pilotage de la qualité pédagogique, du recrutement, de l’intégration, de la formation et du développement professionnel des formateurs au sein d’un organisme international de formation.</w:t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Réalisation de revues qualité et de coaching, conception de programmes pédagogiques et coordination du déploiement auprès de plusieurs sites et parties prenantes.</w:t>
      </w:r>
      <w:r>
        <w:rPr>
          <w:rFonts w:ascii="Avenir Next" w:hAnsi="Avenir Next"/>
          <w:b w:val="0"/>
          <w:i w:val="0"/>
          <w:color w:val="2D3032"/>
          <w:sz w:val="19"/>
        </w:rPr>
      </w:r>
    </w:p>
    <w:p>
      <w:pPr>
        <w:spacing w:after="70"/>
        <w:ind w:left="230" w:hanging="173"/>
      </w:pPr>
      <w:r>
        <w:rPr>
          <w:rFonts w:ascii="Avenir Next" w:hAnsi="Avenir Next"/>
          <w:b w:val="0"/>
          <w:i w:val="0"/>
          <w:color w:val="357171"/>
          <w:sz w:val="19"/>
        </w:rPr>
        <w:t>• Gestion de partenariats avec des établissements scolaires et collectivités, et formation des équipes commerciales aux offres pédagogiques et à leur mise en œuvre.</w:t>
      </w:r>
      <w:r>
        <w:rPr>
          <w:rFonts w:ascii="Avenir Next" w:hAnsi="Avenir Next"/>
          <w:b w:val="0"/>
          <w:i w:val="0"/>
          <w:color w:val="2D3032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2232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/>
              <w:spacing w:after="20"/>
            </w:pPr>
            <w:r>
              <w:rPr>
                <w:rFonts w:ascii="Avenir Next" w:hAnsi="Avenir Next"/>
                <w:b/>
                <w:i w:val="0"/>
                <w:color w:val="1F3944"/>
                <w:sz w:val="22"/>
              </w:rPr>
              <w:t>EXPÉRIENCES ANTÉRIEURES DANS L’ÉDUCATION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/>
              <w:jc w:val="right"/>
            </w:pPr>
            <w:r>
              <w:rPr>
                <w:rFonts w:ascii="Avenir Next" w:hAnsi="Avenir Next"/>
                <w:b/>
                <w:i w:val="0"/>
                <w:color w:val="666C6E"/>
                <w:sz w:val="18"/>
              </w:rPr>
              <w:t>2005–2010</w:t>
            </w:r>
          </w:p>
        </w:tc>
      </w:tr>
    </w:tbl>
    <w:p>
      <w:pPr>
        <w:spacing w:after="140"/>
      </w:pPr>
      <w:r>
        <w:rPr>
          <w:rFonts w:ascii="Avenir Next" w:hAnsi="Avenir Next"/>
          <w:b w:val="0"/>
          <w:i w:val="0"/>
          <w:color w:val="2D3032"/>
          <w:sz w:val="19"/>
        </w:rPr>
        <w:t>Expériences d’enseignement au Royaume-Uni, en Corée du Sud et en France, dans le primaire, le secondaire et l’enseignement supérieur : conception pédagogique, préparation aux examens et accompagnement des apprenants.</w:t>
      </w:r>
    </w:p>
    <w:p>
      <w:pPr>
        <w:spacing w:before="200" w:after="100"/>
      </w:pPr>
      <w:r>
        <w:rPr>
          <w:rFonts w:ascii="Avenir Next" w:hAnsi="Avenir Next"/>
          <w:b/>
          <w:i w:val="0"/>
          <w:color w:val="357171"/>
          <w:sz w:val="18"/>
        </w:rPr>
        <w:t>COMPÉTENCES &amp; 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52"/>
        <w:gridCol w:w="3528"/>
      </w:tblGrid>
      <w:tr>
        <w:tc>
          <w:tcPr>
            <w:tcW w:type="dxa" w:w="5227"/>
            <w:tcMar>
              <w:top w:w="20" w:type="dxa"/>
              <w:start w:w="0" w:type="dxa"/>
              <w:bottom w:w="20" w:type="dxa"/>
              <w:end w:w="180" w:type="dxa"/>
            </w:tcMar>
          </w:tcPr>
          <w:p>
            <w:pPr>
              <w:keepLines/>
            </w:pPr>
            <w:r/>
          </w:p>
          <w:p>
            <w:pPr>
              <w:keepLines/>
              <w:spacing w:before="100" w:after="80"/>
            </w:pPr>
            <w:r>
              <w:rPr>
                <w:rFonts w:ascii="Avenir Next" w:hAnsi="Avenir Next"/>
                <w:b/>
                <w:i w:val="0"/>
                <w:color w:val="357171"/>
                <w:sz w:val="17"/>
              </w:rPr>
              <w:t>EXCELLENCE ORGANISATIONNELLE</w:t>
            </w:r>
          </w:p>
          <w:p>
            <w:pPr>
              <w:keepLines/>
              <w:spacing w:after="100"/>
            </w:pPr>
            <w:r>
              <w:rPr>
                <w:rFonts w:ascii="Avenir Next" w:hAnsi="Avenir Next"/>
                <w:b w:val="0"/>
                <w:i w:val="0"/>
                <w:color w:val="2D3032"/>
                <w:sz w:val="18"/>
              </w:rPr>
              <w:t>Conception &amp; optimisation des processus  •  Amélioration continue  •  Management de la qualité  •  Définition des KPI  •  Analyse des causes racines  •  Gouvernance  •  Transformation transverse</w:t>
            </w:r>
          </w:p>
          <w:p>
            <w:pPr>
              <w:keepLines/>
              <w:spacing w:before="100" w:after="80"/>
            </w:pPr>
            <w:r>
              <w:rPr>
                <w:rFonts w:ascii="Avenir Next" w:hAnsi="Avenir Next"/>
                <w:b/>
                <w:i w:val="0"/>
                <w:color w:val="357171"/>
                <w:sz w:val="17"/>
              </w:rPr>
              <w:t>DATA &amp; PERFORMANCE</w:t>
            </w:r>
          </w:p>
          <w:p>
            <w:pPr>
              <w:keepLines/>
              <w:spacing w:after="100"/>
            </w:pPr>
            <w:r>
              <w:rPr>
                <w:rFonts w:ascii="Avenir Next" w:hAnsi="Avenir Next"/>
                <w:b w:val="0"/>
                <w:i w:val="0"/>
                <w:color w:val="2D3032"/>
                <w:sz w:val="18"/>
              </w:rPr>
              <w:t>Conception de tableaux de bord  •  Reporting personnalisé  •  Analyse de la performance  •  Salesforce  •  Zendesk  •  Décision fondée sur la donnée</w:t>
            </w:r>
          </w:p>
          <w:p>
            <w:pPr>
              <w:keepLines/>
              <w:spacing w:before="100" w:after="80"/>
            </w:pPr>
            <w:r>
              <w:rPr>
                <w:rFonts w:ascii="Avenir Next" w:hAnsi="Avenir Next"/>
                <w:b/>
                <w:i w:val="0"/>
                <w:color w:val="357171"/>
                <w:sz w:val="17"/>
              </w:rPr>
              <w:t>QUALITÉ, ACCRÉDITATION &amp; CONFORMITÉ</w:t>
            </w:r>
          </w:p>
          <w:p>
            <w:pPr>
              <w:keepLines/>
              <w:spacing w:after="100"/>
            </w:pPr>
            <w:r>
              <w:rPr>
                <w:rFonts w:ascii="Avenir Next" w:hAnsi="Avenir Next"/>
                <w:b w:val="0"/>
                <w:i w:val="0"/>
                <w:color w:val="2D3032"/>
                <w:sz w:val="18"/>
              </w:rPr>
              <w:t>WSCUC  •  RNCP  •  France Compétences  •  Titres Professionnels  •  DRIEETS  •  Qualiopi  •  Audits externes  •  Gouvernance académique</w:t>
            </w:r>
          </w:p>
          <w:p>
            <w:pPr>
              <w:keepLines/>
              <w:spacing w:before="100" w:after="80"/>
            </w:pPr>
            <w:r>
              <w:rPr>
                <w:rFonts w:ascii="Avenir Next" w:hAnsi="Avenir Next"/>
                <w:b/>
                <w:i w:val="0"/>
                <w:color w:val="357171"/>
                <w:sz w:val="17"/>
              </w:rPr>
              <w:t>LEADERSHIP</w:t>
            </w:r>
          </w:p>
          <w:p>
            <w:pPr>
              <w:keepLines/>
              <w:spacing w:after="100"/>
            </w:pPr>
            <w:r>
              <w:rPr>
                <w:rFonts w:ascii="Avenir Next" w:hAnsi="Avenir Next"/>
                <w:b w:val="0"/>
                <w:i w:val="0"/>
                <w:color w:val="2D3032"/>
                <w:sz w:val="18"/>
              </w:rPr>
              <w:t>Management d’équipe  •  Leadership transverse  •  Partenariats stratégiques  •  Relations avec la direction  •  Pilotage de projets complexes</w:t>
            </w:r>
          </w:p>
        </w:tc>
        <w:tc>
          <w:tcPr>
            <w:tcW w:type="dxa" w:w="5227"/>
            <w:tcMar>
              <w:top w:w="20" w:type="dxa"/>
              <w:start w:w="180" w:type="dxa"/>
              <w:bottom w:w="20" w:type="dxa"/>
              <w:end w:w="0" w:type="dxa"/>
            </w:tcMar>
            <w:shd w:fill="F4F7F7"/>
          </w:tcPr>
          <w:p>
            <w:pPr>
              <w:keepLines/>
            </w:pPr>
            <w:r/>
          </w:p>
          <w:p>
            <w:pPr>
              <w:keepLines/>
              <w:spacing w:before="100" w:after="80"/>
            </w:pPr>
            <w:r>
              <w:rPr>
                <w:rFonts w:ascii="Avenir Next" w:hAnsi="Avenir Next"/>
                <w:b/>
                <w:i w:val="0"/>
                <w:color w:val="357171"/>
                <w:sz w:val="17"/>
              </w:rPr>
              <w:t>FORMATION</w:t>
            </w:r>
          </w:p>
          <w:p>
            <w:pPr>
              <w:keepLines/>
              <w:spacing w:after="100"/>
            </w:pPr>
            <w:r>
              <w:rPr>
                <w:rFonts w:ascii="Avenir Next" w:hAnsi="Avenir Next"/>
                <w:b w:val="0"/>
                <w:i w:val="0"/>
                <w:color w:val="2D3032"/>
                <w:sz w:val="18"/>
              </w:rPr>
              <w:t>PGCE — Enseignement secondaire, français</w:t>
            </w:r>
          </w:p>
          <w:p>
            <w:pPr>
              <w:keepLines/>
              <w:spacing w:after="100"/>
            </w:pPr>
            <w:r>
              <w:rPr>
                <w:rFonts w:ascii="Avenir Next" w:hAnsi="Avenir Next"/>
                <w:b w:val="0"/>
                <w:i w:val="0"/>
                <w:color w:val="2D3032"/>
                <w:sz w:val="18"/>
              </w:rPr>
              <w:t>Newcastle University | 2008–2009</w:t>
            </w:r>
          </w:p>
          <w:p>
            <w:pPr>
              <w:keepLines/>
              <w:spacing w:before="100" w:after="80"/>
            </w:pPr>
            <w:r>
              <w:rPr>
                <w:rFonts w:ascii="Avenir Next" w:hAnsi="Avenir Next"/>
                <w:b/>
                <w:i w:val="0"/>
                <w:color w:val="357171"/>
                <w:sz w:val="17"/>
              </w:rPr>
              <w:t>LLB (Hons) — Droit &amp; français</w:t>
            </w:r>
          </w:p>
          <w:p>
            <w:pPr>
              <w:keepLines/>
              <w:spacing w:after="100"/>
            </w:pPr>
            <w:r>
              <w:rPr>
                <w:rFonts w:ascii="Avenir Next" w:hAnsi="Avenir Next"/>
                <w:b w:val="0"/>
                <w:i w:val="0"/>
                <w:color w:val="2D3032"/>
                <w:sz w:val="18"/>
              </w:rPr>
              <w:t>University of Strathclyde | 2000–2005</w:t>
            </w:r>
          </w:p>
          <w:p>
            <w:pPr>
              <w:keepLines/>
              <w:spacing w:before="100" w:after="80"/>
            </w:pPr>
            <w:r>
              <w:rPr>
                <w:rFonts w:ascii="Avenir Next" w:hAnsi="Avenir Next"/>
                <w:b/>
                <w:i w:val="0"/>
                <w:color w:val="357171"/>
                <w:sz w:val="17"/>
              </w:rPr>
              <w:t>LANGUES</w:t>
            </w:r>
          </w:p>
          <w:p>
            <w:pPr>
              <w:keepLines/>
              <w:spacing w:after="100"/>
            </w:pPr>
            <w:r>
              <w:rPr>
                <w:rFonts w:ascii="Avenir Next" w:hAnsi="Avenir Next"/>
                <w:b w:val="0"/>
                <w:i w:val="0"/>
                <w:color w:val="2D3032"/>
                <w:sz w:val="18"/>
              </w:rPr>
              <w:t>Anglais — Langue maternelle</w:t>
            </w:r>
          </w:p>
          <w:p>
            <w:r>
              <w:t>Français — Courant / bilingue professionnel</w:t>
            </w:r>
          </w:p>
          <w:p>
            <w:r>
              <w:t>Italien — Débutant</w:t>
            </w:r>
          </w:p>
          <w:p>
            <w:r>
              <w:t>Coréen — Débutant</w:t>
            </w:r>
          </w:p>
          <w:p>
            <w:r>
              <w:t>OUTILS NUMÉRIQUES</w:t>
            </w:r>
          </w:p>
          <w:p>
            <w:r>
              <w:t>Salesforce  •  Zendesk</w:t>
            </w:r>
          </w:p>
          <w:p>
            <w:r>
              <w:t>Google Workspace  •  Microsoft Office</w:t>
            </w:r>
          </w:p>
          <w:p>
            <w:r>
              <w:t>Wrike  •  Notion  •  Slack</w:t>
            </w:r>
          </w:p>
          <w:p>
            <w:r>
              <w:t>IA générative &amp; workflows assistés par IA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venir Next" w:hAnsi="Avenir Next"/>
      <w:color w:val="2D30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venir Next" w:hAnsi="Avenir Next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venir Next" w:hAnsi="Avenir Next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venir Next" w:hAnsi="Avenir Next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venir Next" w:hAnsi="Avenir Nex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venir Next" w:hAnsi="Avenir Nex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venir Next" w:hAnsi="Avenir Nex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venir Next" w:hAnsi="Avenir Next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venir Next" w:hAnsi="Avenir Next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venir Next" w:hAnsi="Avenir Next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venir Next" w:hAnsi="Avenir Next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venir Next" w:hAnsi="Avenir Next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venir Next" w:hAnsi="Avenir Next"/>
    </w:rPr>
  </w:style>
  <w:style w:type="table" w:default="1" w:styleId="TableNormal">
    <w:name w:val="Normal Table"/>
    <w:uiPriority w:val="99"/>
    <w:semiHidden/>
    <w:unhideWhenUsed/>
    <w:rPr>
      <w:rFonts w:ascii="Avenir Next" w:hAnsi="Avenir Next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venir Next" w:hAnsi="Avenir Nex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venir Next" w:hAnsi="Avenir Nex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venir Next" w:hAnsi="Avenir Nex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venir Next" w:hAnsi="Avenir Next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venir Next" w:hAnsi="Avenir Nex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venir Next" w:hAnsi="Avenir Next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venir Next" w:hAnsi="Avenir Next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venir Next" w:hAnsi="Avenir Next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venir Next" w:hAnsi="Avenir Nex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venir Next" w:hAnsi="Avenir Nex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venir Next" w:hAnsi="Avenir Next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venir Next" w:hAnsi="Avenir Nex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venir Next" w:hAnsi="Avenir Next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venir Next" w:hAnsi="Avenir Next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venir Next" w:hAnsi="Avenir Next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venir Next" w:hAnsi="Avenir Nex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venir Next" w:hAnsi="Avenir Nex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venir Next" w:hAnsi="Avenir Nex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venir Next" w:hAnsi="Avenir Nex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venir Next" w:hAnsi="Avenir Nex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venir Next" w:hAnsi="Avenir Nex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venir Next" w:hAnsi="Avenir Nex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venir Next" w:hAnsi="Avenir Nex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venir Next" w:hAnsi="Avenir Nex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venir Next" w:hAnsi="Avenir Nex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venir Next" w:hAnsi="Avenir Nex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venir Next" w:hAnsi="Avenir Nex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venir Next" w:hAnsi="Avenir Next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venir Next" w:hAnsi="Avenir Next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venir Next" w:hAnsi="Avenir Nex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venir Next" w:hAnsi="Avenir Next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venir Next" w:hAnsi="Avenir Next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venir Next" w:hAnsi="Avenir Next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venir Next" w:hAnsi="Avenir Next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venir Next" w:hAnsi="Avenir Next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venir Next" w:hAnsi="Avenir Next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venir Next" w:hAnsi="Avenir Next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venir Next" w:hAnsi="Avenir Next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venir Next" w:hAnsi="Avenir Next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venir Next" w:hAnsi="Avenir Next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venir Next" w:hAnsi="Avenir Next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venir Next" w:hAnsi="Avenir Next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venir Next" w:hAnsi="Avenir Next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venir Next" w:hAnsi="Avenir Next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venir Next" w:hAnsi="Avenir Next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venir Next" w:hAnsi="Avenir Next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venir Next" w:hAnsi="Avenir Next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venir Next" w:hAnsi="Avenir Nex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venir Next" w:hAnsi="Avenir Next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venir Next" w:hAnsi="Avenir Next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venir Next" w:hAnsi="Avenir Next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venir Next" w:hAnsi="Avenir Next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venir Next" w:hAnsi="Avenir Next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venir Next" w:hAnsi="Avenir Next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venir Next" w:hAnsi="Avenir Next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venir Next" w:hAnsi="Avenir Next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venir Next" w:hAnsi="Avenir Nex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venir Next" w:hAnsi="Avenir Nex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venir Next" w:hAnsi="Avenir Nex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venir Next" w:hAnsi="Avenir Nex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venir Next" w:hAnsi="Avenir Nex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venir Next" w:hAnsi="Avenir Nex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venir Next" w:hAnsi="Avenir Nex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venir Next" w:hAnsi="Avenir Nex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venir Next" w:hAnsi="Avenir Nex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