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ToothGrowth</w:t>
      </w:r>
    </w:p>
    <w:p>
      <w:pPr>
        <w:pStyle w:val="Author"/>
      </w:pPr>
      <w:r>
        <w:t xml:space="preserve">Cyril</w:t>
      </w:r>
      <w:r>
        <w:t xml:space="preserve"> </w:t>
      </w:r>
      <w:r>
        <w:t xml:space="preserve">Medabalimi</w:t>
      </w:r>
    </w:p>
    <w:p>
      <w:pPr>
        <w:pStyle w:val="Date"/>
      </w:pPr>
      <w:r>
        <w:t xml:space="preserve">September</w:t>
      </w:r>
      <w:r>
        <w:t xml:space="preserve"> </w:t>
      </w:r>
      <w:r>
        <w:t xml:space="preserve">27,</w:t>
      </w:r>
      <w:r>
        <w:t xml:space="preserve"> </w:t>
      </w:r>
      <w:r>
        <w:t xml:space="preserve">2015</w:t>
      </w:r>
    </w:p>
    <w:p>
      <w:pPr>
        <w:pStyle w:val="Heading2"/>
      </w:pPr>
      <w:bookmarkStart w:id="21" w:name="loading-and-summary-of-the-data"/>
      <w:bookmarkEnd w:id="21"/>
      <w:r>
        <w:t xml:space="preserve">Loading and Summary of the Data</w:t>
      </w:r>
    </w:p>
    <w:p>
      <w:r>
        <w:t xml:space="preserve">The table below shows the view of the top 10 values</w:t>
      </w:r>
    </w:p>
    <w:tbl>
      <w:tblPr>
        <w:tblStyle w:val="TableNormal"/>
        <w:tblW w:type="pct" w:w="0.0"/>
      </w:tblPr>
      <w:tblGrid/>
      <w:tr>
        <w:tc>
          <w:tcPr>
            <w:tcBorders>
              <w:bottom w:val="single"/>
            </w:tcBorders>
            <w:vAlign w:val="bottom"/>
          </w:tcPr>
          <w:p>
            <w:pPr>
              <w:pStyle w:val="Compact"/>
              <w:jc w:val="right"/>
            </w:pPr>
            <w:r>
              <w:t xml:space="preserve">len</w:t>
            </w:r>
          </w:p>
        </w:tc>
        <w:tc>
          <w:tcPr>
            <w:tcBorders>
              <w:bottom w:val="single"/>
            </w:tcBorders>
            <w:vAlign w:val="bottom"/>
          </w:tcPr>
          <w:p>
            <w:pPr>
              <w:pStyle w:val="Compact"/>
              <w:jc w:val="left"/>
            </w:pPr>
            <w:r>
              <w:t xml:space="preserve">supp</w:t>
            </w:r>
          </w:p>
        </w:tc>
        <w:tc>
          <w:tcPr>
            <w:tcBorders>
              <w:bottom w:val="single"/>
            </w:tcBorders>
            <w:vAlign w:val="bottom"/>
          </w:tcPr>
          <w:p>
            <w:pPr>
              <w:pStyle w:val="Compact"/>
              <w:jc w:val="right"/>
            </w:pPr>
            <w:r>
              <w:t xml:space="preserve">dose</w:t>
            </w:r>
          </w:p>
        </w:tc>
      </w:tr>
      <w:tr>
        <w:tc>
          <w:p>
            <w:pPr>
              <w:pStyle w:val="Compact"/>
              <w:jc w:val="right"/>
            </w:pPr>
            <w:r>
              <w:t xml:space="preserve">4.2</w:t>
            </w:r>
          </w:p>
        </w:tc>
        <w:tc>
          <w:p>
            <w:pPr>
              <w:pStyle w:val="Compact"/>
              <w:jc w:val="left"/>
            </w:pPr>
            <w:r>
              <w:t xml:space="preserve">VC</w:t>
            </w:r>
          </w:p>
        </w:tc>
        <w:tc>
          <w:p>
            <w:pPr>
              <w:pStyle w:val="Compact"/>
              <w:jc w:val="right"/>
            </w:pPr>
            <w:r>
              <w:t xml:space="preserve">0.5</w:t>
            </w:r>
          </w:p>
        </w:tc>
      </w:tr>
      <w:tr>
        <w:tc>
          <w:p>
            <w:pPr>
              <w:pStyle w:val="Compact"/>
              <w:jc w:val="right"/>
            </w:pPr>
            <w:r>
              <w:t xml:space="preserve">11.5</w:t>
            </w:r>
          </w:p>
        </w:tc>
        <w:tc>
          <w:p>
            <w:pPr>
              <w:pStyle w:val="Compact"/>
              <w:jc w:val="left"/>
            </w:pPr>
            <w:r>
              <w:t xml:space="preserve">VC</w:t>
            </w:r>
          </w:p>
        </w:tc>
        <w:tc>
          <w:p>
            <w:pPr>
              <w:pStyle w:val="Compact"/>
              <w:jc w:val="right"/>
            </w:pPr>
            <w:r>
              <w:t xml:space="preserve">0.5</w:t>
            </w:r>
          </w:p>
        </w:tc>
      </w:tr>
      <w:tr>
        <w:tc>
          <w:p>
            <w:pPr>
              <w:pStyle w:val="Compact"/>
              <w:jc w:val="right"/>
            </w:pPr>
            <w:r>
              <w:t xml:space="preserve">7.3</w:t>
            </w:r>
          </w:p>
        </w:tc>
        <w:tc>
          <w:p>
            <w:pPr>
              <w:pStyle w:val="Compact"/>
              <w:jc w:val="left"/>
            </w:pPr>
            <w:r>
              <w:t xml:space="preserve">VC</w:t>
            </w:r>
          </w:p>
        </w:tc>
        <w:tc>
          <w:p>
            <w:pPr>
              <w:pStyle w:val="Compact"/>
              <w:jc w:val="right"/>
            </w:pPr>
            <w:r>
              <w:t xml:space="preserve">0.5</w:t>
            </w:r>
          </w:p>
        </w:tc>
      </w:tr>
      <w:tr>
        <w:tc>
          <w:p>
            <w:pPr>
              <w:pStyle w:val="Compact"/>
              <w:jc w:val="right"/>
            </w:pPr>
            <w:r>
              <w:t xml:space="preserve">5.8</w:t>
            </w:r>
          </w:p>
        </w:tc>
        <w:tc>
          <w:p>
            <w:pPr>
              <w:pStyle w:val="Compact"/>
              <w:jc w:val="left"/>
            </w:pPr>
            <w:r>
              <w:t xml:space="preserve">VC</w:t>
            </w:r>
          </w:p>
        </w:tc>
        <w:tc>
          <w:p>
            <w:pPr>
              <w:pStyle w:val="Compact"/>
              <w:jc w:val="right"/>
            </w:pPr>
            <w:r>
              <w:t xml:space="preserve">0.5</w:t>
            </w:r>
          </w:p>
        </w:tc>
      </w:tr>
      <w:tr>
        <w:tc>
          <w:p>
            <w:pPr>
              <w:pStyle w:val="Compact"/>
              <w:jc w:val="right"/>
            </w:pPr>
            <w:r>
              <w:t xml:space="preserve">6.4</w:t>
            </w:r>
          </w:p>
        </w:tc>
        <w:tc>
          <w:p>
            <w:pPr>
              <w:pStyle w:val="Compact"/>
              <w:jc w:val="left"/>
            </w:pPr>
            <w:r>
              <w:t xml:space="preserve">VC</w:t>
            </w:r>
          </w:p>
        </w:tc>
        <w:tc>
          <w:p>
            <w:pPr>
              <w:pStyle w:val="Compact"/>
              <w:jc w:val="right"/>
            </w:pPr>
            <w:r>
              <w:t xml:space="preserve">0.5</w:t>
            </w:r>
          </w:p>
        </w:tc>
      </w:tr>
      <w:tr>
        <w:tc>
          <w:p>
            <w:pPr>
              <w:pStyle w:val="Compact"/>
              <w:jc w:val="right"/>
            </w:pPr>
            <w:r>
              <w:t xml:space="preserve">10.0</w:t>
            </w:r>
          </w:p>
        </w:tc>
        <w:tc>
          <w:p>
            <w:pPr>
              <w:pStyle w:val="Compact"/>
              <w:jc w:val="left"/>
            </w:pPr>
            <w:r>
              <w:t xml:space="preserve">VC</w:t>
            </w:r>
          </w:p>
        </w:tc>
        <w:tc>
          <w:p>
            <w:pPr>
              <w:pStyle w:val="Compact"/>
              <w:jc w:val="right"/>
            </w:pPr>
            <w:r>
              <w:t xml:space="preserve">0.5</w:t>
            </w:r>
          </w:p>
        </w:tc>
      </w:tr>
      <w:tr>
        <w:tc>
          <w:p>
            <w:pPr>
              <w:pStyle w:val="Compact"/>
              <w:jc w:val="right"/>
            </w:pPr>
            <w:r>
              <w:t xml:space="preserve">11.2</w:t>
            </w:r>
          </w:p>
        </w:tc>
        <w:tc>
          <w:p>
            <w:pPr>
              <w:pStyle w:val="Compact"/>
              <w:jc w:val="left"/>
            </w:pPr>
            <w:r>
              <w:t xml:space="preserve">VC</w:t>
            </w:r>
          </w:p>
        </w:tc>
        <w:tc>
          <w:p>
            <w:pPr>
              <w:pStyle w:val="Compact"/>
              <w:jc w:val="right"/>
            </w:pPr>
            <w:r>
              <w:t xml:space="preserve">0.5</w:t>
            </w:r>
          </w:p>
        </w:tc>
      </w:tr>
      <w:tr>
        <w:tc>
          <w:p>
            <w:pPr>
              <w:pStyle w:val="Compact"/>
              <w:jc w:val="right"/>
            </w:pPr>
            <w:r>
              <w:t xml:space="preserve">11.2</w:t>
            </w:r>
          </w:p>
        </w:tc>
        <w:tc>
          <w:p>
            <w:pPr>
              <w:pStyle w:val="Compact"/>
              <w:jc w:val="left"/>
            </w:pPr>
            <w:r>
              <w:t xml:space="preserve">VC</w:t>
            </w:r>
          </w:p>
        </w:tc>
        <w:tc>
          <w:p>
            <w:pPr>
              <w:pStyle w:val="Compact"/>
              <w:jc w:val="right"/>
            </w:pPr>
            <w:r>
              <w:t xml:space="preserve">0.5</w:t>
            </w:r>
          </w:p>
        </w:tc>
      </w:tr>
      <w:tr>
        <w:tc>
          <w:p>
            <w:pPr>
              <w:pStyle w:val="Compact"/>
              <w:jc w:val="right"/>
            </w:pPr>
            <w:r>
              <w:t xml:space="preserve">5.2</w:t>
            </w:r>
          </w:p>
        </w:tc>
        <w:tc>
          <w:p>
            <w:pPr>
              <w:pStyle w:val="Compact"/>
              <w:jc w:val="left"/>
            </w:pPr>
            <w:r>
              <w:t xml:space="preserve">VC</w:t>
            </w:r>
          </w:p>
        </w:tc>
        <w:tc>
          <w:p>
            <w:pPr>
              <w:pStyle w:val="Compact"/>
              <w:jc w:val="right"/>
            </w:pPr>
            <w:r>
              <w:t xml:space="preserve">0.5</w:t>
            </w:r>
          </w:p>
        </w:tc>
      </w:tr>
      <w:tr>
        <w:tc>
          <w:p>
            <w:pPr>
              <w:pStyle w:val="Compact"/>
              <w:jc w:val="right"/>
            </w:pPr>
            <w:r>
              <w:t xml:space="preserve">7.0</w:t>
            </w:r>
          </w:p>
        </w:tc>
        <w:tc>
          <w:p>
            <w:pPr>
              <w:pStyle w:val="Compact"/>
              <w:jc w:val="left"/>
            </w:pPr>
            <w:r>
              <w:t xml:space="preserve">VC</w:t>
            </w:r>
          </w:p>
        </w:tc>
        <w:tc>
          <w:p>
            <w:pPr>
              <w:pStyle w:val="Compact"/>
              <w:jc w:val="right"/>
            </w:pPr>
            <w:r>
              <w:t xml:space="preserve">0.5</w:t>
            </w:r>
          </w:p>
        </w:tc>
      </w:tr>
    </w:tbl>
    <w:p>
      <w:r>
        <w:t xml:space="preserve">The table below shows a summary of the three variables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supp</w:t>
            </w:r>
          </w:p>
        </w:tc>
        <w:tc>
          <w:tcPr>
            <w:tcBorders>
              <w:bottom w:val="single"/>
            </w:tcBorders>
            <w:vAlign w:val="bottom"/>
          </w:tcPr>
          <w:p>
            <w:pPr>
              <w:pStyle w:val="Compact"/>
              <w:jc w:val="left"/>
            </w:pPr>
            <w:r>
              <w:t xml:space="preserve">dose</w:t>
            </w:r>
          </w:p>
        </w:tc>
      </w:tr>
      <w:tr>
        <w:tc>
          <w:p>
            <w:pPr>
              <w:pStyle w:val="Compact"/>
            </w:pPr>
          </w:p>
        </w:tc>
        <w:tc>
          <w:p>
            <w:pPr>
              <w:pStyle w:val="Compact"/>
              <w:jc w:val="left"/>
            </w:pPr>
            <w:r>
              <w:t xml:space="preserve">Min. : 4.20</w:t>
            </w:r>
          </w:p>
        </w:tc>
        <w:tc>
          <w:p>
            <w:pPr>
              <w:pStyle w:val="Compact"/>
              <w:jc w:val="left"/>
            </w:pPr>
            <w:r>
              <w:t xml:space="preserve">OJ:30</w:t>
            </w:r>
          </w:p>
        </w:tc>
        <w:tc>
          <w:p>
            <w:pPr>
              <w:pStyle w:val="Compact"/>
              <w:jc w:val="left"/>
            </w:pPr>
            <w:r>
              <w:t xml:space="preserve">Min. :0.500</w:t>
            </w:r>
          </w:p>
        </w:tc>
      </w:tr>
      <w:tr>
        <w:tc>
          <w:p>
            <w:pPr>
              <w:pStyle w:val="Compact"/>
            </w:pPr>
          </w:p>
        </w:tc>
        <w:tc>
          <w:p>
            <w:pPr>
              <w:pStyle w:val="Compact"/>
              <w:jc w:val="left"/>
            </w:pPr>
            <w:r>
              <w:t xml:space="preserve">1st Qu.:13.07</w:t>
            </w:r>
          </w:p>
        </w:tc>
        <w:tc>
          <w:p>
            <w:pPr>
              <w:pStyle w:val="Compact"/>
              <w:jc w:val="left"/>
            </w:pPr>
            <w:r>
              <w:t xml:space="preserve">VC:30</w:t>
            </w:r>
          </w:p>
        </w:tc>
        <w:tc>
          <w:p>
            <w:pPr>
              <w:pStyle w:val="Compact"/>
              <w:jc w:val="left"/>
            </w:pPr>
            <w:r>
              <w:t xml:space="preserve">1st Qu.:0.500</w:t>
            </w:r>
          </w:p>
        </w:tc>
      </w:tr>
      <w:tr>
        <w:tc>
          <w:p>
            <w:pPr>
              <w:pStyle w:val="Compact"/>
            </w:pPr>
          </w:p>
        </w:tc>
        <w:tc>
          <w:p>
            <w:pPr>
              <w:pStyle w:val="Compact"/>
              <w:jc w:val="left"/>
            </w:pPr>
            <w:r>
              <w:t xml:space="preserve">Median :19.25</w:t>
            </w:r>
          </w:p>
        </w:tc>
        <w:tc>
          <w:p>
            <w:pPr>
              <w:pStyle w:val="Compact"/>
              <w:jc w:val="left"/>
            </w:pPr>
            <w:r>
              <w:t xml:space="preserve">NA</w:t>
            </w:r>
          </w:p>
        </w:tc>
        <w:tc>
          <w:p>
            <w:pPr>
              <w:pStyle w:val="Compact"/>
              <w:jc w:val="left"/>
            </w:pPr>
            <w:r>
              <w:t xml:space="preserve">Median :1.000</w:t>
            </w:r>
          </w:p>
        </w:tc>
      </w:tr>
      <w:tr>
        <w:tc>
          <w:p>
            <w:pPr>
              <w:pStyle w:val="Compact"/>
            </w:pPr>
          </w:p>
        </w:tc>
        <w:tc>
          <w:p>
            <w:pPr>
              <w:pStyle w:val="Compact"/>
              <w:jc w:val="left"/>
            </w:pPr>
            <w:r>
              <w:t xml:space="preserve">Mean :18.81</w:t>
            </w:r>
          </w:p>
        </w:tc>
        <w:tc>
          <w:p>
            <w:pPr>
              <w:pStyle w:val="Compact"/>
              <w:jc w:val="left"/>
            </w:pPr>
            <w:r>
              <w:t xml:space="preserve">NA</w:t>
            </w:r>
          </w:p>
        </w:tc>
        <w:tc>
          <w:p>
            <w:pPr>
              <w:pStyle w:val="Compact"/>
              <w:jc w:val="left"/>
            </w:pPr>
            <w:r>
              <w:t xml:space="preserve">Mean :1.167</w:t>
            </w:r>
          </w:p>
        </w:tc>
      </w:tr>
      <w:tr>
        <w:tc>
          <w:p>
            <w:pPr>
              <w:pStyle w:val="Compact"/>
            </w:pPr>
          </w:p>
        </w:tc>
        <w:tc>
          <w:p>
            <w:pPr>
              <w:pStyle w:val="Compact"/>
              <w:jc w:val="left"/>
            </w:pPr>
            <w:r>
              <w:t xml:space="preserve">3rd Qu.:25.27</w:t>
            </w:r>
          </w:p>
        </w:tc>
        <w:tc>
          <w:p>
            <w:pPr>
              <w:pStyle w:val="Compact"/>
              <w:jc w:val="left"/>
            </w:pPr>
            <w:r>
              <w:t xml:space="preserve">NA</w:t>
            </w:r>
          </w:p>
        </w:tc>
        <w:tc>
          <w:p>
            <w:pPr>
              <w:pStyle w:val="Compact"/>
              <w:jc w:val="left"/>
            </w:pPr>
            <w:r>
              <w:t xml:space="preserve">3rd Qu.:2.000</w:t>
            </w:r>
          </w:p>
        </w:tc>
      </w:tr>
      <w:tr>
        <w:tc>
          <w:p>
            <w:pPr>
              <w:pStyle w:val="Compact"/>
            </w:pPr>
          </w:p>
        </w:tc>
        <w:tc>
          <w:p>
            <w:pPr>
              <w:pStyle w:val="Compact"/>
              <w:jc w:val="left"/>
            </w:pPr>
            <w:r>
              <w:t xml:space="preserve">Max. :33.90</w:t>
            </w:r>
          </w:p>
        </w:tc>
        <w:tc>
          <w:p>
            <w:pPr>
              <w:pStyle w:val="Compact"/>
              <w:jc w:val="left"/>
            </w:pPr>
            <w:r>
              <w:t xml:space="preserve">NA</w:t>
            </w:r>
          </w:p>
        </w:tc>
        <w:tc>
          <w:p>
            <w:pPr>
              <w:pStyle w:val="Compact"/>
              <w:jc w:val="left"/>
            </w:pPr>
            <w:r>
              <w:t xml:space="preserve">Max. :2.000</w:t>
            </w:r>
          </w:p>
        </w:tc>
      </w:tr>
    </w:tbl>
    <w:p>
      <w:r>
        <w:t xml:space="preserve">The figure below shows a box plot of the length of tooth by supplement and dosage. We observe that the higher the dosage the longer the tooth was. As the graph shows the median of the 2mg dosage was similar for both supplements.</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(tooth_data, </w:t>
      </w:r>
      <w:r>
        <w:rPr>
          <w:rStyle w:val="KeywordTok"/>
        </w:rPr>
        <w:t xml:space="preserve">aes</w:t>
      </w:r>
      <w:r>
        <w:rPr>
          <w:rStyle w:val="NormalTok"/>
        </w:rPr>
        <w:t xml:space="preserve">(</w:t>
      </w:r>
      <w:r>
        <w:rPr>
          <w:rStyle w:val="DataTypeTok"/>
        </w:rPr>
        <w:t xml:space="preserve">x=</w:t>
      </w:r>
      <w:r>
        <w:rPr>
          <w:rStyle w:val="NormalTok"/>
        </w:rPr>
        <w:t xml:space="preserve">supp, </w:t>
      </w:r>
      <w:r>
        <w:rPr>
          <w:rStyle w:val="DataTypeTok"/>
        </w:rPr>
        <w:t xml:space="preserve">y=</w:t>
      </w:r>
      <w:r>
        <w:rPr>
          <w:rStyle w:val="NormalTok"/>
        </w:rPr>
        <w:t xml:space="preserve">len))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supp, </w:t>
      </w:r>
      <w:r>
        <w:rPr>
          <w:rStyle w:val="DataTypeTok"/>
        </w:rPr>
        <w:t xml:space="preserve">y=</w:t>
      </w:r>
      <w:r>
        <w:rPr>
          <w:rStyle w:val="NormalTok"/>
        </w:rPr>
        <w:t xml:space="preserve">len,</w:t>
      </w:r>
      <w:r>
        <w:rPr>
          <w:rStyle w:val="DataTypeTok"/>
        </w:rPr>
        <w:t xml:space="preserve">fill =</w:t>
      </w:r>
      <w:r>
        <w:rPr>
          <w:rStyle w:val="KeywordTok"/>
        </w:rPr>
        <w:t xml:space="preserve">factor</w:t>
      </w:r>
      <w:r>
        <w:rPr>
          <w:rStyle w:val="NormalTok"/>
        </w:rPr>
        <w:t xml:space="preserve">(dose)))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"Length of tooth by supplement and dosage"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StringTok"/>
        </w:rPr>
        <w:t xml:space="preserve">"Length of tooth"</w:t>
      </w:r>
      <w:r>
        <w:rPr>
          <w:rStyle w:val="NormalTok"/>
        </w:rPr>
        <w:t xml:space="preserve">, </w:t>
      </w:r>
      <w:r>
        <w:rPr>
          <w:rStyle w:val="DataTypeTok"/>
        </w:rPr>
        <w:t xml:space="preserve">x=</w:t>
      </w:r>
      <w:r>
        <w:rPr>
          <w:rStyle w:val="StringTok"/>
        </w:rPr>
        <w:t xml:space="preserve">"Supplement"</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"Dosage"</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rPr>
          <w:rStyle w:val="KeywordTok"/>
        </w:rPr>
        <w:t xml:space="preserve">print</w:t>
      </w:r>
      <w:r>
        <w:rPr>
          <w:rStyle w:val="NormalTok"/>
        </w:rPr>
        <w:t xml:space="preserve">(g)</w:t>
      </w:r>
    </w:p>
    <w:p/>
    <w:p>
      <w:pPr>
        <w:pStyle w:val="Heading2"/>
      </w:pPr>
      <w:bookmarkStart w:id="22" w:name="analysis-of-the-data"/>
      <w:bookmarkEnd w:id="22"/>
      <w:r>
        <w:t xml:space="preserve">Analysis of the data</w:t>
      </w:r>
    </w:p>
    <w:p>
      <w:r>
        <w:t xml:space="preserve">Below we calculate the mean, SD and 95% CI /(confidence interval/) for each dosage per supplement. We calculate the CI for the t-distribution of the data.The table below shows the summary where</w:t>
      </w:r>
      <w:r>
        <w:t xml:space="preserve"> </w:t>
      </w:r>
      <w:r>
        <w:rPr>
          <w:i/>
        </w:rPr>
        <w:t xml:space="preserve">mean</w:t>
      </w:r>
      <w:r>
        <w:t xml:space="preserve">,</w:t>
      </w:r>
      <w:r>
        <w:t xml:space="preserve"> </w:t>
      </w:r>
      <w:r>
        <w:rPr>
          <w:i/>
        </w:rPr>
        <w:t xml:space="preserve">count</w:t>
      </w:r>
      <w:r>
        <w:t xml:space="preserve"> </w:t>
      </w:r>
      <w:r>
        <w:t xml:space="preserve">,</w:t>
      </w:r>
      <w:r>
        <w:t xml:space="preserve"> </w:t>
      </w:r>
      <w:r>
        <w:rPr>
          <w:i/>
        </w:rPr>
        <w:t xml:space="preserve">se</w:t>
      </w:r>
      <w:r>
        <w:t xml:space="preserve"> </w:t>
      </w:r>
      <w:r>
        <w:t xml:space="preserve">,</w:t>
      </w:r>
      <w:r>
        <w:t xml:space="preserve"> </w:t>
      </w:r>
      <w:r>
        <w:rPr>
          <w:i/>
        </w:rPr>
        <w:t xml:space="preserve">sd</w:t>
      </w:r>
      <w:r>
        <w:t xml:space="preserve"> </w:t>
      </w:r>
      <w:r>
        <w:t xml:space="preserve">and</w:t>
      </w:r>
      <w:r>
        <w:t xml:space="preserve"> </w:t>
      </w:r>
      <w:r>
        <w:rPr>
          <w:i/>
        </w:rPr>
        <w:t xml:space="preserve">ci</w:t>
      </w:r>
      <w:r>
        <w:t xml:space="preserve"> </w:t>
      </w:r>
      <w:r>
        <w:t xml:space="preserve">is the mean , count, standard error, standard deviation and the CI of tooth length respectively.</w:t>
      </w:r>
    </w:p>
    <w:tbl>
      <w:tblPr>
        <w:tblStyle w:val="TableNormal"/>
        <w:tblW w:type="pct" w:w="0.0"/>
      </w:tblPr>
      <w:tblGrid/>
      <w:tr>
        <w:tc>
          <w:tcPr>
            <w:tcBorders>
              <w:bottom w:val="single"/>
            </w:tcBorders>
            <w:vAlign w:val="bottom"/>
          </w:tcPr>
          <w:p>
            <w:pPr>
              <w:pStyle w:val="Compact"/>
              <w:jc w:val="right"/>
            </w:pPr>
            <w:r>
              <w:t xml:space="preserve">dose</w:t>
            </w:r>
          </w:p>
        </w:tc>
        <w:tc>
          <w:tcPr>
            <w:tcBorders>
              <w:bottom w:val="single"/>
            </w:tcBorders>
            <w:vAlign w:val="bottom"/>
          </w:tcPr>
          <w:p>
            <w:pPr>
              <w:pStyle w:val="Compact"/>
              <w:jc w:val="left"/>
            </w:pPr>
            <w:r>
              <w:t xml:space="preserve">supp</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right"/>
            </w:pPr>
            <w:r>
              <w:t xml:space="preserve">0.5</w:t>
            </w:r>
          </w:p>
        </w:tc>
        <w:tc>
          <w:p>
            <w:pPr>
              <w:pStyle w:val="Compact"/>
              <w:jc w:val="left"/>
            </w:pPr>
            <w:r>
              <w:t xml:space="preserve">OJ</w:t>
            </w:r>
          </w:p>
        </w:tc>
        <w:tc>
          <w:p>
            <w:pPr>
              <w:pStyle w:val="Compact"/>
              <w:jc w:val="right"/>
            </w:pPr>
            <w:r>
              <w:t xml:space="preserve">10</w:t>
            </w:r>
          </w:p>
        </w:tc>
        <w:tc>
          <w:p>
            <w:pPr>
              <w:pStyle w:val="Compact"/>
              <w:jc w:val="right"/>
            </w:pPr>
            <w:r>
              <w:t xml:space="preserve">13.23</w:t>
            </w:r>
          </w:p>
        </w:tc>
        <w:tc>
          <w:p>
            <w:pPr>
              <w:pStyle w:val="Compact"/>
              <w:jc w:val="right"/>
            </w:pPr>
            <w:r>
              <w:t xml:space="preserve">4.459708</w:t>
            </w:r>
          </w:p>
        </w:tc>
        <w:tc>
          <w:p>
            <w:pPr>
              <w:pStyle w:val="Compact"/>
              <w:jc w:val="right"/>
            </w:pPr>
            <w:r>
              <w:t xml:space="preserve">1.4102837</w:t>
            </w:r>
          </w:p>
        </w:tc>
        <w:tc>
          <w:p>
            <w:pPr>
              <w:pStyle w:val="Compact"/>
              <w:jc w:val="right"/>
            </w:pPr>
            <w:r>
              <w:t xml:space="preserve">3.190283</w:t>
            </w:r>
          </w:p>
        </w:tc>
      </w:tr>
      <w:tr>
        <w:tc>
          <w:p>
            <w:pPr>
              <w:pStyle w:val="Compact"/>
              <w:jc w:val="right"/>
            </w:pPr>
            <w:r>
              <w:t xml:space="preserve">0.5</w:t>
            </w:r>
          </w:p>
        </w:tc>
        <w:tc>
          <w:p>
            <w:pPr>
              <w:pStyle w:val="Compact"/>
              <w:jc w:val="left"/>
            </w:pPr>
            <w:r>
              <w:t xml:space="preserve">VC</w:t>
            </w:r>
          </w:p>
        </w:tc>
        <w:tc>
          <w:p>
            <w:pPr>
              <w:pStyle w:val="Compact"/>
              <w:jc w:val="right"/>
            </w:pPr>
            <w:r>
              <w:t xml:space="preserve">10</w:t>
            </w:r>
          </w:p>
        </w:tc>
        <w:tc>
          <w:p>
            <w:pPr>
              <w:pStyle w:val="Compact"/>
              <w:jc w:val="right"/>
            </w:pPr>
            <w:r>
              <w:t xml:space="preserve">7.98</w:t>
            </w:r>
          </w:p>
        </w:tc>
        <w:tc>
          <w:p>
            <w:pPr>
              <w:pStyle w:val="Compact"/>
              <w:jc w:val="right"/>
            </w:pPr>
            <w:r>
              <w:t xml:space="preserve">2.746634</w:t>
            </w:r>
          </w:p>
        </w:tc>
        <w:tc>
          <w:p>
            <w:pPr>
              <w:pStyle w:val="Compact"/>
              <w:jc w:val="right"/>
            </w:pPr>
            <w:r>
              <w:t xml:space="preserve">0.8685620</w:t>
            </w:r>
          </w:p>
        </w:tc>
        <w:tc>
          <w:p>
            <w:pPr>
              <w:pStyle w:val="Compact"/>
              <w:jc w:val="right"/>
            </w:pPr>
            <w:r>
              <w:t xml:space="preserve">1.964824</w:t>
            </w:r>
          </w:p>
        </w:tc>
      </w:tr>
      <w:tr>
        <w:tc>
          <w:p>
            <w:pPr>
              <w:pStyle w:val="Compact"/>
              <w:jc w:val="right"/>
            </w:pPr>
            <w:r>
              <w:t xml:space="preserve">1.0</w:t>
            </w:r>
          </w:p>
        </w:tc>
        <w:tc>
          <w:p>
            <w:pPr>
              <w:pStyle w:val="Compact"/>
              <w:jc w:val="left"/>
            </w:pPr>
            <w:r>
              <w:t xml:space="preserve">OJ</w:t>
            </w:r>
          </w:p>
        </w:tc>
        <w:tc>
          <w:p>
            <w:pPr>
              <w:pStyle w:val="Compact"/>
              <w:jc w:val="right"/>
            </w:pPr>
            <w:r>
              <w:t xml:space="preserve">10</w:t>
            </w:r>
          </w:p>
        </w:tc>
        <w:tc>
          <w:p>
            <w:pPr>
              <w:pStyle w:val="Compact"/>
              <w:jc w:val="right"/>
            </w:pPr>
            <w:r>
              <w:t xml:space="preserve">22.70</w:t>
            </w:r>
          </w:p>
        </w:tc>
        <w:tc>
          <w:p>
            <w:pPr>
              <w:pStyle w:val="Compact"/>
              <w:jc w:val="right"/>
            </w:pPr>
            <w:r>
              <w:t xml:space="preserve">3.910953</w:t>
            </w:r>
          </w:p>
        </w:tc>
        <w:tc>
          <w:p>
            <w:pPr>
              <w:pStyle w:val="Compact"/>
              <w:jc w:val="right"/>
            </w:pPr>
            <w:r>
              <w:t xml:space="preserve">1.2367520</w:t>
            </w:r>
          </w:p>
        </w:tc>
        <w:tc>
          <w:p>
            <w:pPr>
              <w:pStyle w:val="Compact"/>
              <w:jc w:val="right"/>
            </w:pPr>
            <w:r>
              <w:t xml:space="preserve">2.797727</w:t>
            </w:r>
          </w:p>
        </w:tc>
      </w:tr>
      <w:tr>
        <w:tc>
          <w:p>
            <w:pPr>
              <w:pStyle w:val="Compact"/>
              <w:jc w:val="right"/>
            </w:pPr>
            <w:r>
              <w:t xml:space="preserve">1.0</w:t>
            </w:r>
          </w:p>
        </w:tc>
        <w:tc>
          <w:p>
            <w:pPr>
              <w:pStyle w:val="Compact"/>
              <w:jc w:val="left"/>
            </w:pPr>
            <w:r>
              <w:t xml:space="preserve">VC</w:t>
            </w:r>
          </w:p>
        </w:tc>
        <w:tc>
          <w:p>
            <w:pPr>
              <w:pStyle w:val="Compact"/>
              <w:jc w:val="right"/>
            </w:pPr>
            <w:r>
              <w:t xml:space="preserve">10</w:t>
            </w:r>
          </w:p>
        </w:tc>
        <w:tc>
          <w:p>
            <w:pPr>
              <w:pStyle w:val="Compact"/>
              <w:jc w:val="right"/>
            </w:pPr>
            <w:r>
              <w:t xml:space="preserve">16.77</w:t>
            </w:r>
          </w:p>
        </w:tc>
        <w:tc>
          <w:p>
            <w:pPr>
              <w:pStyle w:val="Compact"/>
              <w:jc w:val="right"/>
            </w:pPr>
            <w:r>
              <w:t xml:space="preserve">2.515309</w:t>
            </w:r>
          </w:p>
        </w:tc>
        <w:tc>
          <w:p>
            <w:pPr>
              <w:pStyle w:val="Compact"/>
              <w:jc w:val="right"/>
            </w:pPr>
            <w:r>
              <w:t xml:space="preserve">0.7954104</w:t>
            </w:r>
          </w:p>
        </w:tc>
        <w:tc>
          <w:p>
            <w:pPr>
              <w:pStyle w:val="Compact"/>
              <w:jc w:val="right"/>
            </w:pPr>
            <w:r>
              <w:t xml:space="preserve">1.799343</w:t>
            </w:r>
          </w:p>
        </w:tc>
      </w:tr>
      <w:tr>
        <w:tc>
          <w:p>
            <w:pPr>
              <w:pStyle w:val="Compact"/>
              <w:jc w:val="right"/>
            </w:pPr>
            <w:r>
              <w:t xml:space="preserve">2.0</w:t>
            </w:r>
          </w:p>
        </w:tc>
        <w:tc>
          <w:p>
            <w:pPr>
              <w:pStyle w:val="Compact"/>
              <w:jc w:val="left"/>
            </w:pPr>
            <w:r>
              <w:t xml:space="preserve">OJ</w:t>
            </w:r>
          </w:p>
        </w:tc>
        <w:tc>
          <w:p>
            <w:pPr>
              <w:pStyle w:val="Compact"/>
              <w:jc w:val="right"/>
            </w:pPr>
            <w:r>
              <w:t xml:space="preserve">10</w:t>
            </w:r>
          </w:p>
        </w:tc>
        <w:tc>
          <w:p>
            <w:pPr>
              <w:pStyle w:val="Compact"/>
              <w:jc w:val="right"/>
            </w:pPr>
            <w:r>
              <w:t xml:space="preserve">26.06</w:t>
            </w:r>
          </w:p>
        </w:tc>
        <w:tc>
          <w:p>
            <w:pPr>
              <w:pStyle w:val="Compact"/>
              <w:jc w:val="right"/>
            </w:pPr>
            <w:r>
              <w:t xml:space="preserve">2.655058</w:t>
            </w:r>
          </w:p>
        </w:tc>
        <w:tc>
          <w:p>
            <w:pPr>
              <w:pStyle w:val="Compact"/>
              <w:jc w:val="right"/>
            </w:pPr>
            <w:r>
              <w:t xml:space="preserve">0.8396031</w:t>
            </w:r>
          </w:p>
        </w:tc>
        <w:tc>
          <w:p>
            <w:pPr>
              <w:pStyle w:val="Compact"/>
              <w:jc w:val="right"/>
            </w:pPr>
            <w:r>
              <w:t xml:space="preserve">1.899314</w:t>
            </w:r>
          </w:p>
        </w:tc>
      </w:tr>
      <w:tr>
        <w:tc>
          <w:p>
            <w:pPr>
              <w:pStyle w:val="Compact"/>
              <w:jc w:val="right"/>
            </w:pPr>
            <w:r>
              <w:t xml:space="preserve">2.0</w:t>
            </w:r>
          </w:p>
        </w:tc>
        <w:tc>
          <w:p>
            <w:pPr>
              <w:pStyle w:val="Compact"/>
              <w:jc w:val="left"/>
            </w:pPr>
            <w:r>
              <w:t xml:space="preserve">VC</w:t>
            </w:r>
          </w:p>
        </w:tc>
        <w:tc>
          <w:p>
            <w:pPr>
              <w:pStyle w:val="Compact"/>
              <w:jc w:val="right"/>
            </w:pPr>
            <w:r>
              <w:t xml:space="preserve">10</w:t>
            </w:r>
          </w:p>
        </w:tc>
        <w:tc>
          <w:p>
            <w:pPr>
              <w:pStyle w:val="Compact"/>
              <w:jc w:val="right"/>
            </w:pPr>
            <w:r>
              <w:t xml:space="preserve">26.14</w:t>
            </w:r>
          </w:p>
        </w:tc>
        <w:tc>
          <w:p>
            <w:pPr>
              <w:pStyle w:val="Compact"/>
              <w:jc w:val="right"/>
            </w:pPr>
            <w:r>
              <w:t xml:space="preserve">4.797731</w:t>
            </w:r>
          </w:p>
        </w:tc>
        <w:tc>
          <w:p>
            <w:pPr>
              <w:pStyle w:val="Compact"/>
              <w:jc w:val="right"/>
            </w:pPr>
            <w:r>
              <w:t xml:space="preserve">1.5171757</w:t>
            </w:r>
          </w:p>
        </w:tc>
        <w:tc>
          <w:p>
            <w:pPr>
              <w:pStyle w:val="Compact"/>
              <w:jc w:val="right"/>
            </w:pPr>
            <w:r>
              <w:t xml:space="preserve">3.432090</w:t>
            </w:r>
          </w:p>
        </w:tc>
      </w:tr>
    </w:tbl>
    <w:p>
      <w:r>
        <w:t xml:space="preserve">The graph below shows the length with the error bars or CI included. The bar graph has the the standard error shown for range shown for each dosage per supplement. The line graph shows the CI for each supplement. We observe there is an overlap of the CI for 2mg dosage. The other shows a reduction in the mean of tooth length for VC supplement.</w:t>
      </w:r>
    </w:p>
    <w:p>
      <w:pPr>
        <w:pStyle w:val="SourceCode"/>
      </w:pPr>
      <w:r>
        <w:rPr>
          <w:rStyle w:val="VerbatimChar"/>
        </w:rPr>
        <w:t xml:space="preserve">## ymax not defined: adjusting position using y instead</w:t>
      </w:r>
      <w:r>
        <w:br w:type="textWrapping"/>
      </w:r>
      <w:r>
        <w:rPr>
          <w:rStyle w:val="VerbatimChar"/>
        </w:rPr>
        <w:t xml:space="preserve">## ymax not defined: adjusting position using y instead</w:t>
      </w:r>
    </w:p>
    <w:p/>
    <w:p>
      <w:pPr>
        <w:pStyle w:val="SourceCode"/>
      </w:pPr>
      <w:r>
        <w:rPr>
          <w:rStyle w:val="VerbatimChar"/>
        </w:rPr>
        <w:t xml:space="preserve">## TableGrob (2 x 1) "arrange": 2 grobs</w:t>
      </w:r>
      <w:r>
        <w:br w:type="textWrapping"/>
      </w:r>
      <w:r>
        <w:rPr>
          <w:rStyle w:val="VerbatimChar"/>
        </w:rPr>
        <w:t xml:space="preserve">##   z     cells    name           grob</w:t>
      </w:r>
      <w:r>
        <w:br w:type="textWrapping"/>
      </w:r>
      <w:r>
        <w:rPr>
          <w:rStyle w:val="VerbatimChar"/>
        </w:rPr>
        <w:t xml:space="preserve">## 1 1 (1-1,1-1) arrange gtable[layout]</w:t>
      </w:r>
      <w:r>
        <w:br w:type="textWrapping"/>
      </w:r>
      <w:r>
        <w:rPr>
          <w:rStyle w:val="VerbatimChar"/>
        </w:rPr>
        <w:t xml:space="preserve">## 2 2 (2-2,1-1) arrange gtable[layout]</w:t>
      </w:r>
    </w:p>
    <w:p>
      <w:r>
        <w:t xml:space="preserve">Finaly we do a ttest to confirm whether there is a significance difference between the means of VC and OJ supplement per dosage.</w:t>
      </w:r>
    </w:p>
    <w:p>
      <w:r>
        <w:t xml:space="preserve">The results of the test for showed that there was no significance difference in tooth length for</w:t>
      </w:r>
      <w:r>
        <w:t xml:space="preserve"> </w:t>
      </w:r>
      <w:r>
        <w:rPr>
          <w:b/>
        </w:rPr>
        <w:t xml:space="preserve">orange juice(OJ)</w:t>
      </w:r>
      <w:r>
        <w:t xml:space="preserve"> </w:t>
      </w:r>
      <w:r>
        <w:t xml:space="preserve">and</w:t>
      </w:r>
      <w:r>
        <w:t xml:space="preserve"> </w:t>
      </w:r>
      <w:r>
        <w:rPr>
          <w:b/>
        </w:rPr>
        <w:t xml:space="preserve">ascorbic acid(VC)</w:t>
      </w:r>
      <w:r>
        <w:t xml:space="preserve"> </w:t>
      </w:r>
      <w:r>
        <w:t xml:space="preserve">supplements without considering the dosage. The</w:t>
      </w:r>
      <w:r>
        <w:t xml:space="preserve"> </w:t>
      </w:r>
      <w:r>
        <w:rPr>
          <w:i/>
        </w:rPr>
        <w:t xml:space="preserve">pvalue</w:t>
      </w:r>
      <w:r>
        <w:t xml:space="preserve"> </w:t>
      </w:r>
      <w:r>
        <w:t xml:space="preserve">was 0.0603934 and the</w:t>
      </w:r>
      <w:r>
        <w:t xml:space="preserve"> </w:t>
      </w:r>
      <w:r>
        <w:rPr>
          <w:i/>
        </w:rPr>
        <w:t xml:space="preserve">95% confidence interval</w:t>
      </w:r>
      <w:r>
        <w:t xml:space="preserve"> </w:t>
      </w:r>
      <w:r>
        <w:t xml:space="preserve">was -0.1670064, 7.5670064 . We decided to do a test per dosage between the groups</w:t>
      </w:r>
    </w:p>
    <w:p>
      <w:pPr>
        <w:pStyle w:val="Heading2"/>
      </w:pPr>
      <w:bookmarkStart w:id="23" w:name="mg-dosage-test"/>
      <w:bookmarkEnd w:id="23"/>
      <w:r>
        <w:rPr>
          <w:b/>
        </w:rPr>
        <w:t xml:space="preserve">0.5mg Dosage Test</w:t>
      </w:r>
    </w:p>
    <w:p>
      <w:r>
        <w:t xml:space="preserve">There was a significance differnce between the means of the 0.5mg</w:t>
      </w:r>
      <w:r>
        <w:t xml:space="preserve"> </w:t>
      </w:r>
      <w:r>
        <w:rPr>
          <w:b/>
        </w:rPr>
        <w:t xml:space="preserve">OJ</w:t>
      </w:r>
      <w:r>
        <w:t xml:space="preserve"> </w:t>
      </w:r>
      <w:r>
        <w:t xml:space="preserve">and</w:t>
      </w:r>
      <w:r>
        <w:t xml:space="preserve"> </w:t>
      </w:r>
      <w:r>
        <w:rPr>
          <w:b/>
        </w:rPr>
        <w:t xml:space="preserve">VC</w:t>
      </w:r>
      <w:r>
        <w:t xml:space="preserve">. The reported</w:t>
      </w:r>
      <w:r>
        <w:t xml:space="preserve"> </w:t>
      </w:r>
      <w:r>
        <w:rPr>
          <w:i/>
        </w:rPr>
        <w:t xml:space="preserve">pvalue</w:t>
      </w:r>
      <w:r>
        <w:t xml:space="preserve"> </w:t>
      </w:r>
      <w:r>
        <w:t xml:space="preserve">was 0.0053037 and the</w:t>
      </w:r>
      <w:r>
        <w:t xml:space="preserve"> </w:t>
      </w:r>
      <w:r>
        <w:rPr>
          <w:i/>
        </w:rPr>
        <w:t xml:space="preserve">95% confidence interval</w:t>
      </w:r>
      <w:r>
        <w:t xml:space="preserve"> </w:t>
      </w:r>
      <w:r>
        <w:t xml:space="preserve">was 1.7702617, 8.7297383. The 0.5mg VC dosage had a mean of 7.98 which was lower than the OJ dosage mean. This concludes that Orange Juice had a higher effect on the tooth length for the 0.5mg dosage compared to ascorbic acid.</w:t>
      </w:r>
    </w:p>
    <w:p>
      <w:pPr>
        <w:pStyle w:val="Heading2"/>
      </w:pPr>
      <w:bookmarkStart w:id="24" w:name="mg-dosage-test-1"/>
      <w:bookmarkEnd w:id="24"/>
      <w:r>
        <w:rPr>
          <w:b/>
        </w:rPr>
        <w:t xml:space="preserve">1mg Dosage Test</w:t>
      </w:r>
    </w:p>
    <w:p>
      <w:r>
        <w:t xml:space="preserve">There was a significance differnce between the means of the 1mg</w:t>
      </w:r>
      <w:r>
        <w:t xml:space="preserve"> </w:t>
      </w:r>
      <w:r>
        <w:rPr>
          <w:b/>
        </w:rPr>
        <w:t xml:space="preserve">OJ</w:t>
      </w:r>
      <w:r>
        <w:t xml:space="preserve"> </w:t>
      </w:r>
      <w:r>
        <w:t xml:space="preserve">and</w:t>
      </w:r>
      <w:r>
        <w:t xml:space="preserve"> </w:t>
      </w:r>
      <w:r>
        <w:rPr>
          <w:b/>
        </w:rPr>
        <w:t xml:space="preserve">VC</w:t>
      </w:r>
      <w:r>
        <w:t xml:space="preserve">. The reported</w:t>
      </w:r>
      <w:r>
        <w:t xml:space="preserve"> </w:t>
      </w:r>
      <w:r>
        <w:rPr>
          <w:i/>
        </w:rPr>
        <w:t xml:space="preserve">pvalue</w:t>
      </w:r>
      <w:r>
        <w:t xml:space="preserve"> </w:t>
      </w:r>
      <w:r>
        <w:t xml:space="preserve">was 7.8072617</w:t>
      </w:r>
      <w:r>
        <w:t xml:space="preserve">10^{-4} and the</w:t>
      </w:r>
      <w:r>
        <w:t xml:space="preserve"> </w:t>
      </w:r>
      <w:r>
        <w:rPr>
          <w:i/>
        </w:rPr>
        <w:t xml:space="preserve">95% confidence interval</w:t>
      </w:r>
      <w:r>
        <w:t xml:space="preserve"> </w:t>
      </w:r>
      <w:r>
        <w:t xml:space="preserve">was 2.8406919, 9.0193081. The 1mg OJ dosage had a mean of 22.7 which was higher than the VC dosage mean. This concludes that Orange Juice had a higher effect on the tooth length for the 0.5mg dosage compared to ascorbic acid.</w:t>
      </w:r>
    </w:p>
    <w:p>
      <w:pPr>
        <w:pStyle w:val="Heading2"/>
      </w:pPr>
      <w:bookmarkStart w:id="25" w:name="mg-dosage-test-2"/>
      <w:bookmarkEnd w:id="25"/>
      <w:r>
        <w:rPr>
          <w:b/>
        </w:rPr>
        <w:t xml:space="preserve">2mg Dosage Test</w:t>
      </w:r>
    </w:p>
    <w:p>
      <w:r>
        <w:t xml:space="preserve">There was no significance differnce between the means of the 2mg</w:t>
      </w:r>
      <w:r>
        <w:t xml:space="preserve"> </w:t>
      </w:r>
      <w:r>
        <w:rPr>
          <w:b/>
        </w:rPr>
        <w:t xml:space="preserve">OJ</w:t>
      </w:r>
      <w:r>
        <w:t xml:space="preserve"> </w:t>
      </w:r>
      <w:r>
        <w:t xml:space="preserve">and</w:t>
      </w:r>
      <w:r>
        <w:t xml:space="preserve"> </w:t>
      </w:r>
      <w:r>
        <w:rPr>
          <w:b/>
        </w:rPr>
        <w:t xml:space="preserve">VC</w:t>
      </w:r>
      <w:r>
        <w:t xml:space="preserve">. The reported</w:t>
      </w:r>
      <w:r>
        <w:t xml:space="preserve"> </w:t>
      </w:r>
      <w:r>
        <w:rPr>
          <w:i/>
        </w:rPr>
        <w:t xml:space="preserve">pvalue</w:t>
      </w:r>
      <w:r>
        <w:t xml:space="preserve"> </w:t>
      </w:r>
      <w:r>
        <w:t xml:space="preserve">was 0.9637098 and the</w:t>
      </w:r>
      <w:r>
        <w:t xml:space="preserve"> </w:t>
      </w:r>
      <w:r>
        <w:rPr>
          <w:i/>
        </w:rPr>
        <w:t xml:space="preserve">95% confidence interval</w:t>
      </w:r>
      <w:r>
        <w:t xml:space="preserve"> </w:t>
      </w:r>
      <w:r>
        <w:t xml:space="preserve">was -3.7229985, 3.5629985. The 1mg reported mean for both supplements were 22.7, 16.77. This concludes there was no significance effect difference between the two supplements.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e58d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ToothGrowth</dc:title>
  <dc:creator>Cyril Medabalimi</dc:creator>
  <dcterms:created xsi:type="dcterms:W3CDTF">2015-09-27</dcterms:created>
  <dcterms:modified xsi:type="dcterms:W3CDTF">2015-09-27</dcterms:modified>
</cp:coreProperties>
</file>