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543D4F" w:rsidRDefault="00E90DFF" w:rsidP="001C025D">
      <w:pPr>
        <w:jc w:val="both"/>
        <w:rPr>
          <w:rStyle w:val="Fuerte"/>
          <w:rFonts w:ascii="Times" w:hAnsi="Times" w:cs="Times"/>
          <w:sz w:val="20"/>
          <w:szCs w:val="20"/>
          <w:lang w:val="en-US"/>
        </w:rPr>
      </w:pPr>
    </w:p>
    <w:p w14:paraId="19066D98" w14:textId="77777777" w:rsidR="00E90DFF" w:rsidRPr="00543D4F" w:rsidRDefault="00E90DFF" w:rsidP="001C025D">
      <w:pPr>
        <w:jc w:val="both"/>
        <w:rPr>
          <w:rStyle w:val="Fuerte"/>
          <w:rFonts w:ascii="Times" w:hAnsi="Times" w:cs="Times"/>
          <w:sz w:val="20"/>
          <w:szCs w:val="20"/>
          <w:lang w:val="en-US"/>
        </w:rPr>
      </w:pPr>
    </w:p>
    <w:p w14:paraId="75C4D8A4" w14:textId="77777777" w:rsidR="00E90DFF" w:rsidRPr="00543D4F" w:rsidRDefault="00E90DFF" w:rsidP="001C025D">
      <w:pPr>
        <w:jc w:val="both"/>
        <w:rPr>
          <w:rStyle w:val="Fuerte"/>
          <w:rFonts w:ascii="Times" w:hAnsi="Times" w:cs="Times"/>
          <w:sz w:val="20"/>
          <w:szCs w:val="20"/>
          <w:lang w:val="en-US"/>
        </w:rPr>
      </w:pPr>
    </w:p>
    <w:p w14:paraId="7F412278" w14:textId="77777777" w:rsidR="00E90DFF" w:rsidRPr="00543D4F" w:rsidRDefault="00E90DFF" w:rsidP="001C025D">
      <w:pPr>
        <w:jc w:val="both"/>
        <w:rPr>
          <w:rStyle w:val="Fuerte"/>
          <w:rFonts w:ascii="Times" w:hAnsi="Times" w:cs="Times"/>
          <w:sz w:val="20"/>
          <w:szCs w:val="20"/>
          <w:lang w:val="en-US"/>
        </w:rPr>
      </w:pPr>
    </w:p>
    <w:p w14:paraId="6E9E5166" w14:textId="77777777" w:rsidR="00E90DFF" w:rsidRPr="00543D4F" w:rsidRDefault="00E90DFF" w:rsidP="001C025D">
      <w:pPr>
        <w:jc w:val="both"/>
        <w:rPr>
          <w:rStyle w:val="Fuerte"/>
          <w:rFonts w:ascii="Times" w:hAnsi="Times" w:cs="Times"/>
          <w:sz w:val="20"/>
          <w:szCs w:val="20"/>
          <w:lang w:val="en-US"/>
        </w:rPr>
      </w:pPr>
    </w:p>
    <w:p w14:paraId="530E7686" w14:textId="77777777" w:rsidR="00E90DFF" w:rsidRPr="00543D4F" w:rsidRDefault="00E90DFF" w:rsidP="001C025D">
      <w:pPr>
        <w:jc w:val="both"/>
        <w:rPr>
          <w:rStyle w:val="Fuerte"/>
          <w:rFonts w:ascii="Times" w:hAnsi="Times" w:cs="Times"/>
          <w:sz w:val="20"/>
          <w:szCs w:val="20"/>
          <w:lang w:val="en-US"/>
        </w:rPr>
      </w:pPr>
    </w:p>
    <w:p w14:paraId="02A8A8A9" w14:textId="77777777" w:rsidR="00E90DFF" w:rsidRPr="00543D4F" w:rsidRDefault="00E90DFF" w:rsidP="001C025D">
      <w:pPr>
        <w:jc w:val="both"/>
        <w:rPr>
          <w:rStyle w:val="Fuerte"/>
          <w:rFonts w:ascii="Times" w:hAnsi="Times" w:cs="Times"/>
          <w:sz w:val="20"/>
          <w:szCs w:val="20"/>
          <w:lang w:val="en-US"/>
        </w:rPr>
      </w:pPr>
    </w:p>
    <w:p w14:paraId="60F54FA6" w14:textId="77777777" w:rsidR="00C33BDC" w:rsidRPr="00543D4F" w:rsidRDefault="00C33BDC" w:rsidP="001C025D">
      <w:pPr>
        <w:jc w:val="both"/>
        <w:rPr>
          <w:rStyle w:val="Fuerte"/>
          <w:rFonts w:ascii="Times" w:hAnsi="Times" w:cs="Times"/>
          <w:sz w:val="20"/>
          <w:szCs w:val="20"/>
          <w:lang w:val="en-US"/>
        </w:rPr>
      </w:pPr>
    </w:p>
    <w:p w14:paraId="3F060DF7" w14:textId="77777777" w:rsidR="00C33BDC" w:rsidRPr="00543D4F" w:rsidRDefault="00C33BDC" w:rsidP="001C025D">
      <w:pPr>
        <w:jc w:val="both"/>
        <w:rPr>
          <w:rStyle w:val="Fuerte"/>
          <w:rFonts w:ascii="Times" w:hAnsi="Times" w:cs="Times"/>
          <w:sz w:val="20"/>
          <w:szCs w:val="20"/>
          <w:lang w:val="en-US"/>
        </w:rPr>
      </w:pPr>
    </w:p>
    <w:p w14:paraId="0AAC021A" w14:textId="77777777" w:rsidR="00C33BDC" w:rsidRPr="00543D4F" w:rsidRDefault="00C33BDC" w:rsidP="001C025D">
      <w:pPr>
        <w:jc w:val="both"/>
        <w:rPr>
          <w:rStyle w:val="Fuerte"/>
          <w:rFonts w:ascii="Times" w:hAnsi="Times" w:cs="Times"/>
          <w:sz w:val="20"/>
          <w:szCs w:val="20"/>
          <w:lang w:val="en-US"/>
        </w:rPr>
      </w:pPr>
    </w:p>
    <w:p w14:paraId="45880BA3" w14:textId="77777777" w:rsidR="00E90DFF" w:rsidRPr="00543D4F" w:rsidRDefault="00E90DFF" w:rsidP="001C025D">
      <w:pPr>
        <w:jc w:val="both"/>
        <w:rPr>
          <w:rStyle w:val="Fuerte"/>
          <w:rFonts w:ascii="Times" w:hAnsi="Times" w:cs="Times"/>
          <w:sz w:val="20"/>
          <w:szCs w:val="20"/>
          <w:lang w:val="en-US"/>
        </w:rPr>
      </w:pPr>
    </w:p>
    <w:p w14:paraId="3D021989" w14:textId="77777777" w:rsidR="00E90DFF" w:rsidRPr="00543D4F" w:rsidRDefault="00E90DFF" w:rsidP="001C025D">
      <w:pPr>
        <w:jc w:val="both"/>
        <w:rPr>
          <w:rStyle w:val="Fuerte"/>
          <w:rFonts w:ascii="Times" w:hAnsi="Times" w:cs="Times"/>
          <w:sz w:val="20"/>
          <w:szCs w:val="20"/>
          <w:lang w:val="en-US"/>
        </w:rPr>
      </w:pPr>
    </w:p>
    <w:p w14:paraId="11768CF7" w14:textId="03F38795" w:rsidR="00CE7B32" w:rsidRPr="00543D4F" w:rsidRDefault="00692F75" w:rsidP="00692F75">
      <w:pPr>
        <w:jc w:val="center"/>
        <w:rPr>
          <w:rStyle w:val="Fuerte"/>
          <w:rFonts w:ascii="Times" w:hAnsi="Times" w:cs="Times"/>
          <w:sz w:val="20"/>
          <w:szCs w:val="20"/>
          <w:lang w:val="en-US"/>
        </w:rPr>
      </w:pPr>
      <w:r w:rsidRPr="00692F75">
        <w:rPr>
          <w:rStyle w:val="Fuerte"/>
          <w:rFonts w:ascii="Times" w:hAnsi="Times" w:cs="Times"/>
          <w:sz w:val="20"/>
          <w:szCs w:val="20"/>
          <w:lang w:val="en-US"/>
        </w:rPr>
        <w:t>Supplementary Material S3</w:t>
      </w:r>
      <w:r>
        <w:rPr>
          <w:rStyle w:val="Fuerte"/>
          <w:rFonts w:ascii="Times" w:hAnsi="Times" w:cs="Times"/>
          <w:sz w:val="20"/>
          <w:szCs w:val="20"/>
          <w:lang w:val="en-US"/>
        </w:rPr>
        <w:t xml:space="preserve">: </w:t>
      </w:r>
      <w:r w:rsidRPr="00692F75">
        <w:rPr>
          <w:rStyle w:val="Fuerte"/>
          <w:rFonts w:ascii="Times" w:hAnsi="Times" w:cs="Times"/>
          <w:sz w:val="20"/>
          <w:szCs w:val="20"/>
          <w:lang w:val="en-US"/>
        </w:rPr>
        <w:t>Development of SECM-CAT, a mHealth Security Specification Catalog</w:t>
      </w:r>
      <w:r w:rsidR="00EB0E6E" w:rsidRPr="00543D4F">
        <w:rPr>
          <w:rStyle w:val="Fuerte"/>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299C5809"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E01C65" w:rsidRPr="00E01C65">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E01C65" w:rsidRPr="00E01C65">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 personal data, and other implementable technical requirements that may be verified during a software security audit</w:t>
      </w:r>
      <w:r w:rsidR="00FB155F">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Four phase workflow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6EE42DED"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Content>
          <w:r w:rsidR="00E01C65" w:rsidRPr="00E01C65">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Content>
          <w:r w:rsidR="00E01C65" w:rsidRPr="00E01C65">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Content>
          <w:r w:rsidR="00E01C65" w:rsidRPr="00E01C65">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Content>
          <w:r w:rsidR="00E01C65" w:rsidRPr="00E01C65">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1C6D5C79"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Content>
          <w:r w:rsidR="00E01C65" w:rsidRPr="00E01C65">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w:t>
      </w:r>
      <w:r>
        <w:rPr>
          <w:rFonts w:ascii="Times" w:eastAsia="Times New Roman" w:hAnsi="Times" w:cs="Times"/>
          <w:sz w:val="20"/>
          <w:szCs w:val="20"/>
          <w:lang w:val="en-US" w:eastAsia="de-DE"/>
        </w:rPr>
        <w:lastRenderedPageBreak/>
        <w:t xml:space="preserve">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Content>
          <w:r w:rsidR="00E01C65" w:rsidRPr="00E01C65">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Content>
          <w:r w:rsidR="00E01C65" w:rsidRPr="00E01C65">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7D3D986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Content>
                <w:r w:rsidR="00E01C65" w:rsidRPr="00E01C65">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28DF504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Content>
                <w:r w:rsidR="00E01C65" w:rsidRPr="00E01C65">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A79C9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Content>
                <w:r w:rsidR="00E01C65" w:rsidRPr="00E01C65">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95746B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Content>
                <w:r w:rsidR="00E01C65" w:rsidRPr="00E01C65">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7E9D32A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Content>
                <w:r w:rsidR="00E01C65" w:rsidRPr="00E01C65">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1E6B57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Content>
                <w:r w:rsidR="00E01C65" w:rsidRPr="00E01C65">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735BC68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Content>
                <w:r w:rsidR="00E01C65" w:rsidRPr="00E01C65">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425F464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Content>
                <w:r w:rsidR="00E01C65" w:rsidRPr="00E01C65">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240C38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Content>
                <w:r w:rsidR="00E01C65" w:rsidRPr="00E01C65">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2A70C02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Content>
                <w:r w:rsidR="00E01C65" w:rsidRPr="00E01C65">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2F945D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Content>
                <w:r w:rsidR="00E01C65" w:rsidRPr="00E01C65">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8FECD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Content>
                <w:r w:rsidR="00E01C65" w:rsidRPr="00E01C65">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467EAFC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Content>
                <w:r w:rsidR="00E01C65" w:rsidRPr="00E01C65">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70DB4BA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Content>
                <w:r w:rsidR="00E01C65" w:rsidRPr="00E01C65">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35D70CF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Content>
                <w:r w:rsidR="00E01C65" w:rsidRPr="00E01C65">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4EFEC0C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Sethia,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Content>
                <w:r w:rsidR="00E01C65" w:rsidRPr="00E01C65">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5255E50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Content>
                <w:r w:rsidR="00E01C65" w:rsidRPr="00E01C65">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06804C3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Content>
                <w:r w:rsidR="00E01C65" w:rsidRPr="00E01C65">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5EE30AB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Content>
                <w:r w:rsidR="00E01C65" w:rsidRPr="00E01C65">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2E795A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Content>
                <w:r w:rsidR="00E01C65" w:rsidRPr="00E01C65">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2F06C7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Content>
                <w:r w:rsidR="00E01C65" w:rsidRPr="00E01C65">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62E234C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Content>
                <w:r w:rsidR="00E01C65" w:rsidRPr="00E01C65">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3C68AD77"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Ferrag,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Content>
                <w:r w:rsidR="00E01C65" w:rsidRPr="00E01C65">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19908FD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Papageorgiou,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Content>
                <w:r w:rsidR="00E01C65" w:rsidRPr="00E01C65">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02791F7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Rezaee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Content>
                <w:r w:rsidR="00E01C65" w:rsidRPr="00E01C65">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531FD01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Content>
                <w:r w:rsidR="00E01C65" w:rsidRPr="00E01C65">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50CFA4A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Wazid,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Content>
                <w:r w:rsidR="00E01C65" w:rsidRPr="00E01C65">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081DAA4B"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lastRenderedPageBreak/>
              <w:t xml:space="preserve">D. D. Luxton,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Content>
                <w:r w:rsidR="00E01C65" w:rsidRPr="00E01C65">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57738A0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Content>
                <w:r w:rsidR="00E01C65" w:rsidRPr="00E01C65">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327C2F7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Content>
                <w:r w:rsidR="00E01C65" w:rsidRPr="00E01C65">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001BB123"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Content>
          <w:r w:rsidR="00E01C65" w:rsidRPr="00E01C65">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C3F9AEB"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00E01C65" w:rsidRPr="00E01C65">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0CEB78B9"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00E01C65" w:rsidRPr="00E01C65">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039C124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Content>
          <w:r w:rsidR="00E01C65" w:rsidRPr="00E01C65">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Content>
          <w:r w:rsidR="00E01C65" w:rsidRPr="00E01C65">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78EE7960"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bookmarkStart w:id="7"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Content>
          <w:r w:rsidR="00E01C65" w:rsidRPr="00E01C65">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1"/>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8" w:name="_Toc184156536"/>
            <w:bookmarkStart w:id="9"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8"/>
            <w:bookmarkEnd w:id="9"/>
          </w:p>
        </w:tc>
      </w:tr>
      <w:tr w:rsidR="004001E6" w:rsidRPr="00EC7B07"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EC7B07"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EC7B07"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EC7B07"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r w:rsidRPr="004001E6">
              <w:rPr>
                <w:rFonts w:ascii="Times" w:eastAsia="Times New Roman" w:hAnsi="Times" w:cs="Times"/>
                <w:sz w:val="16"/>
                <w:szCs w:val="16"/>
                <w:lang w:val="en-US" w:eastAsia="de-DE"/>
              </w:rPr>
              <w:t>To_be_determined</w:t>
            </w:r>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Verification method:</w:t>
            </w:r>
            <w:r w:rsidRPr="004001E6">
              <w:rPr>
                <w:rFonts w:ascii="Times" w:eastAsia="Times New Roman" w:hAnsi="Times" w:cs="Times"/>
                <w:sz w:val="16"/>
                <w:szCs w:val="16"/>
                <w:lang w:val="en-US" w:eastAsia="de-DE"/>
              </w:rPr>
              <w:t xml:space="preserve"> Demonstration/Analysis </w:t>
            </w:r>
          </w:p>
        </w:tc>
      </w:tr>
      <w:tr w:rsidR="004001E6" w:rsidRPr="00EC7B07"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18DA7E49"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Content>
          <w:r w:rsidR="00E01C65" w:rsidRPr="00E01C65">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7EAAB4E6" w14:textId="77777777" w:rsidR="00E01C65" w:rsidRPr="00E01C65" w:rsidRDefault="00E01C65">
          <w:pPr>
            <w:autoSpaceDE w:val="0"/>
            <w:autoSpaceDN w:val="0"/>
            <w:ind w:hanging="640"/>
            <w:divId w:val="1534995796"/>
            <w:rPr>
              <w:rFonts w:ascii="Times" w:eastAsia="Times New Roman" w:hAnsi="Times" w:cs="Times"/>
              <w:color w:val="000000"/>
              <w:sz w:val="20"/>
              <w:szCs w:val="24"/>
              <w:lang w:val="en-US"/>
            </w:rPr>
          </w:pPr>
          <w:r w:rsidRPr="00E01C65">
            <w:rPr>
              <w:rFonts w:ascii="Times" w:eastAsia="Times New Roman" w:hAnsi="Times" w:cs="Times"/>
              <w:color w:val="000000"/>
              <w:sz w:val="20"/>
              <w:lang w:val="en-US"/>
            </w:rPr>
            <w:t>[1]</w:t>
          </w:r>
          <w:r w:rsidRPr="00E01C65">
            <w:rPr>
              <w:rFonts w:ascii="Times" w:eastAsia="Times New Roman" w:hAnsi="Times" w:cs="Times"/>
              <w:color w:val="000000"/>
              <w:sz w:val="20"/>
              <w:lang w:val="en-US"/>
            </w:rPr>
            <w:tab/>
            <w:t>“IEEE SA - IEEE/ISO/IEC 29148-2018.” Accessed: May 11, 2024. [Online]. Available: https://standards.ieee.org/ieee/29148/6937/</w:t>
          </w:r>
        </w:p>
        <w:p w14:paraId="75EADDC7" w14:textId="77777777" w:rsidR="00E01C65" w:rsidRPr="00E01C65" w:rsidRDefault="00E01C65">
          <w:pPr>
            <w:autoSpaceDE w:val="0"/>
            <w:autoSpaceDN w:val="0"/>
            <w:ind w:hanging="640"/>
            <w:divId w:val="2063672137"/>
            <w:rPr>
              <w:rFonts w:ascii="Times" w:eastAsia="Times New Roman" w:hAnsi="Times" w:cs="Times"/>
              <w:color w:val="000000"/>
              <w:sz w:val="20"/>
              <w:lang w:val="en-US"/>
            </w:rPr>
          </w:pPr>
          <w:r w:rsidRPr="00E01C65">
            <w:rPr>
              <w:rFonts w:ascii="Times" w:eastAsia="Times New Roman" w:hAnsi="Times" w:cs="Times"/>
              <w:color w:val="000000"/>
              <w:sz w:val="20"/>
              <w:lang w:val="en-US"/>
            </w:rPr>
            <w:t>[2]</w:t>
          </w:r>
          <w:r w:rsidRPr="00E01C65">
            <w:rPr>
              <w:rFonts w:ascii="Times" w:eastAsia="Times New Roman" w:hAnsi="Times" w:cs="Times"/>
              <w:color w:val="000000"/>
              <w:sz w:val="20"/>
              <w:lang w:val="en-US"/>
            </w:rPr>
            <w:tab/>
            <w:t>OWASP Foundation, “OWASP Mobile Top 10.” Accessed: May 11, 2024. [Online]. Available: https://owasp.org/www-project-mobile-top-10/</w:t>
          </w:r>
        </w:p>
        <w:p w14:paraId="4E4B0FCE" w14:textId="77777777" w:rsidR="00E01C65" w:rsidRPr="00E01C65" w:rsidRDefault="00E01C65">
          <w:pPr>
            <w:autoSpaceDE w:val="0"/>
            <w:autoSpaceDN w:val="0"/>
            <w:ind w:hanging="640"/>
            <w:divId w:val="916984247"/>
            <w:rPr>
              <w:rFonts w:ascii="Times" w:eastAsia="Times New Roman" w:hAnsi="Times" w:cs="Times"/>
              <w:color w:val="000000"/>
              <w:sz w:val="20"/>
              <w:lang w:val="en-US"/>
            </w:rPr>
          </w:pPr>
          <w:r w:rsidRPr="00E01C65">
            <w:rPr>
              <w:rFonts w:ascii="Times" w:eastAsia="Times New Roman" w:hAnsi="Times" w:cs="Times"/>
              <w:color w:val="000000"/>
              <w:sz w:val="20"/>
              <w:lang w:val="en-US"/>
            </w:rPr>
            <w:t>[3]</w:t>
          </w:r>
          <w:r w:rsidRPr="00E01C65">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E01C65">
            <w:rPr>
              <w:rFonts w:ascii="Times" w:eastAsia="Times New Roman" w:hAnsi="Times" w:cs="Times"/>
              <w:i/>
              <w:iCs/>
              <w:color w:val="000000"/>
              <w:sz w:val="20"/>
              <w:lang w:val="en-US"/>
            </w:rPr>
            <w:t>Requir. Eng.</w:t>
          </w:r>
          <w:r w:rsidRPr="00E01C65">
            <w:rPr>
              <w:rFonts w:ascii="Times" w:eastAsia="Times New Roman" w:hAnsi="Times" w:cs="Times"/>
              <w:color w:val="000000"/>
              <w:sz w:val="20"/>
              <w:lang w:val="en-US"/>
            </w:rPr>
            <w:t>, vol. 6, pp. 205–219, Jan. 2002, doi: 10.1007/PL00010360.</w:t>
          </w:r>
        </w:p>
        <w:p w14:paraId="30AA3D0F" w14:textId="77777777" w:rsidR="00E01C65" w:rsidRPr="00E01C65" w:rsidRDefault="00E01C65">
          <w:pPr>
            <w:autoSpaceDE w:val="0"/>
            <w:autoSpaceDN w:val="0"/>
            <w:ind w:hanging="640"/>
            <w:divId w:val="518079999"/>
            <w:rPr>
              <w:rFonts w:ascii="Times" w:eastAsia="Times New Roman" w:hAnsi="Times" w:cs="Times"/>
              <w:color w:val="000000"/>
              <w:sz w:val="20"/>
              <w:lang w:val="en-US"/>
            </w:rPr>
          </w:pPr>
          <w:r w:rsidRPr="00E01C65">
            <w:rPr>
              <w:rFonts w:ascii="Times" w:eastAsia="Times New Roman" w:hAnsi="Times" w:cs="Times"/>
              <w:color w:val="000000"/>
              <w:sz w:val="20"/>
              <w:lang w:val="en-US"/>
            </w:rPr>
            <w:t>[4]</w:t>
          </w:r>
          <w:r w:rsidRPr="00E01C65">
            <w:rPr>
              <w:rFonts w:ascii="Times" w:eastAsia="Times New Roman" w:hAnsi="Times" w:cs="Times"/>
              <w:color w:val="000000"/>
              <w:sz w:val="20"/>
              <w:lang w:val="en-US"/>
            </w:rPr>
            <w:tab/>
            <w:t xml:space="preserve">G. Kotonya and I. Sommerville, </w:t>
          </w:r>
          <w:r w:rsidRPr="00E01C65">
            <w:rPr>
              <w:rFonts w:ascii="Times" w:eastAsia="Times New Roman" w:hAnsi="Times" w:cs="Times"/>
              <w:i/>
              <w:iCs/>
              <w:color w:val="000000"/>
              <w:sz w:val="20"/>
              <w:lang w:val="en-US"/>
            </w:rPr>
            <w:t>Requirements Engineering: Processes and Techniques</w:t>
          </w:r>
          <w:r w:rsidRPr="00E01C65">
            <w:rPr>
              <w:rFonts w:ascii="Times" w:eastAsia="Times New Roman" w:hAnsi="Times" w:cs="Times"/>
              <w:color w:val="000000"/>
              <w:sz w:val="20"/>
              <w:lang w:val="en-US"/>
            </w:rPr>
            <w:t>, 1st ed. Wiley Publishing, 1998.</w:t>
          </w:r>
        </w:p>
        <w:p w14:paraId="0DF53F85" w14:textId="77777777" w:rsidR="00E01C65" w:rsidRPr="00E01C65" w:rsidRDefault="00E01C65">
          <w:pPr>
            <w:autoSpaceDE w:val="0"/>
            <w:autoSpaceDN w:val="0"/>
            <w:ind w:hanging="640"/>
            <w:divId w:val="1952124009"/>
            <w:rPr>
              <w:rFonts w:ascii="Times" w:eastAsia="Times New Roman" w:hAnsi="Times" w:cs="Times"/>
              <w:color w:val="000000"/>
              <w:sz w:val="20"/>
              <w:lang w:val="en-US"/>
            </w:rPr>
          </w:pPr>
          <w:r w:rsidRPr="00E01C65">
            <w:rPr>
              <w:rFonts w:ascii="Times" w:eastAsia="Times New Roman" w:hAnsi="Times" w:cs="Times"/>
              <w:color w:val="000000"/>
              <w:sz w:val="20"/>
              <w:lang w:val="en-US"/>
            </w:rPr>
            <w:t>[5]</w:t>
          </w:r>
          <w:r w:rsidRPr="00E01C65">
            <w:rPr>
              <w:rFonts w:ascii="Times" w:eastAsia="Times New Roman" w:hAnsi="Times" w:cs="Times"/>
              <w:color w:val="000000"/>
              <w:sz w:val="20"/>
              <w:lang w:val="en-US"/>
            </w:rPr>
            <w:tab/>
            <w:t>“IEEE SA - IEEE 830-1998.” Accessed: Jul. 05, 2024. [Online]. Available: https://standards.ieee.org/ieee/830/1222/</w:t>
          </w:r>
        </w:p>
        <w:p w14:paraId="14928758" w14:textId="77777777" w:rsidR="00E01C65" w:rsidRPr="00E01C65" w:rsidRDefault="00E01C65">
          <w:pPr>
            <w:autoSpaceDE w:val="0"/>
            <w:autoSpaceDN w:val="0"/>
            <w:ind w:hanging="640"/>
            <w:divId w:val="880023058"/>
            <w:rPr>
              <w:rFonts w:ascii="Times" w:eastAsia="Times New Roman" w:hAnsi="Times" w:cs="Times"/>
              <w:color w:val="000000"/>
              <w:sz w:val="20"/>
              <w:lang w:val="en-US"/>
            </w:rPr>
          </w:pPr>
          <w:r w:rsidRPr="00E01C65">
            <w:rPr>
              <w:rFonts w:ascii="Times" w:eastAsia="Times New Roman" w:hAnsi="Times" w:cs="Times"/>
              <w:color w:val="000000"/>
              <w:sz w:val="20"/>
              <w:lang w:val="en-US"/>
            </w:rPr>
            <w:t>[6]</w:t>
          </w:r>
          <w:r w:rsidRPr="00E01C65">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39, no. 6, p. 63, 2015, doi: 10.1007/s10916-015-0243-1.</w:t>
          </w:r>
        </w:p>
        <w:p w14:paraId="545EED05" w14:textId="77777777" w:rsidR="00E01C65" w:rsidRPr="00E01C65" w:rsidRDefault="00E01C65">
          <w:pPr>
            <w:autoSpaceDE w:val="0"/>
            <w:autoSpaceDN w:val="0"/>
            <w:ind w:hanging="640"/>
            <w:divId w:val="1244530746"/>
            <w:rPr>
              <w:rFonts w:ascii="Times" w:eastAsia="Times New Roman" w:hAnsi="Times" w:cs="Times"/>
              <w:color w:val="000000"/>
              <w:sz w:val="20"/>
              <w:lang w:val="en-US"/>
            </w:rPr>
          </w:pPr>
          <w:r w:rsidRPr="00E01C65">
            <w:rPr>
              <w:rFonts w:ascii="Times" w:eastAsia="Times New Roman" w:hAnsi="Times" w:cs="Times"/>
              <w:color w:val="000000"/>
              <w:sz w:val="20"/>
              <w:lang w:val="en-US"/>
            </w:rPr>
            <w:t>[7]</w:t>
          </w:r>
          <w:r w:rsidRPr="00E01C65">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E01C65">
            <w:rPr>
              <w:rFonts w:ascii="Times" w:eastAsia="Times New Roman" w:hAnsi="Times" w:cs="Times"/>
              <w:i/>
              <w:iCs/>
              <w:color w:val="000000"/>
              <w:sz w:val="20"/>
              <w:lang w:val="en-US"/>
            </w:rPr>
            <w:t>Comput. Methods Programs Biomed.</w:t>
          </w:r>
          <w:r w:rsidRPr="00E01C65">
            <w:rPr>
              <w:rFonts w:ascii="Times" w:eastAsia="Times New Roman" w:hAnsi="Times" w:cs="Times"/>
              <w:color w:val="000000"/>
              <w:sz w:val="20"/>
              <w:lang w:val="en-US"/>
            </w:rPr>
            <w:t>, vol. 144, pp. 49–60, 2017, doi: https://doi.org/10.1016/j.cmpb.2017.03.014.</w:t>
          </w:r>
        </w:p>
        <w:p w14:paraId="58B7BF8B" w14:textId="77777777" w:rsidR="00E01C65" w:rsidRPr="00E01C65" w:rsidRDefault="00E01C65">
          <w:pPr>
            <w:autoSpaceDE w:val="0"/>
            <w:autoSpaceDN w:val="0"/>
            <w:ind w:hanging="640"/>
            <w:divId w:val="370307217"/>
            <w:rPr>
              <w:rFonts w:ascii="Times" w:eastAsia="Times New Roman" w:hAnsi="Times" w:cs="Times"/>
              <w:color w:val="000000"/>
              <w:sz w:val="20"/>
              <w:lang w:val="en-US"/>
            </w:rPr>
          </w:pPr>
          <w:r w:rsidRPr="00E01C65">
            <w:rPr>
              <w:rFonts w:ascii="Times" w:eastAsia="Times New Roman" w:hAnsi="Times" w:cs="Times"/>
              <w:color w:val="000000"/>
              <w:sz w:val="20"/>
              <w:lang w:val="en-US"/>
            </w:rPr>
            <w:t>[8]</w:t>
          </w:r>
          <w:r w:rsidRPr="00E01C65">
            <w:rPr>
              <w:rFonts w:ascii="Times" w:eastAsia="Times New Roman" w:hAnsi="Times" w:cs="Times"/>
              <w:color w:val="000000"/>
              <w:sz w:val="20"/>
              <w:lang w:val="en-US"/>
            </w:rPr>
            <w:tab/>
            <w:t xml:space="preserve">J. A. García-Berná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“Energy efficiency in software: A case study on sustainability in personal health records,” </w:t>
          </w:r>
          <w:r w:rsidRPr="00E01C65">
            <w:rPr>
              <w:rFonts w:ascii="Times" w:eastAsia="Times New Roman" w:hAnsi="Times" w:cs="Times"/>
              <w:i/>
              <w:iCs/>
              <w:color w:val="000000"/>
              <w:sz w:val="20"/>
              <w:lang w:val="en-US"/>
            </w:rPr>
            <w:t>J. Clean. Prod.</w:t>
          </w:r>
          <w:r w:rsidRPr="00E01C65">
            <w:rPr>
              <w:rFonts w:ascii="Times" w:eastAsia="Times New Roman" w:hAnsi="Times" w:cs="Times"/>
              <w:color w:val="000000"/>
              <w:sz w:val="20"/>
              <w:lang w:val="en-US"/>
            </w:rPr>
            <w:t>, vol. 282, p. 124262, 2021, doi: https://doi.org/10.1016/j.jclepro.2020.124262.</w:t>
          </w:r>
        </w:p>
        <w:p w14:paraId="1C3C1276" w14:textId="77777777" w:rsidR="00E01C65" w:rsidRPr="00E01C65" w:rsidRDefault="00E01C65">
          <w:pPr>
            <w:autoSpaceDE w:val="0"/>
            <w:autoSpaceDN w:val="0"/>
            <w:ind w:hanging="640"/>
            <w:divId w:val="116148681"/>
            <w:rPr>
              <w:rFonts w:ascii="Times" w:eastAsia="Times New Roman" w:hAnsi="Times" w:cs="Times"/>
              <w:color w:val="000000"/>
              <w:sz w:val="20"/>
              <w:lang w:val="en-US"/>
            </w:rPr>
          </w:pPr>
          <w:r w:rsidRPr="00E01C65">
            <w:rPr>
              <w:rFonts w:ascii="Times" w:eastAsia="Times New Roman" w:hAnsi="Times" w:cs="Times"/>
              <w:color w:val="000000"/>
              <w:sz w:val="20"/>
              <w:lang w:val="en-US"/>
            </w:rPr>
            <w:t>[9]</w:t>
          </w:r>
          <w:r w:rsidRPr="00E01C65">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E01C65">
            <w:rPr>
              <w:rFonts w:ascii="Times" w:eastAsia="Times New Roman" w:hAnsi="Times" w:cs="Times"/>
              <w:i/>
              <w:iCs/>
              <w:color w:val="000000"/>
              <w:sz w:val="20"/>
              <w:lang w:val="en-US"/>
            </w:rPr>
            <w:t>Int. J. Med. Inform.</w:t>
          </w:r>
          <w:r w:rsidRPr="00E01C65">
            <w:rPr>
              <w:rFonts w:ascii="Times" w:eastAsia="Times New Roman" w:hAnsi="Times" w:cs="Times"/>
              <w:color w:val="000000"/>
              <w:sz w:val="20"/>
              <w:lang w:val="en-US"/>
            </w:rPr>
            <w:t>, vol. 194, p. 105699, 2025, doi: https://doi.org/10.1016/j.ijmedinf.2024.105699.</w:t>
          </w:r>
        </w:p>
        <w:p w14:paraId="479CFFF9" w14:textId="77777777" w:rsidR="00E01C65" w:rsidRPr="00E01C65" w:rsidRDefault="00E01C65">
          <w:pPr>
            <w:autoSpaceDE w:val="0"/>
            <w:autoSpaceDN w:val="0"/>
            <w:ind w:hanging="640"/>
            <w:divId w:val="822545079"/>
            <w:rPr>
              <w:rFonts w:ascii="Times" w:eastAsia="Times New Roman" w:hAnsi="Times" w:cs="Times"/>
              <w:color w:val="000000"/>
              <w:sz w:val="20"/>
              <w:lang w:val="en-US"/>
            </w:rPr>
          </w:pPr>
          <w:r w:rsidRPr="00E01C65">
            <w:rPr>
              <w:rFonts w:ascii="Times" w:eastAsia="Times New Roman" w:hAnsi="Times" w:cs="Times"/>
              <w:color w:val="000000"/>
              <w:sz w:val="20"/>
              <w:lang w:val="en-US"/>
            </w:rPr>
            <w:t>[10]</w:t>
          </w:r>
          <w:r w:rsidRPr="00E01C65">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E01C65">
            <w:rPr>
              <w:rFonts w:ascii="Times" w:eastAsia="Times New Roman" w:hAnsi="Times" w:cs="Times"/>
              <w:i/>
              <w:iCs/>
              <w:color w:val="000000"/>
              <w:sz w:val="20"/>
              <w:lang w:val="en-US"/>
            </w:rPr>
            <w:t>Journal of Software: Evolution and Process</w:t>
          </w:r>
          <w:r w:rsidRPr="00E01C65">
            <w:rPr>
              <w:rFonts w:ascii="Times" w:eastAsia="Times New Roman" w:hAnsi="Times" w:cs="Times"/>
              <w:color w:val="000000"/>
              <w:sz w:val="20"/>
              <w:lang w:val="en-US"/>
            </w:rPr>
            <w:t>, vol. 29, May 2017, doi: 10.1002/smr.1873.</w:t>
          </w:r>
        </w:p>
        <w:p w14:paraId="6D14DBC1" w14:textId="77777777" w:rsidR="00E01C65" w:rsidRPr="00E01C65" w:rsidRDefault="00E01C65">
          <w:pPr>
            <w:autoSpaceDE w:val="0"/>
            <w:autoSpaceDN w:val="0"/>
            <w:ind w:hanging="640"/>
            <w:divId w:val="340158046"/>
            <w:rPr>
              <w:rFonts w:ascii="Times" w:eastAsia="Times New Roman" w:hAnsi="Times" w:cs="Times"/>
              <w:color w:val="000000"/>
              <w:sz w:val="20"/>
              <w:lang w:val="en-US"/>
            </w:rPr>
          </w:pPr>
          <w:r w:rsidRPr="00E01C65">
            <w:rPr>
              <w:rFonts w:ascii="Times" w:eastAsia="Times New Roman" w:hAnsi="Times" w:cs="Times"/>
              <w:color w:val="000000"/>
              <w:sz w:val="20"/>
              <w:lang w:val="en-US"/>
            </w:rPr>
            <w:t>[11]</w:t>
          </w:r>
          <w:r w:rsidRPr="00E01C65">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E01C65">
            <w:rPr>
              <w:rFonts w:ascii="Times" w:eastAsia="Times New Roman" w:hAnsi="Times" w:cs="Times"/>
              <w:i/>
              <w:iCs/>
              <w:color w:val="000000"/>
              <w:sz w:val="20"/>
              <w:lang w:val="en-US"/>
            </w:rPr>
            <w:t>Requir. Eng.</w:t>
          </w:r>
          <w:r w:rsidRPr="00E01C65">
            <w:rPr>
              <w:rFonts w:ascii="Times" w:eastAsia="Times New Roman" w:hAnsi="Times" w:cs="Times"/>
              <w:color w:val="000000"/>
              <w:sz w:val="20"/>
              <w:lang w:val="en-US"/>
            </w:rPr>
            <w:t>, vol. 14, no. 1, pp. 27–46, 2009, doi: 10.1007/s00766-008-0072-6.</w:t>
          </w:r>
        </w:p>
        <w:p w14:paraId="543F7552" w14:textId="77777777" w:rsidR="00E01C65" w:rsidRPr="00E01C65" w:rsidRDefault="00E01C65">
          <w:pPr>
            <w:autoSpaceDE w:val="0"/>
            <w:autoSpaceDN w:val="0"/>
            <w:ind w:hanging="640"/>
            <w:divId w:val="1484732214"/>
            <w:rPr>
              <w:rFonts w:ascii="Times" w:eastAsia="Times New Roman" w:hAnsi="Times" w:cs="Times"/>
              <w:color w:val="000000"/>
              <w:sz w:val="20"/>
              <w:lang w:val="en-US"/>
            </w:rPr>
          </w:pPr>
          <w:r w:rsidRPr="00E01C65">
            <w:rPr>
              <w:rFonts w:ascii="Times" w:eastAsia="Times New Roman" w:hAnsi="Times" w:cs="Times"/>
              <w:color w:val="000000"/>
              <w:sz w:val="20"/>
              <w:lang w:val="en-US"/>
            </w:rPr>
            <w:t>[12]</w:t>
          </w:r>
          <w:r w:rsidRPr="00E01C65">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E01C65">
            <w:rPr>
              <w:rFonts w:ascii="Times" w:eastAsia="Times New Roman" w:hAnsi="Times" w:cs="Times"/>
              <w:i/>
              <w:iCs/>
              <w:color w:val="000000"/>
              <w:sz w:val="20"/>
              <w:lang w:val="en-US"/>
            </w:rPr>
            <w:t>Computer Systems Science and Engineering</w:t>
          </w:r>
          <w:r w:rsidRPr="00E01C65">
            <w:rPr>
              <w:rFonts w:ascii="Times" w:eastAsia="Times New Roman" w:hAnsi="Times" w:cs="Times"/>
              <w:color w:val="000000"/>
              <w:sz w:val="20"/>
              <w:lang w:val="en-US"/>
            </w:rPr>
            <w:t>, vol. 23, pp. 373–385, Nov. 2008.</w:t>
          </w:r>
        </w:p>
        <w:p w14:paraId="2184AE85" w14:textId="77777777" w:rsidR="00E01C65" w:rsidRPr="00E01C65" w:rsidRDefault="00E01C65">
          <w:pPr>
            <w:autoSpaceDE w:val="0"/>
            <w:autoSpaceDN w:val="0"/>
            <w:ind w:hanging="640"/>
            <w:divId w:val="882904248"/>
            <w:rPr>
              <w:rFonts w:ascii="Times" w:eastAsia="Times New Roman" w:hAnsi="Times" w:cs="Times"/>
              <w:color w:val="000000"/>
              <w:sz w:val="20"/>
              <w:lang w:val="en-US"/>
            </w:rPr>
          </w:pPr>
          <w:r w:rsidRPr="00E01C65">
            <w:rPr>
              <w:rFonts w:ascii="Times" w:eastAsia="Times New Roman" w:hAnsi="Times" w:cs="Times"/>
              <w:color w:val="000000"/>
              <w:sz w:val="20"/>
              <w:lang w:val="en-US"/>
            </w:rPr>
            <w:t>[13]</w:t>
          </w:r>
          <w:r w:rsidRPr="00E01C65">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A27F516" w14:textId="77777777" w:rsidR="00E01C65" w:rsidRPr="00E01C65" w:rsidRDefault="00E01C65">
          <w:pPr>
            <w:autoSpaceDE w:val="0"/>
            <w:autoSpaceDN w:val="0"/>
            <w:ind w:hanging="640"/>
            <w:divId w:val="76489057"/>
            <w:rPr>
              <w:rFonts w:ascii="Times" w:eastAsia="Times New Roman" w:hAnsi="Times" w:cs="Times"/>
              <w:color w:val="000000"/>
              <w:sz w:val="20"/>
              <w:lang w:val="en-US"/>
            </w:rPr>
          </w:pPr>
          <w:r w:rsidRPr="00E01C65">
            <w:rPr>
              <w:rFonts w:ascii="Times" w:eastAsia="Times New Roman" w:hAnsi="Times" w:cs="Times"/>
              <w:color w:val="000000"/>
              <w:sz w:val="20"/>
              <w:lang w:val="en-US"/>
            </w:rPr>
            <w:t>[14]</w:t>
          </w:r>
          <w:r w:rsidRPr="00E01C65">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69F245D9" w14:textId="77777777" w:rsidR="00E01C65" w:rsidRPr="00E01C65" w:rsidRDefault="00E01C65">
          <w:pPr>
            <w:autoSpaceDE w:val="0"/>
            <w:autoSpaceDN w:val="0"/>
            <w:ind w:hanging="640"/>
            <w:divId w:val="275865823"/>
            <w:rPr>
              <w:rFonts w:ascii="Times" w:eastAsia="Times New Roman" w:hAnsi="Times" w:cs="Times"/>
              <w:color w:val="000000"/>
              <w:sz w:val="20"/>
              <w:lang w:val="en-US"/>
            </w:rPr>
          </w:pPr>
          <w:r w:rsidRPr="00E01C65">
            <w:rPr>
              <w:rFonts w:ascii="Times" w:eastAsia="Times New Roman" w:hAnsi="Times" w:cs="Times"/>
              <w:color w:val="000000"/>
              <w:sz w:val="20"/>
              <w:lang w:val="en-US"/>
            </w:rPr>
            <w:t>[15]</w:t>
          </w:r>
          <w:r w:rsidRPr="00E01C65">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E6E9597" w14:textId="77777777" w:rsidR="00E01C65" w:rsidRPr="00E01C65" w:rsidRDefault="00E01C65">
          <w:pPr>
            <w:autoSpaceDE w:val="0"/>
            <w:autoSpaceDN w:val="0"/>
            <w:ind w:hanging="640"/>
            <w:divId w:val="1809543203"/>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[16]</w:t>
          </w:r>
          <w:r w:rsidRPr="00E01C65">
            <w:rPr>
              <w:rFonts w:ascii="Times" w:eastAsia="Times New Roman" w:hAnsi="Times" w:cs="Times"/>
              <w:color w:val="000000"/>
              <w:sz w:val="20"/>
              <w:lang w:val="en-US"/>
            </w:rPr>
            <w:tab/>
            <w:t>owasp.org, “OWASP MAS Checklist.” Accessed: Jun. 11, 2024. [Online]. Available: https://wiki.owasp.org/images/1/1b/Mobile_App_Security_Checklist_0.9.3.xlsx</w:t>
          </w:r>
        </w:p>
        <w:p w14:paraId="436D69B8" w14:textId="77777777" w:rsidR="00E01C65" w:rsidRPr="00E01C65" w:rsidRDefault="00E01C65">
          <w:pPr>
            <w:autoSpaceDE w:val="0"/>
            <w:autoSpaceDN w:val="0"/>
            <w:ind w:hanging="640"/>
            <w:divId w:val="610018301"/>
            <w:rPr>
              <w:rFonts w:ascii="Times" w:eastAsia="Times New Roman" w:hAnsi="Times" w:cs="Times"/>
              <w:color w:val="000000"/>
              <w:sz w:val="20"/>
              <w:lang w:val="en-US"/>
            </w:rPr>
          </w:pPr>
          <w:r w:rsidRPr="00E01C65">
            <w:rPr>
              <w:rFonts w:ascii="Times" w:eastAsia="Times New Roman" w:hAnsi="Times" w:cs="Times"/>
              <w:color w:val="000000"/>
              <w:sz w:val="20"/>
              <w:lang w:val="en-US"/>
            </w:rPr>
            <w:t>[17]</w:t>
          </w:r>
          <w:r w:rsidRPr="00E01C65">
            <w:rPr>
              <w:rFonts w:ascii="Times" w:eastAsia="Times New Roman" w:hAnsi="Times" w:cs="Times"/>
              <w:color w:val="000000"/>
              <w:sz w:val="20"/>
              <w:lang w:val="en-US"/>
            </w:rPr>
            <w:tab/>
            <w:t>owasp.org, “OWASP MASVS - OWASP Mobile Application Security.” Accessed: Sep. 26, 2024. [Online]. Available: https://mas.owasp.org/MASVS/</w:t>
          </w:r>
        </w:p>
        <w:p w14:paraId="577D8398" w14:textId="77777777" w:rsidR="00E01C65" w:rsidRPr="00E01C65" w:rsidRDefault="00E01C65">
          <w:pPr>
            <w:autoSpaceDE w:val="0"/>
            <w:autoSpaceDN w:val="0"/>
            <w:ind w:hanging="640"/>
            <w:divId w:val="1056902387"/>
            <w:rPr>
              <w:rFonts w:ascii="Times" w:eastAsia="Times New Roman" w:hAnsi="Times" w:cs="Times"/>
              <w:color w:val="000000"/>
              <w:sz w:val="20"/>
              <w:lang w:val="en-US"/>
            </w:rPr>
          </w:pPr>
          <w:r w:rsidRPr="00E01C65">
            <w:rPr>
              <w:rFonts w:ascii="Times" w:eastAsia="Times New Roman" w:hAnsi="Times" w:cs="Times"/>
              <w:color w:val="000000"/>
              <w:sz w:val="20"/>
              <w:lang w:val="en-US"/>
            </w:rPr>
            <w:t>[18]</w:t>
          </w:r>
          <w:r w:rsidRPr="00E01C65">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052E5090" w14:textId="77777777" w:rsidR="00E01C65" w:rsidRPr="00E01C65" w:rsidRDefault="00E01C65">
          <w:pPr>
            <w:autoSpaceDE w:val="0"/>
            <w:autoSpaceDN w:val="0"/>
            <w:ind w:hanging="640"/>
            <w:divId w:val="1145856401"/>
            <w:rPr>
              <w:rFonts w:ascii="Times" w:eastAsia="Times New Roman" w:hAnsi="Times" w:cs="Times"/>
              <w:color w:val="000000"/>
              <w:sz w:val="20"/>
              <w:lang w:val="en-US"/>
            </w:rPr>
          </w:pPr>
          <w:r w:rsidRPr="00E01C65">
            <w:rPr>
              <w:rFonts w:ascii="Times" w:eastAsia="Times New Roman" w:hAnsi="Times" w:cs="Times"/>
              <w:color w:val="000000"/>
              <w:sz w:val="20"/>
              <w:lang w:val="en-US"/>
            </w:rPr>
            <w:t>[19]</w:t>
          </w:r>
          <w:r w:rsidRPr="00E01C65">
            <w:rPr>
              <w:rFonts w:ascii="Times" w:eastAsia="Times New Roman" w:hAnsi="Times" w:cs="Times"/>
              <w:color w:val="000000"/>
              <w:sz w:val="20"/>
              <w:lang w:val="en-US"/>
            </w:rPr>
            <w:tab/>
            <w:t>J. T. Force, “Security and Privacy Controls for Information Systems and Organizations,” Jul. 2020, doi: 10.6028/NIST.SP.800-53R5.</w:t>
          </w:r>
        </w:p>
        <w:p w14:paraId="5CD55ED4" w14:textId="77777777" w:rsidR="00E01C65" w:rsidRPr="00E01C65" w:rsidRDefault="00E01C65">
          <w:pPr>
            <w:autoSpaceDE w:val="0"/>
            <w:autoSpaceDN w:val="0"/>
            <w:ind w:hanging="640"/>
            <w:divId w:val="297883359"/>
            <w:rPr>
              <w:rFonts w:ascii="Times" w:eastAsia="Times New Roman" w:hAnsi="Times" w:cs="Times"/>
              <w:color w:val="000000"/>
              <w:sz w:val="20"/>
              <w:lang w:val="en-US"/>
            </w:rPr>
          </w:pPr>
          <w:r w:rsidRPr="00E01C65">
            <w:rPr>
              <w:rFonts w:ascii="Times" w:eastAsia="Times New Roman" w:hAnsi="Times" w:cs="Times"/>
              <w:color w:val="000000"/>
              <w:sz w:val="20"/>
              <w:lang w:val="en-US"/>
            </w:rPr>
            <w:t>[20]</w:t>
          </w:r>
          <w:r w:rsidRPr="00E01C65">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00A3E5E7" w14:textId="77777777" w:rsidR="00E01C65" w:rsidRPr="00E01C65" w:rsidRDefault="00E01C65">
          <w:pPr>
            <w:autoSpaceDE w:val="0"/>
            <w:autoSpaceDN w:val="0"/>
            <w:ind w:hanging="640"/>
            <w:divId w:val="1430928863"/>
            <w:rPr>
              <w:rFonts w:ascii="Times" w:eastAsia="Times New Roman" w:hAnsi="Times" w:cs="Times"/>
              <w:color w:val="000000"/>
              <w:sz w:val="20"/>
              <w:lang w:val="en-US"/>
            </w:rPr>
          </w:pPr>
          <w:r w:rsidRPr="00E01C65">
            <w:rPr>
              <w:rFonts w:ascii="Times" w:eastAsia="Times New Roman" w:hAnsi="Times" w:cs="Times"/>
              <w:color w:val="000000"/>
              <w:sz w:val="20"/>
              <w:lang w:val="en-US"/>
            </w:rPr>
            <w:t>[21]</w:t>
          </w:r>
          <w:r w:rsidRPr="00E01C65">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2AB77E33" w14:textId="77777777" w:rsidR="00E01C65" w:rsidRPr="00E01C65" w:rsidRDefault="00E01C65">
          <w:pPr>
            <w:autoSpaceDE w:val="0"/>
            <w:autoSpaceDN w:val="0"/>
            <w:ind w:hanging="640"/>
            <w:divId w:val="1057707039"/>
            <w:rPr>
              <w:rFonts w:ascii="Times" w:eastAsia="Times New Roman" w:hAnsi="Times" w:cs="Times"/>
              <w:color w:val="000000"/>
              <w:sz w:val="20"/>
              <w:lang w:val="en-US"/>
            </w:rPr>
          </w:pPr>
          <w:r w:rsidRPr="00E01C65">
            <w:rPr>
              <w:rFonts w:ascii="Times" w:eastAsia="Times New Roman" w:hAnsi="Times" w:cs="Times"/>
              <w:color w:val="000000"/>
              <w:sz w:val="20"/>
              <w:lang w:val="en-US"/>
            </w:rPr>
            <w:t>[22]</w:t>
          </w:r>
          <w:r w:rsidRPr="00E01C65">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5C71359B" w14:textId="77777777" w:rsidR="00E01C65" w:rsidRPr="00E01C65" w:rsidRDefault="00E01C65">
          <w:pPr>
            <w:autoSpaceDE w:val="0"/>
            <w:autoSpaceDN w:val="0"/>
            <w:ind w:hanging="640"/>
            <w:divId w:val="1485928695"/>
            <w:rPr>
              <w:rFonts w:ascii="Times" w:eastAsia="Times New Roman" w:hAnsi="Times" w:cs="Times"/>
              <w:color w:val="000000"/>
              <w:sz w:val="20"/>
              <w:lang w:val="en-US"/>
            </w:rPr>
          </w:pPr>
          <w:r w:rsidRPr="00E01C65">
            <w:rPr>
              <w:rFonts w:ascii="Times" w:eastAsia="Times New Roman" w:hAnsi="Times" w:cs="Times"/>
              <w:color w:val="000000"/>
              <w:sz w:val="20"/>
              <w:lang w:val="en-US"/>
            </w:rPr>
            <w:t>[23]</w:t>
          </w:r>
          <w:r w:rsidRPr="00E01C65">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7E2260CC" w14:textId="77777777" w:rsidR="00E01C65" w:rsidRPr="00E01C65" w:rsidRDefault="00E01C65">
          <w:pPr>
            <w:autoSpaceDE w:val="0"/>
            <w:autoSpaceDN w:val="0"/>
            <w:ind w:hanging="640"/>
            <w:divId w:val="1084303051"/>
            <w:rPr>
              <w:rFonts w:ascii="Times" w:eastAsia="Times New Roman" w:hAnsi="Times" w:cs="Times"/>
              <w:color w:val="000000"/>
              <w:sz w:val="20"/>
              <w:lang w:val="en-US"/>
            </w:rPr>
          </w:pPr>
          <w:r w:rsidRPr="00E01C65">
            <w:rPr>
              <w:rFonts w:ascii="Times" w:eastAsia="Times New Roman" w:hAnsi="Times" w:cs="Times"/>
              <w:color w:val="000000"/>
              <w:sz w:val="20"/>
              <w:lang w:val="en-US"/>
            </w:rPr>
            <w:t>[24]</w:t>
          </w:r>
          <w:r w:rsidRPr="00E01C65">
            <w:rPr>
              <w:rFonts w:ascii="Times" w:eastAsia="Times New Roman" w:hAnsi="Times" w:cs="Times"/>
              <w:color w:val="000000"/>
              <w:sz w:val="20"/>
              <w:lang w:val="en-US"/>
            </w:rPr>
            <w:tab/>
            <w:t xml:space="preserve">G. O’Brien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“Securing Electronic Health Records on Mobile Devices,” </w:t>
          </w:r>
          <w:r w:rsidRPr="00E01C65">
            <w:rPr>
              <w:rFonts w:ascii="Times" w:eastAsia="Times New Roman" w:hAnsi="Times" w:cs="Times"/>
              <w:i/>
              <w:iCs/>
              <w:color w:val="000000"/>
              <w:sz w:val="20"/>
              <w:lang w:val="en-US"/>
            </w:rPr>
            <w:t>NIST SPECIAL PUBLICATION</w:t>
          </w:r>
          <w:r w:rsidRPr="00E01C65">
            <w:rPr>
              <w:rFonts w:ascii="Times" w:eastAsia="Times New Roman" w:hAnsi="Times" w:cs="Times"/>
              <w:color w:val="000000"/>
              <w:sz w:val="20"/>
              <w:lang w:val="en-US"/>
            </w:rPr>
            <w:t>, pp. 1800–1801, Jul. 2018, doi: 10.6028/NIST.SP.1800-1.</w:t>
          </w:r>
        </w:p>
        <w:p w14:paraId="07E86068" w14:textId="77777777" w:rsidR="00E01C65" w:rsidRPr="00E01C65" w:rsidRDefault="00E01C65">
          <w:pPr>
            <w:autoSpaceDE w:val="0"/>
            <w:autoSpaceDN w:val="0"/>
            <w:ind w:hanging="640"/>
            <w:divId w:val="1460104063"/>
            <w:rPr>
              <w:rFonts w:ascii="Times" w:eastAsia="Times New Roman" w:hAnsi="Times" w:cs="Times"/>
              <w:color w:val="000000"/>
              <w:sz w:val="20"/>
              <w:lang w:val="en-US"/>
            </w:rPr>
          </w:pPr>
          <w:r w:rsidRPr="00E01C65">
            <w:rPr>
              <w:rFonts w:ascii="Times" w:eastAsia="Times New Roman" w:hAnsi="Times" w:cs="Times"/>
              <w:color w:val="000000"/>
              <w:sz w:val="20"/>
              <w:lang w:val="en-US"/>
            </w:rPr>
            <w:t>[25]</w:t>
          </w:r>
          <w:r w:rsidRPr="00E01C65">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40, no. 6, 2016, doi: 10.1007/s10916-016-0513-6.</w:t>
          </w:r>
        </w:p>
        <w:p w14:paraId="78C737A4" w14:textId="77777777" w:rsidR="00E01C65" w:rsidRPr="00E01C65" w:rsidRDefault="00E01C65">
          <w:pPr>
            <w:autoSpaceDE w:val="0"/>
            <w:autoSpaceDN w:val="0"/>
            <w:ind w:hanging="640"/>
            <w:divId w:val="264728049"/>
            <w:rPr>
              <w:rFonts w:ascii="Times" w:eastAsia="Times New Roman" w:hAnsi="Times" w:cs="Times"/>
              <w:color w:val="000000"/>
              <w:sz w:val="20"/>
              <w:lang w:val="en-US"/>
            </w:rPr>
          </w:pPr>
          <w:r w:rsidRPr="00E01C65">
            <w:rPr>
              <w:rFonts w:ascii="Times" w:eastAsia="Times New Roman" w:hAnsi="Times" w:cs="Times"/>
              <w:color w:val="000000"/>
              <w:sz w:val="20"/>
              <w:lang w:val="en-US"/>
            </w:rPr>
            <w:t>[26]</w:t>
          </w:r>
          <w:r w:rsidRPr="00E01C65">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0DAE81D2" w14:textId="77777777" w:rsidR="00E01C65" w:rsidRPr="00E01C65" w:rsidRDefault="00E01C65">
          <w:pPr>
            <w:autoSpaceDE w:val="0"/>
            <w:autoSpaceDN w:val="0"/>
            <w:ind w:hanging="640"/>
            <w:divId w:val="1458064068"/>
            <w:rPr>
              <w:rFonts w:ascii="Times" w:eastAsia="Times New Roman" w:hAnsi="Times" w:cs="Times"/>
              <w:color w:val="000000"/>
              <w:sz w:val="20"/>
              <w:lang w:val="en-US"/>
            </w:rPr>
          </w:pPr>
          <w:r w:rsidRPr="00E01C65">
            <w:rPr>
              <w:rFonts w:ascii="Times" w:eastAsia="Times New Roman" w:hAnsi="Times" w:cs="Times"/>
              <w:color w:val="000000"/>
              <w:sz w:val="20"/>
              <w:lang w:val="en-US"/>
            </w:rPr>
            <w:t>[27]</w:t>
          </w:r>
          <w:r w:rsidRPr="00E01C65">
            <w:rPr>
              <w:rFonts w:ascii="Times" w:eastAsia="Times New Roman" w:hAnsi="Times" w:cs="Times"/>
              <w:color w:val="000000"/>
              <w:sz w:val="20"/>
              <w:lang w:val="en-US"/>
            </w:rPr>
            <w:tab/>
            <w:t xml:space="preserve">D. Sethia, D. Gupta, and H. Saran, “Smart health record management with secure NFC-enabled mobile devices,” </w:t>
          </w:r>
          <w:r w:rsidRPr="00E01C65">
            <w:rPr>
              <w:rFonts w:ascii="Times" w:eastAsia="Times New Roman" w:hAnsi="Times" w:cs="Times"/>
              <w:i/>
              <w:iCs/>
              <w:color w:val="000000"/>
              <w:sz w:val="20"/>
              <w:lang w:val="en-US"/>
            </w:rPr>
            <w:t>Smart Health</w:t>
          </w:r>
          <w:r w:rsidRPr="00E01C65">
            <w:rPr>
              <w:rFonts w:ascii="Times" w:eastAsia="Times New Roman" w:hAnsi="Times" w:cs="Times"/>
              <w:color w:val="000000"/>
              <w:sz w:val="20"/>
              <w:lang w:val="en-US"/>
            </w:rPr>
            <w:t>, vol. 13, p. 100063, 2019, doi: https://doi.org/10.1016/j.smhl.2018.11.001.</w:t>
          </w:r>
        </w:p>
        <w:p w14:paraId="7AB716D9" w14:textId="77777777" w:rsidR="00E01C65" w:rsidRPr="00E01C65" w:rsidRDefault="00E01C65">
          <w:pPr>
            <w:autoSpaceDE w:val="0"/>
            <w:autoSpaceDN w:val="0"/>
            <w:ind w:hanging="640"/>
            <w:divId w:val="1736051219"/>
            <w:rPr>
              <w:rFonts w:ascii="Times" w:eastAsia="Times New Roman" w:hAnsi="Times" w:cs="Times"/>
              <w:color w:val="000000"/>
              <w:sz w:val="20"/>
              <w:lang w:val="en-US"/>
            </w:rPr>
          </w:pPr>
          <w:r w:rsidRPr="00E01C65">
            <w:rPr>
              <w:rFonts w:ascii="Times" w:eastAsia="Times New Roman" w:hAnsi="Times" w:cs="Times"/>
              <w:color w:val="000000"/>
              <w:sz w:val="20"/>
              <w:lang w:val="en-US"/>
            </w:rPr>
            <w:t>[28]</w:t>
          </w:r>
          <w:r w:rsidRPr="00E01C65">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7, no. 4, p. e11223, 2019, doi: 10.2196/11223.</w:t>
          </w:r>
        </w:p>
        <w:p w14:paraId="5CF4808F" w14:textId="77777777" w:rsidR="00E01C65" w:rsidRPr="00E01C65" w:rsidRDefault="00E01C65">
          <w:pPr>
            <w:autoSpaceDE w:val="0"/>
            <w:autoSpaceDN w:val="0"/>
            <w:ind w:hanging="640"/>
            <w:divId w:val="2044204405"/>
            <w:rPr>
              <w:rFonts w:ascii="Times" w:eastAsia="Times New Roman" w:hAnsi="Times" w:cs="Times"/>
              <w:color w:val="000000"/>
              <w:sz w:val="20"/>
              <w:lang w:val="en-US"/>
            </w:rPr>
          </w:pPr>
          <w:r w:rsidRPr="00E01C65">
            <w:rPr>
              <w:rFonts w:ascii="Times" w:eastAsia="Times New Roman" w:hAnsi="Times" w:cs="Times"/>
              <w:color w:val="000000"/>
              <w:sz w:val="20"/>
              <w:lang w:val="en-US"/>
            </w:rPr>
            <w:t>[29]</w:t>
          </w:r>
          <w:r w:rsidRPr="00E01C65">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2AF4E65C" w14:textId="77777777" w:rsidR="00E01C65" w:rsidRPr="00E01C65" w:rsidRDefault="00E01C65">
          <w:pPr>
            <w:autoSpaceDE w:val="0"/>
            <w:autoSpaceDN w:val="0"/>
            <w:ind w:hanging="640"/>
            <w:divId w:val="1149054153"/>
            <w:rPr>
              <w:rFonts w:ascii="Times" w:eastAsia="Times New Roman" w:hAnsi="Times" w:cs="Times"/>
              <w:color w:val="000000"/>
              <w:sz w:val="20"/>
              <w:lang w:val="en-US"/>
            </w:rPr>
          </w:pPr>
          <w:r w:rsidRPr="00E01C65">
            <w:rPr>
              <w:rFonts w:ascii="Times" w:eastAsia="Times New Roman" w:hAnsi="Times" w:cs="Times"/>
              <w:color w:val="000000"/>
              <w:sz w:val="20"/>
              <w:lang w:val="en-US"/>
            </w:rPr>
            <w:t>[30]</w:t>
          </w:r>
          <w:r w:rsidRPr="00E01C65">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10, no. 1, 2022, doi: 10.2196/32104.</w:t>
          </w:r>
        </w:p>
        <w:p w14:paraId="10362D4B" w14:textId="77777777" w:rsidR="00E01C65" w:rsidRPr="00E01C65" w:rsidRDefault="00E01C65">
          <w:pPr>
            <w:autoSpaceDE w:val="0"/>
            <w:autoSpaceDN w:val="0"/>
            <w:ind w:hanging="640"/>
            <w:divId w:val="849561648"/>
            <w:rPr>
              <w:rFonts w:ascii="Times" w:eastAsia="Times New Roman" w:hAnsi="Times" w:cs="Times"/>
              <w:color w:val="000000"/>
              <w:sz w:val="20"/>
              <w:lang w:val="en-US"/>
            </w:rPr>
          </w:pPr>
          <w:r w:rsidRPr="00E01C65">
            <w:rPr>
              <w:rFonts w:ascii="Times" w:eastAsia="Times New Roman" w:hAnsi="Times" w:cs="Times"/>
              <w:color w:val="000000"/>
              <w:sz w:val="20"/>
              <w:lang w:val="en-US"/>
            </w:rPr>
            <w:t>[31]</w:t>
          </w:r>
          <w:r w:rsidRPr="00E01C65">
            <w:rPr>
              <w:rFonts w:ascii="Times" w:eastAsia="Times New Roman" w:hAnsi="Times" w:cs="Times"/>
              <w:color w:val="000000"/>
              <w:sz w:val="20"/>
              <w:lang w:val="en-US"/>
            </w:rPr>
            <w:tab/>
            <w:t xml:space="preserve">P. Llorens-Vernet and J. Miró, “The mobile app development and assessment guide (MAG): Delphi-Based validity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8, no. 7, 2020, doi: 10.2196/17760.</w:t>
          </w:r>
        </w:p>
        <w:p w14:paraId="09744FDF" w14:textId="77777777" w:rsidR="00E01C65" w:rsidRPr="00E01C65" w:rsidRDefault="00E01C65">
          <w:pPr>
            <w:autoSpaceDE w:val="0"/>
            <w:autoSpaceDN w:val="0"/>
            <w:ind w:hanging="640"/>
            <w:divId w:val="1971353322"/>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[32]</w:t>
          </w:r>
          <w:r w:rsidRPr="00E01C65">
            <w:rPr>
              <w:rFonts w:ascii="Times" w:eastAsia="Times New Roman" w:hAnsi="Times" w:cs="Times"/>
              <w:color w:val="000000"/>
              <w:sz w:val="20"/>
              <w:lang w:val="en-US"/>
            </w:rPr>
            <w:tab/>
            <w:t xml:space="preserve">P. Llorens-Vernet and J. Miró, “Standards for Mobile Health–Related Apps: Systematic Review and Development of a Guide,”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8, no. 3, p. e13057, 2020, doi: 10.2196/13057.</w:t>
          </w:r>
        </w:p>
        <w:p w14:paraId="4E28C546" w14:textId="77777777" w:rsidR="00E01C65" w:rsidRPr="00E01C65" w:rsidRDefault="00E01C65">
          <w:pPr>
            <w:autoSpaceDE w:val="0"/>
            <w:autoSpaceDN w:val="0"/>
            <w:ind w:hanging="640"/>
            <w:divId w:val="544609326"/>
            <w:rPr>
              <w:rFonts w:ascii="Times" w:eastAsia="Times New Roman" w:hAnsi="Times" w:cs="Times"/>
              <w:color w:val="000000"/>
              <w:sz w:val="20"/>
              <w:lang w:val="en-US"/>
            </w:rPr>
          </w:pPr>
          <w:r w:rsidRPr="00E01C65">
            <w:rPr>
              <w:rFonts w:ascii="Times" w:eastAsia="Times New Roman" w:hAnsi="Times" w:cs="Times"/>
              <w:color w:val="000000"/>
              <w:sz w:val="20"/>
              <w:lang w:val="en-US"/>
            </w:rPr>
            <w:t>[33]</w:t>
          </w:r>
          <w:r w:rsidRPr="00E01C65">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39, no. 1, 2015, doi: 10.1007/s10916-014-0181-3.</w:t>
          </w:r>
        </w:p>
        <w:p w14:paraId="0D24EF2A" w14:textId="77777777" w:rsidR="00E01C65" w:rsidRPr="00E01C65" w:rsidRDefault="00E01C65">
          <w:pPr>
            <w:autoSpaceDE w:val="0"/>
            <w:autoSpaceDN w:val="0"/>
            <w:ind w:hanging="640"/>
            <w:divId w:val="897859394"/>
            <w:rPr>
              <w:rFonts w:ascii="Times" w:eastAsia="Times New Roman" w:hAnsi="Times" w:cs="Times"/>
              <w:color w:val="000000"/>
              <w:sz w:val="20"/>
              <w:lang w:val="en-US"/>
            </w:rPr>
          </w:pPr>
          <w:r w:rsidRPr="00E01C65">
            <w:rPr>
              <w:rFonts w:ascii="Times" w:eastAsia="Times New Roman" w:hAnsi="Times" w:cs="Times"/>
              <w:color w:val="000000"/>
              <w:sz w:val="20"/>
              <w:lang w:val="en-US"/>
            </w:rPr>
            <w:t>[34]</w:t>
          </w:r>
          <w:r w:rsidRPr="00E01C65">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E01C65">
            <w:rPr>
              <w:rFonts w:ascii="Times" w:eastAsia="Times New Roman" w:hAnsi="Times" w:cs="Times"/>
              <w:i/>
              <w:iCs/>
              <w:color w:val="000000"/>
              <w:sz w:val="20"/>
              <w:lang w:val="en-US"/>
            </w:rPr>
            <w:t>IEEE/CAA Journal of Automatica Sinica</w:t>
          </w:r>
          <w:r w:rsidRPr="00E01C65">
            <w:rPr>
              <w:rFonts w:ascii="Times" w:eastAsia="Times New Roman" w:hAnsi="Times" w:cs="Times"/>
              <w:color w:val="000000"/>
              <w:sz w:val="20"/>
              <w:lang w:val="en-US"/>
            </w:rPr>
            <w:t>, vol. 8, no. 9, pp. 1477–1499, 2021, doi: 10.1109/JAS.2021.1004087.</w:t>
          </w:r>
        </w:p>
        <w:p w14:paraId="5CF7E4D7" w14:textId="77777777" w:rsidR="00E01C65" w:rsidRPr="00E01C65" w:rsidRDefault="00E01C65">
          <w:pPr>
            <w:autoSpaceDE w:val="0"/>
            <w:autoSpaceDN w:val="0"/>
            <w:ind w:hanging="640"/>
            <w:divId w:val="1462192878"/>
            <w:rPr>
              <w:rFonts w:ascii="Times" w:eastAsia="Times New Roman" w:hAnsi="Times" w:cs="Times"/>
              <w:color w:val="000000"/>
              <w:sz w:val="20"/>
              <w:lang w:val="en-US"/>
            </w:rPr>
          </w:pPr>
          <w:r w:rsidRPr="00E01C65">
            <w:rPr>
              <w:rFonts w:ascii="Times" w:eastAsia="Times New Roman" w:hAnsi="Times" w:cs="Times"/>
              <w:color w:val="000000"/>
              <w:sz w:val="20"/>
              <w:lang w:val="en-US"/>
            </w:rPr>
            <w:t>[35]</w:t>
          </w:r>
          <w:r w:rsidRPr="00E01C65">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E01C65">
            <w:rPr>
              <w:rFonts w:ascii="Times" w:eastAsia="Times New Roman" w:hAnsi="Times" w:cs="Times"/>
              <w:i/>
              <w:iCs/>
              <w:color w:val="000000"/>
              <w:sz w:val="20"/>
              <w:lang w:val="en-US"/>
            </w:rPr>
            <w:t>IEEE Access</w:t>
          </w:r>
          <w:r w:rsidRPr="00E01C65">
            <w:rPr>
              <w:rFonts w:ascii="Times" w:eastAsia="Times New Roman" w:hAnsi="Times" w:cs="Times"/>
              <w:color w:val="000000"/>
              <w:sz w:val="20"/>
              <w:lang w:val="en-US"/>
            </w:rPr>
            <w:t>, vol. 6, pp. 9390–9403, 2018, doi: 10.1109/ACCESS.2018.2799522.</w:t>
          </w:r>
        </w:p>
        <w:p w14:paraId="2D12E9FE" w14:textId="77777777" w:rsidR="00E01C65" w:rsidRPr="00E01C65" w:rsidRDefault="00E01C65">
          <w:pPr>
            <w:autoSpaceDE w:val="0"/>
            <w:autoSpaceDN w:val="0"/>
            <w:ind w:hanging="640"/>
            <w:divId w:val="937908390"/>
            <w:rPr>
              <w:rFonts w:ascii="Times" w:eastAsia="Times New Roman" w:hAnsi="Times" w:cs="Times"/>
              <w:color w:val="000000"/>
              <w:sz w:val="20"/>
              <w:lang w:val="en-US"/>
            </w:rPr>
          </w:pPr>
          <w:r w:rsidRPr="00E01C65">
            <w:rPr>
              <w:rFonts w:ascii="Times" w:eastAsia="Times New Roman" w:hAnsi="Times" w:cs="Times"/>
              <w:color w:val="000000"/>
              <w:sz w:val="20"/>
              <w:lang w:val="en-US"/>
            </w:rPr>
            <w:t>[36]</w:t>
          </w:r>
          <w:r w:rsidRPr="00E01C65">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11, 2023, doi: 10.2196/39055.</w:t>
          </w:r>
        </w:p>
        <w:p w14:paraId="49A77F9A" w14:textId="77777777" w:rsidR="00E01C65" w:rsidRPr="00E01C65" w:rsidRDefault="00E01C65">
          <w:pPr>
            <w:autoSpaceDE w:val="0"/>
            <w:autoSpaceDN w:val="0"/>
            <w:ind w:hanging="640"/>
            <w:divId w:val="1813862783"/>
            <w:rPr>
              <w:rFonts w:ascii="Times" w:eastAsia="Times New Roman" w:hAnsi="Times" w:cs="Times"/>
              <w:color w:val="000000"/>
              <w:sz w:val="20"/>
              <w:lang w:val="en-US"/>
            </w:rPr>
          </w:pPr>
          <w:r w:rsidRPr="00E01C65">
            <w:rPr>
              <w:rFonts w:ascii="Times" w:eastAsia="Times New Roman" w:hAnsi="Times" w:cs="Times"/>
              <w:color w:val="000000"/>
              <w:sz w:val="20"/>
              <w:lang w:val="en-US"/>
            </w:rPr>
            <w:t>[37]</w:t>
          </w:r>
          <w:r w:rsidRPr="00E01C65">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E01C65">
            <w:rPr>
              <w:rFonts w:ascii="Times" w:eastAsia="Times New Roman" w:hAnsi="Times" w:cs="Times"/>
              <w:i/>
              <w:iCs/>
              <w:color w:val="000000"/>
              <w:sz w:val="20"/>
              <w:lang w:val="en-US"/>
            </w:rPr>
            <w:t>Information (Switzerland)</w:t>
          </w:r>
          <w:r w:rsidRPr="00E01C65">
            <w:rPr>
              <w:rFonts w:ascii="Times" w:eastAsia="Times New Roman" w:hAnsi="Times" w:cs="Times"/>
              <w:color w:val="000000"/>
              <w:sz w:val="20"/>
              <w:lang w:val="en-US"/>
            </w:rPr>
            <w:t>, vol. 14, no. 7, 2023, doi: 10.3390/info14070411.</w:t>
          </w:r>
        </w:p>
        <w:p w14:paraId="39D717FA" w14:textId="77777777" w:rsidR="00E01C65" w:rsidRPr="00E01C65" w:rsidRDefault="00E01C65">
          <w:pPr>
            <w:autoSpaceDE w:val="0"/>
            <w:autoSpaceDN w:val="0"/>
            <w:ind w:hanging="640"/>
            <w:divId w:val="253513402"/>
            <w:rPr>
              <w:rFonts w:ascii="Times" w:eastAsia="Times New Roman" w:hAnsi="Times" w:cs="Times"/>
              <w:color w:val="000000"/>
              <w:sz w:val="20"/>
              <w:lang w:val="en-US"/>
            </w:rPr>
          </w:pPr>
          <w:r w:rsidRPr="00E01C65">
            <w:rPr>
              <w:rFonts w:ascii="Times" w:eastAsia="Times New Roman" w:hAnsi="Times" w:cs="Times"/>
              <w:color w:val="000000"/>
              <w:sz w:val="20"/>
              <w:lang w:val="en-US"/>
            </w:rPr>
            <w:t>[38]</w:t>
          </w:r>
          <w:r w:rsidRPr="00E01C65">
            <w:rPr>
              <w:rFonts w:ascii="Times" w:eastAsia="Times New Roman" w:hAnsi="Times" w:cs="Times"/>
              <w:color w:val="000000"/>
              <w:sz w:val="20"/>
              <w:lang w:val="en-US"/>
            </w:rPr>
            <w:tab/>
            <w:t xml:space="preserve">M. Wazid, S. Zeadally, A. K. Das, and V. Odelu, “Analysis of Security Protocols for Mobile Healthcare,”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40, no. 11, 2016, doi: 10.1007/s10916-016-0596-0.</w:t>
          </w:r>
        </w:p>
        <w:p w14:paraId="0BBFB448" w14:textId="77777777" w:rsidR="00E01C65" w:rsidRPr="00E01C65" w:rsidRDefault="00E01C65">
          <w:pPr>
            <w:autoSpaceDE w:val="0"/>
            <w:autoSpaceDN w:val="0"/>
            <w:ind w:hanging="640"/>
            <w:divId w:val="1558323509"/>
            <w:rPr>
              <w:rFonts w:ascii="Times" w:eastAsia="Times New Roman" w:hAnsi="Times" w:cs="Times"/>
              <w:color w:val="000000"/>
              <w:sz w:val="20"/>
              <w:lang w:val="en-US"/>
            </w:rPr>
          </w:pPr>
          <w:r w:rsidRPr="00E01C65">
            <w:rPr>
              <w:rFonts w:ascii="Times" w:eastAsia="Times New Roman" w:hAnsi="Times" w:cs="Times"/>
              <w:color w:val="000000"/>
              <w:sz w:val="20"/>
              <w:lang w:val="en-US"/>
            </w:rPr>
            <w:t>[39]</w:t>
          </w:r>
          <w:r w:rsidRPr="00E01C65">
            <w:rPr>
              <w:rFonts w:ascii="Times" w:eastAsia="Times New Roman" w:hAnsi="Times" w:cs="Times"/>
              <w:color w:val="000000"/>
              <w:sz w:val="20"/>
              <w:lang w:val="en-US"/>
            </w:rPr>
            <w:tab/>
            <w:t xml:space="preserve">D. D. Luxton, R. A. Kayl, and M. C. Mishkind, “MHealth data security: The need for HIPAA-compliant standardization,” </w:t>
          </w:r>
          <w:r w:rsidRPr="00E01C65">
            <w:rPr>
              <w:rFonts w:ascii="Times" w:eastAsia="Times New Roman" w:hAnsi="Times" w:cs="Times"/>
              <w:i/>
              <w:iCs/>
              <w:color w:val="000000"/>
              <w:sz w:val="20"/>
              <w:lang w:val="en-US"/>
            </w:rPr>
            <w:t>Telemedicine and e-Health</w:t>
          </w:r>
          <w:r w:rsidRPr="00E01C65">
            <w:rPr>
              <w:rFonts w:ascii="Times" w:eastAsia="Times New Roman" w:hAnsi="Times" w:cs="Times"/>
              <w:color w:val="000000"/>
              <w:sz w:val="20"/>
              <w:lang w:val="en-US"/>
            </w:rPr>
            <w:t>, vol. 18, no. 4, pp. 284–288, 2012, doi: 10.1089/tmj.2011.0180.</w:t>
          </w:r>
        </w:p>
        <w:p w14:paraId="5473D531" w14:textId="77777777" w:rsidR="00E01C65" w:rsidRPr="00E01C65" w:rsidRDefault="00E01C65">
          <w:pPr>
            <w:autoSpaceDE w:val="0"/>
            <w:autoSpaceDN w:val="0"/>
            <w:ind w:hanging="640"/>
            <w:divId w:val="1828398718"/>
            <w:rPr>
              <w:rFonts w:ascii="Times" w:eastAsia="Times New Roman" w:hAnsi="Times" w:cs="Times"/>
              <w:color w:val="000000"/>
              <w:sz w:val="20"/>
              <w:lang w:val="en-US"/>
            </w:rPr>
          </w:pPr>
          <w:r w:rsidRPr="00E01C65">
            <w:rPr>
              <w:rFonts w:ascii="Times" w:eastAsia="Times New Roman" w:hAnsi="Times" w:cs="Times"/>
              <w:color w:val="000000"/>
              <w:sz w:val="20"/>
              <w:lang w:val="en-US"/>
            </w:rPr>
            <w:t>[40]</w:t>
          </w:r>
          <w:r w:rsidRPr="00E01C65">
            <w:rPr>
              <w:rFonts w:ascii="Times" w:eastAsia="Times New Roman" w:hAnsi="Times" w:cs="Times"/>
              <w:color w:val="000000"/>
              <w:sz w:val="20"/>
              <w:lang w:val="en-US"/>
            </w:rPr>
            <w:tab/>
            <w:t xml:space="preserve">K. Escarfullet, C. Moore, S. Tucker, and J. Wei, “An object-oriented mobile health system with usability features,” </w:t>
          </w:r>
          <w:r w:rsidRPr="00E01C65">
            <w:rPr>
              <w:rFonts w:ascii="Times" w:eastAsia="Times New Roman" w:hAnsi="Times" w:cs="Times"/>
              <w:i/>
              <w:iCs/>
              <w:color w:val="000000"/>
              <w:sz w:val="20"/>
              <w:lang w:val="en-US"/>
            </w:rPr>
            <w:t>Int. J. Electron. Healthc.</w:t>
          </w:r>
          <w:r w:rsidRPr="00E01C65">
            <w:rPr>
              <w:rFonts w:ascii="Times" w:eastAsia="Times New Roman" w:hAnsi="Times" w:cs="Times"/>
              <w:color w:val="000000"/>
              <w:sz w:val="20"/>
              <w:lang w:val="en-US"/>
            </w:rPr>
            <w:t>, vol. 7, no. 1, pp. 53–67, 2012, doi: 10.1504/IJEH.2012.048669.</w:t>
          </w:r>
        </w:p>
        <w:p w14:paraId="7AC6AAFD" w14:textId="77777777" w:rsidR="00E01C65" w:rsidRPr="00E01C65" w:rsidRDefault="00E01C65">
          <w:pPr>
            <w:autoSpaceDE w:val="0"/>
            <w:autoSpaceDN w:val="0"/>
            <w:ind w:hanging="640"/>
            <w:divId w:val="961695334"/>
            <w:rPr>
              <w:rFonts w:ascii="Times" w:eastAsia="Times New Roman" w:hAnsi="Times" w:cs="Times"/>
              <w:color w:val="000000"/>
              <w:sz w:val="20"/>
              <w:lang w:val="en-US"/>
            </w:rPr>
          </w:pPr>
          <w:r w:rsidRPr="00E01C65">
            <w:rPr>
              <w:rFonts w:ascii="Times" w:eastAsia="Times New Roman" w:hAnsi="Times" w:cs="Times"/>
              <w:color w:val="000000"/>
              <w:sz w:val="20"/>
              <w:lang w:val="en-US"/>
            </w:rPr>
            <w:t>[41]</w:t>
          </w:r>
          <w:r w:rsidRPr="00E01C65">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329AA538" w14:textId="77777777" w:rsidR="00E01C65" w:rsidRPr="00E01C65" w:rsidRDefault="00E01C65">
          <w:pPr>
            <w:autoSpaceDE w:val="0"/>
            <w:autoSpaceDN w:val="0"/>
            <w:ind w:hanging="640"/>
            <w:divId w:val="931856649"/>
            <w:rPr>
              <w:rFonts w:ascii="Times" w:eastAsia="Times New Roman" w:hAnsi="Times" w:cs="Times"/>
              <w:color w:val="000000"/>
              <w:sz w:val="20"/>
              <w:lang w:val="en-US"/>
            </w:rPr>
          </w:pPr>
          <w:r w:rsidRPr="00E01C65">
            <w:rPr>
              <w:rFonts w:ascii="Times" w:eastAsia="Times New Roman" w:hAnsi="Times" w:cs="Times"/>
              <w:color w:val="000000"/>
              <w:sz w:val="20"/>
            </w:rPr>
            <w:t>[42]</w:t>
          </w:r>
          <w:r w:rsidRPr="00E01C65">
            <w:rPr>
              <w:rFonts w:ascii="Times" w:eastAsia="Times New Roman" w:hAnsi="Times" w:cs="Times"/>
              <w:color w:val="000000"/>
              <w:sz w:val="20"/>
            </w:rPr>
            <w:tab/>
            <w:t xml:space="preserve">C. Pardo, F. Pino, F. Garcia, M. Piattini, and J. Rosado, </w:t>
          </w:r>
          <w:r w:rsidRPr="00E01C65">
            <w:rPr>
              <w:rFonts w:ascii="Times" w:eastAsia="Times New Roman" w:hAnsi="Times" w:cs="Times"/>
              <w:i/>
              <w:iCs/>
              <w:color w:val="000000"/>
              <w:sz w:val="20"/>
            </w:rPr>
            <w:t>Armonizando ISO/IEC 20000 e ISO/IEC 27001 para integrar la gestión de servicios y la seguridad de la información.</w:t>
          </w:r>
          <w:r w:rsidRPr="00E01C65">
            <w:rPr>
              <w:rFonts w:ascii="Times" w:eastAsia="Times New Roman" w:hAnsi="Times" w:cs="Times"/>
              <w:color w:val="000000"/>
              <w:sz w:val="20"/>
            </w:rPr>
            <w:t xml:space="preserve"> </w:t>
          </w:r>
          <w:r w:rsidRPr="00E01C65">
            <w:rPr>
              <w:rFonts w:ascii="Times" w:eastAsia="Times New Roman" w:hAnsi="Times" w:cs="Times"/>
              <w:color w:val="000000"/>
              <w:sz w:val="20"/>
              <w:lang w:val="en-US"/>
            </w:rPr>
            <w:t>2010.</w:t>
          </w:r>
        </w:p>
        <w:p w14:paraId="71C1322D" w14:textId="77777777" w:rsidR="00E01C65" w:rsidRPr="00E01C65" w:rsidRDefault="00E01C65">
          <w:pPr>
            <w:autoSpaceDE w:val="0"/>
            <w:autoSpaceDN w:val="0"/>
            <w:ind w:hanging="640"/>
            <w:divId w:val="787772433"/>
            <w:rPr>
              <w:rFonts w:ascii="Times" w:eastAsia="Times New Roman" w:hAnsi="Times" w:cs="Times"/>
              <w:color w:val="000000"/>
              <w:sz w:val="20"/>
              <w:lang w:val="en-US"/>
            </w:rPr>
          </w:pPr>
          <w:r w:rsidRPr="00E01C65">
            <w:rPr>
              <w:rFonts w:ascii="Times" w:eastAsia="Times New Roman" w:hAnsi="Times" w:cs="Times"/>
              <w:color w:val="000000"/>
              <w:sz w:val="20"/>
              <w:lang w:val="en-US"/>
            </w:rPr>
            <w:t>[43]</w:t>
          </w:r>
          <w:r w:rsidRPr="00E01C65">
            <w:rPr>
              <w:rFonts w:ascii="Times" w:eastAsia="Times New Roman" w:hAnsi="Times" w:cs="Times"/>
              <w:color w:val="000000"/>
              <w:sz w:val="20"/>
              <w:lang w:val="en-US"/>
            </w:rPr>
            <w:tab/>
            <w:t xml:space="preserve">C. Pardo, F. Pino, F. Garcia, and M. Piattini, </w:t>
          </w:r>
          <w:r w:rsidRPr="00E01C65">
            <w:rPr>
              <w:rFonts w:ascii="Times" w:eastAsia="Times New Roman" w:hAnsi="Times" w:cs="Times"/>
              <w:i/>
              <w:iCs/>
              <w:color w:val="000000"/>
              <w:sz w:val="20"/>
              <w:lang w:val="en-US"/>
            </w:rPr>
            <w:t>Homogenization of Models to Support Multi-model Processes in Improvement Environments.</w:t>
          </w:r>
          <w:r w:rsidRPr="00E01C65">
            <w:rPr>
              <w:rFonts w:ascii="Times" w:eastAsia="Times New Roman" w:hAnsi="Times" w:cs="Times"/>
              <w:color w:val="000000"/>
              <w:sz w:val="20"/>
              <w:lang w:val="en-US"/>
            </w:rPr>
            <w:t>, vol. 1. 2009.</w:t>
          </w:r>
        </w:p>
        <w:p w14:paraId="1BAEEA93" w14:textId="77777777" w:rsidR="00E01C65" w:rsidRPr="00E01C65" w:rsidRDefault="00E01C65">
          <w:pPr>
            <w:autoSpaceDE w:val="0"/>
            <w:autoSpaceDN w:val="0"/>
            <w:ind w:hanging="640"/>
            <w:divId w:val="1321885273"/>
            <w:rPr>
              <w:rFonts w:ascii="Times" w:eastAsia="Times New Roman" w:hAnsi="Times" w:cs="Times"/>
              <w:color w:val="000000"/>
              <w:sz w:val="20"/>
              <w:lang w:val="en-US"/>
            </w:rPr>
          </w:pPr>
          <w:r w:rsidRPr="00E01C65">
            <w:rPr>
              <w:rFonts w:ascii="Times" w:eastAsia="Times New Roman" w:hAnsi="Times" w:cs="Times"/>
              <w:color w:val="000000"/>
              <w:sz w:val="20"/>
              <w:lang w:val="en-US"/>
            </w:rPr>
            <w:t>[44]</w:t>
          </w:r>
          <w:r w:rsidRPr="00E01C65">
            <w:rPr>
              <w:rFonts w:ascii="Times" w:eastAsia="Times New Roman" w:hAnsi="Times" w:cs="Times"/>
              <w:color w:val="000000"/>
              <w:sz w:val="20"/>
              <w:lang w:val="en-US"/>
            </w:rPr>
            <w:tab/>
            <w:t xml:space="preserve">F. J. Pino, M. T. Baldassarre, M. Piattini, and G. Visaggio, “Harmonizing maturity levels from CMMI-DEV and ISO/IEC 15504,” </w:t>
          </w:r>
          <w:r w:rsidRPr="00E01C65">
            <w:rPr>
              <w:rFonts w:ascii="Times" w:eastAsia="Times New Roman" w:hAnsi="Times" w:cs="Times"/>
              <w:i/>
              <w:iCs/>
              <w:color w:val="000000"/>
              <w:sz w:val="20"/>
              <w:lang w:val="en-US"/>
            </w:rPr>
            <w:t>Journal of Software Maintenance and Evolution: Research and Practice</w:t>
          </w:r>
          <w:r w:rsidRPr="00E01C65">
            <w:rPr>
              <w:rFonts w:ascii="Times" w:eastAsia="Times New Roman" w:hAnsi="Times" w:cs="Times"/>
              <w:color w:val="000000"/>
              <w:sz w:val="20"/>
              <w:lang w:val="en-US"/>
            </w:rPr>
            <w:t>, vol. 22, no. 4, pp. 279–296, Jun. 2010, doi: https://doi.org/10.1002/spip.437.</w:t>
          </w:r>
        </w:p>
        <w:p w14:paraId="1D848F19" w14:textId="2069D78E" w:rsidR="00A965E1" w:rsidRPr="00543D4F" w:rsidRDefault="00E01C65" w:rsidP="001C025D">
          <w:pPr>
            <w:jc w:val="both"/>
            <w:rPr>
              <w:rFonts w:ascii="Times" w:hAnsi="Times" w:cs="Times"/>
              <w:sz w:val="20"/>
              <w:szCs w:val="20"/>
              <w:lang w:val="en-US"/>
            </w:rPr>
          </w:pPr>
          <w:r w:rsidRPr="00E01C6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0A8ED" w14:textId="77777777" w:rsidR="00902DDE" w:rsidRDefault="00902DDE" w:rsidP="007A2CB8">
      <w:pPr>
        <w:spacing w:after="0" w:line="240" w:lineRule="auto"/>
      </w:pPr>
      <w:r>
        <w:separator/>
      </w:r>
    </w:p>
  </w:endnote>
  <w:endnote w:type="continuationSeparator" w:id="0">
    <w:p w14:paraId="7B638520" w14:textId="77777777" w:rsidR="00902DDE" w:rsidRDefault="00902DDE"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E0AFD" w14:textId="77777777" w:rsidR="00902DDE" w:rsidRDefault="00902DDE" w:rsidP="007A2CB8">
      <w:pPr>
        <w:spacing w:after="0" w:line="240" w:lineRule="auto"/>
      </w:pPr>
      <w:r>
        <w:separator/>
      </w:r>
    </w:p>
  </w:footnote>
  <w:footnote w:type="continuationSeparator" w:id="0">
    <w:p w14:paraId="5166BC77" w14:textId="77777777" w:rsidR="00902DDE" w:rsidRDefault="00902DDE" w:rsidP="007A2CB8">
      <w:pPr>
        <w:spacing w:after="0" w:line="240" w:lineRule="auto"/>
      </w:pPr>
      <w:r>
        <w:continuationSeparator/>
      </w:r>
    </w:p>
  </w:footnote>
  <w:footnote w:id="1">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16cid:durableId="695234864">
    <w:abstractNumId w:val="18"/>
  </w:num>
  <w:num w:numId="2" w16cid:durableId="2032143719">
    <w:abstractNumId w:val="10"/>
  </w:num>
  <w:num w:numId="3" w16cid:durableId="1029447858">
    <w:abstractNumId w:val="6"/>
  </w:num>
  <w:num w:numId="4" w16cid:durableId="1522626902">
    <w:abstractNumId w:val="9"/>
  </w:num>
  <w:num w:numId="5" w16cid:durableId="648875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69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9451470">
    <w:abstractNumId w:val="3"/>
  </w:num>
  <w:num w:numId="8" w16cid:durableId="1395423214">
    <w:abstractNumId w:val="16"/>
  </w:num>
  <w:num w:numId="9" w16cid:durableId="28705636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40919331">
    <w:abstractNumId w:val="5"/>
  </w:num>
  <w:num w:numId="11" w16cid:durableId="1147935316">
    <w:abstractNumId w:val="1"/>
  </w:num>
  <w:num w:numId="12" w16cid:durableId="1950579662">
    <w:abstractNumId w:val="2"/>
  </w:num>
  <w:num w:numId="13" w16cid:durableId="1103500715">
    <w:abstractNumId w:val="11"/>
  </w:num>
  <w:num w:numId="14" w16cid:durableId="20338719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63456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75062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279414">
    <w:abstractNumId w:val="19"/>
  </w:num>
  <w:num w:numId="18" w16cid:durableId="191648101">
    <w:abstractNumId w:val="0"/>
  </w:num>
  <w:num w:numId="19" w16cid:durableId="138158089">
    <w:abstractNumId w:val="4"/>
  </w:num>
  <w:num w:numId="20" w16cid:durableId="853805037">
    <w:abstractNumId w:val="7"/>
  </w:num>
  <w:num w:numId="21" w16cid:durableId="1344355970">
    <w:abstractNumId w:val="17"/>
  </w:num>
  <w:num w:numId="22" w16cid:durableId="14614192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0FAGi8AUYtAAAA"/>
  </w:docVars>
  <w:rsids>
    <w:rsidRoot w:val="00D21311"/>
    <w:rsid w:val="00046BCF"/>
    <w:rsid w:val="0006525D"/>
    <w:rsid w:val="00071EC7"/>
    <w:rsid w:val="00091619"/>
    <w:rsid w:val="000A1D1A"/>
    <w:rsid w:val="000B04E2"/>
    <w:rsid w:val="0011548D"/>
    <w:rsid w:val="00122C79"/>
    <w:rsid w:val="00137A4D"/>
    <w:rsid w:val="0017658C"/>
    <w:rsid w:val="0019445D"/>
    <w:rsid w:val="001A26B8"/>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4444"/>
    <w:rsid w:val="00775918"/>
    <w:rsid w:val="00784C39"/>
    <w:rsid w:val="007A2CB8"/>
    <w:rsid w:val="007B6D2F"/>
    <w:rsid w:val="007C6252"/>
    <w:rsid w:val="007D1758"/>
    <w:rsid w:val="007F17D3"/>
    <w:rsid w:val="00833D70"/>
    <w:rsid w:val="0085342F"/>
    <w:rsid w:val="00854FDF"/>
    <w:rsid w:val="0089486C"/>
    <w:rsid w:val="008A7F20"/>
    <w:rsid w:val="008B035B"/>
    <w:rsid w:val="008B155F"/>
    <w:rsid w:val="008C23ED"/>
    <w:rsid w:val="008D2AED"/>
    <w:rsid w:val="008D3834"/>
    <w:rsid w:val="008D7C41"/>
    <w:rsid w:val="008E0B63"/>
    <w:rsid w:val="008E2228"/>
    <w:rsid w:val="00902DDE"/>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3205C"/>
    <w:rsid w:val="002521E5"/>
    <w:rsid w:val="003073DE"/>
    <w:rsid w:val="00364B03"/>
    <w:rsid w:val="003E2785"/>
    <w:rsid w:val="00454357"/>
    <w:rsid w:val="00643779"/>
    <w:rsid w:val="0066596B"/>
    <w:rsid w:val="007366EE"/>
    <w:rsid w:val="00791B7E"/>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325075"/>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9</Pages>
  <Words>2989</Words>
  <Characters>18807</Characters>
  <Application>Microsoft Office Word</Application>
  <DocSecurity>0</DocSecurity>
  <Lines>494</Lines>
  <Paragraphs>389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131</cp:revision>
  <dcterms:created xsi:type="dcterms:W3CDTF">2026-02-01T03:12:00Z</dcterms:created>
  <dcterms:modified xsi:type="dcterms:W3CDTF">2026-02-12T13:00:00Z</dcterms:modified>
</cp:coreProperties>
</file>