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23BF433D"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5A14FD31"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713966" w:rsidRPr="00713966">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13C27E73"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00C3059A" w:rsidRPr="00C3059A">
        <w:rPr>
          <w:rFonts w:ascii="Times New Roman" w:eastAsia="Times New Roman" w:hAnsi="Times New Roman" w:cs="Times New Roman"/>
          <w:noProof/>
          <w:sz w:val="20"/>
          <w:szCs w:val="20"/>
          <w:vertAlign w:val="superscript"/>
          <w:lang w:val="en-US" w:eastAsia="de-DE"/>
        </w:rPr>
        <w:footnoteReference w:id="7"/>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5C40CCB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From SECM-CAT*, the audit is integrated into CI/CD pipelines</w:t>
      </w:r>
      <w:r w:rsidR="007945F9" w:rsidRPr="002A0307">
        <w:rPr>
          <w:rFonts w:ascii="Times New Roman" w:eastAsia="Times New Roman" w:hAnsi="Times New Roman" w:cs="Times New Roman"/>
          <w:noProof/>
          <w:sz w:val="20"/>
          <w:szCs w:val="20"/>
          <w:vertAlign w:val="superscript"/>
          <w:lang w:val="en-US" w:eastAsia="de-DE"/>
        </w:rPr>
        <w:footnoteReference w:id="8"/>
      </w:r>
      <w:r w:rsidRPr="00B11F2C">
        <w:rPr>
          <w:rFonts w:ascii="Times" w:eastAsia="Times New Roman" w:hAnsi="Times" w:cs="Times"/>
          <w:noProof/>
          <w:sz w:val="20"/>
          <w:szCs w:val="20"/>
          <w:lang w:val="en-US" w:eastAsia="de-DE"/>
        </w:rPr>
        <w:t xml:space="preserve">, supported by technical validations with specialized external tools for static and dynamic analysis, collecting evidence by execution, recording configuration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DF3AA6E"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77777777"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77777777"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Document derived from SECM-CAT* that consolidates the requirements to be evaluated in the mHealth application. It can adopt the most convenient format for the audited software, for example, a spreadsheet, online form, or other electronic or printed medium. In this work, the checklist is presented in printed format</w:t>
      </w:r>
      <w:r w:rsidRPr="002E19BD">
        <w:rPr>
          <w:rFonts w:ascii="Times" w:eastAsia="Times New Roman" w:hAnsi="Times" w:cs="Times"/>
          <w:sz w:val="20"/>
          <w:szCs w:val="20"/>
          <w:lang w:val="en-US" w:eastAsia="de-DE"/>
        </w:rPr>
        <w:t>.</w:t>
      </w:r>
    </w:p>
    <w:p w14:paraId="30C6F3CE"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 xml:space="preserve">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w:t>
      </w:r>
      <w:r w:rsidRPr="00740893">
        <w:rPr>
          <w:rFonts w:ascii="Times" w:eastAsia="Times New Roman" w:hAnsi="Times" w:cs="Times"/>
          <w:sz w:val="20"/>
          <w:szCs w:val="20"/>
          <w:lang w:val="en-US" w:eastAsia="de-DE"/>
        </w:rPr>
        <w:lastRenderedPageBreak/>
        <w:t>responsible parties, acceptance criteria, and an action plan for follow-up, revalidation, and closure, maintaining traceability with the SECM-CAT* list and its supporting evidence to substantiate decisions and external audits</w:t>
      </w:r>
      <w:r w:rsidRPr="002E19BD">
        <w:rPr>
          <w:rFonts w:ascii="Times" w:eastAsia="Times New Roman" w:hAnsi="Times" w:cs="Times"/>
          <w:sz w:val="20"/>
          <w:szCs w:val="20"/>
          <w:lang w:val="en-US" w:eastAsia="de-DE"/>
        </w:rPr>
        <w:t>.</w:t>
      </w:r>
    </w:p>
    <w:p w14:paraId="5B83F256"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 xml:space="preserve">Pipeline configuration files and scripts that allow the audit to be reproduced and demonstrate how the validations were executed and the artifacts generated.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46F80992"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 supporting the determinations in the checklist and audit summary. It includes, as applicable, outputs from static and dynamic analysis tools,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0C208219"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713966" w:rsidRPr="00713966">
            <w:rPr>
              <w:rFonts w:ascii="Times" w:hAnsi="Times" w:cs="Times"/>
              <w:color w:val="000000"/>
              <w:sz w:val="20"/>
              <w:lang w:val="en-US"/>
            </w:rPr>
            <w:t>[8]</w:t>
          </w:r>
        </w:sdtContent>
      </w:sdt>
    </w:p>
    <w:p w14:paraId="2E099B89" w14:textId="7DC1354A"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713966" w:rsidRPr="00713966">
            <w:rPr>
              <w:rFonts w:ascii="Times" w:hAnsi="Times" w:cs="Times"/>
              <w:color w:val="000000"/>
              <w:sz w:val="20"/>
              <w:lang w:val="en-US"/>
            </w:rPr>
            <w:t>[9], [10]</w:t>
          </w:r>
        </w:sdtContent>
      </w:sdt>
      <w:r>
        <w:rPr>
          <w:rFonts w:ascii="Times" w:hAnsi="Times" w:cs="Times"/>
          <w:color w:val="000000"/>
          <w:sz w:val="20"/>
          <w:lang w:val="en-US"/>
        </w:rPr>
        <w:t>.</w:t>
      </w:r>
    </w:p>
    <w:p w14:paraId="41A09E07" w14:textId="387B34CD"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713966" w:rsidRPr="00713966">
            <w:rPr>
              <w:rFonts w:ascii="Times" w:hAnsi="Times" w:cs="Times"/>
              <w:color w:val="000000"/>
              <w:sz w:val="20"/>
              <w:lang w:val="en-US"/>
            </w:rPr>
            <w:t>[11]</w:t>
          </w:r>
        </w:sdtContent>
      </w:sdt>
    </w:p>
    <w:p w14:paraId="49DB426B" w14:textId="797B8A3F"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713966" w:rsidRPr="00713966">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4BA69FB2"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713966" w:rsidRPr="00713966">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9"/>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As a result, the workflow publishes primary deliverables and supporting evidence. The primary deliverables include the compliance checklist and the final Audit Summary.docx report. Supporting evidence is grouped into an evidence pack 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ECA66D1" w14:textId="77777777" w:rsidR="00713966" w:rsidRPr="00713966" w:rsidRDefault="00713966">
          <w:pPr>
            <w:autoSpaceDE w:val="0"/>
            <w:autoSpaceDN w:val="0"/>
            <w:ind w:hanging="640"/>
            <w:divId w:val="1310015411"/>
            <w:rPr>
              <w:rFonts w:ascii="Times" w:eastAsia="Times New Roman" w:hAnsi="Times" w:cs="Times"/>
              <w:color w:val="000000"/>
              <w:sz w:val="20"/>
              <w:szCs w:val="24"/>
              <w:lang w:val="en-US"/>
            </w:rPr>
          </w:pPr>
          <w:r w:rsidRPr="00713966">
            <w:rPr>
              <w:rFonts w:ascii="Times" w:eastAsia="Times New Roman" w:hAnsi="Times" w:cs="Times"/>
              <w:color w:val="000000"/>
              <w:sz w:val="20"/>
              <w:lang w:val="en-US"/>
            </w:rPr>
            <w:t>[1]</w:t>
          </w:r>
          <w:r w:rsidRPr="00713966">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25D72E61" w14:textId="77777777" w:rsidR="00713966" w:rsidRPr="00713966" w:rsidRDefault="00713966">
          <w:pPr>
            <w:autoSpaceDE w:val="0"/>
            <w:autoSpaceDN w:val="0"/>
            <w:ind w:hanging="640"/>
            <w:divId w:val="1589122304"/>
            <w:rPr>
              <w:rFonts w:ascii="Times" w:eastAsia="Times New Roman" w:hAnsi="Times" w:cs="Times"/>
              <w:color w:val="000000"/>
              <w:sz w:val="20"/>
              <w:lang w:val="en-US"/>
            </w:rPr>
          </w:pPr>
          <w:r w:rsidRPr="00713966">
            <w:rPr>
              <w:rFonts w:ascii="Times" w:eastAsia="Times New Roman" w:hAnsi="Times" w:cs="Times"/>
              <w:color w:val="000000"/>
              <w:sz w:val="20"/>
              <w:lang w:val="en-US"/>
            </w:rPr>
            <w:t>[2]</w:t>
          </w:r>
          <w:r w:rsidRPr="00713966">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4B1AF988" w14:textId="77777777" w:rsidR="00713966" w:rsidRPr="00713966" w:rsidRDefault="00713966">
          <w:pPr>
            <w:autoSpaceDE w:val="0"/>
            <w:autoSpaceDN w:val="0"/>
            <w:ind w:hanging="640"/>
            <w:divId w:val="1012680180"/>
            <w:rPr>
              <w:rFonts w:ascii="Times" w:eastAsia="Times New Roman" w:hAnsi="Times" w:cs="Times"/>
              <w:color w:val="000000"/>
              <w:sz w:val="20"/>
              <w:lang w:val="en-US"/>
            </w:rPr>
          </w:pPr>
          <w:r w:rsidRPr="00713966">
            <w:rPr>
              <w:rFonts w:ascii="Times" w:eastAsia="Times New Roman" w:hAnsi="Times" w:cs="Times"/>
              <w:color w:val="000000"/>
              <w:sz w:val="20"/>
              <w:lang w:val="en-US"/>
            </w:rPr>
            <w:t>[3]</w:t>
          </w:r>
          <w:r w:rsidRPr="00713966">
            <w:rPr>
              <w:rFonts w:ascii="Times" w:eastAsia="Times New Roman" w:hAnsi="Times" w:cs="Times"/>
              <w:color w:val="000000"/>
              <w:sz w:val="20"/>
              <w:lang w:val="en-US"/>
            </w:rPr>
            <w:tab/>
            <w:t>T. A. I. of CPAs, “AICPA &amp; CIMA.” [Online]. Available: https://www.aicpa-cima.com/topic/audit-assurance/audit-and-assurance-greater-than-soc-3</w:t>
          </w:r>
        </w:p>
        <w:p w14:paraId="64E3BC62" w14:textId="77777777" w:rsidR="00713966" w:rsidRPr="00713966" w:rsidRDefault="00713966">
          <w:pPr>
            <w:autoSpaceDE w:val="0"/>
            <w:autoSpaceDN w:val="0"/>
            <w:ind w:hanging="640"/>
            <w:divId w:val="1367487811"/>
            <w:rPr>
              <w:rFonts w:ascii="Times" w:eastAsia="Times New Roman" w:hAnsi="Times" w:cs="Times"/>
              <w:color w:val="000000"/>
              <w:sz w:val="20"/>
              <w:lang w:val="en-US"/>
            </w:rPr>
          </w:pPr>
          <w:r w:rsidRPr="00713966">
            <w:rPr>
              <w:rFonts w:ascii="Times" w:eastAsia="Times New Roman" w:hAnsi="Times" w:cs="Times"/>
              <w:color w:val="000000"/>
              <w:sz w:val="20"/>
              <w:lang w:val="en-US"/>
            </w:rPr>
            <w:t>[4]</w:t>
          </w:r>
          <w:r w:rsidRPr="00713966">
            <w:rPr>
              <w:rFonts w:ascii="Times" w:eastAsia="Times New Roman" w:hAnsi="Times" w:cs="Times"/>
              <w:color w:val="000000"/>
              <w:sz w:val="20"/>
              <w:lang w:val="en-US"/>
            </w:rPr>
            <w:tab/>
            <w:t xml:space="preserve">M. A. Martínez, J. Lasheras, E. Fernández-Medina, A. Toval, and M. Piattini, “A Personal Data Audit Method through Requirements Engineering,” </w:t>
          </w:r>
          <w:r w:rsidRPr="00713966">
            <w:rPr>
              <w:rFonts w:ascii="Times" w:eastAsia="Times New Roman" w:hAnsi="Times" w:cs="Times"/>
              <w:i/>
              <w:iCs/>
              <w:color w:val="000000"/>
              <w:sz w:val="20"/>
              <w:lang w:val="en-US"/>
            </w:rPr>
            <w:t>Comput. Stand. Interfaces</w:t>
          </w:r>
          <w:r w:rsidRPr="00713966">
            <w:rPr>
              <w:rFonts w:ascii="Times" w:eastAsia="Times New Roman" w:hAnsi="Times" w:cs="Times"/>
              <w:color w:val="000000"/>
              <w:sz w:val="20"/>
              <w:lang w:val="en-US"/>
            </w:rPr>
            <w:t>, vol. 32, no. 4, pp. 166–178, 2010, doi: https://doi.org/10.1016/j.csi.2010.01.001.</w:t>
          </w:r>
        </w:p>
        <w:p w14:paraId="0FBEDD9C" w14:textId="77777777" w:rsidR="00713966" w:rsidRPr="00713966" w:rsidRDefault="00713966">
          <w:pPr>
            <w:autoSpaceDE w:val="0"/>
            <w:autoSpaceDN w:val="0"/>
            <w:ind w:hanging="640"/>
            <w:divId w:val="1418555001"/>
            <w:rPr>
              <w:rFonts w:ascii="Times" w:eastAsia="Times New Roman" w:hAnsi="Times" w:cs="Times"/>
              <w:color w:val="000000"/>
              <w:sz w:val="20"/>
              <w:lang w:val="en-US"/>
            </w:rPr>
          </w:pPr>
          <w:r w:rsidRPr="00713966">
            <w:rPr>
              <w:rFonts w:ascii="Times" w:eastAsia="Times New Roman" w:hAnsi="Times" w:cs="Times"/>
              <w:color w:val="000000"/>
              <w:sz w:val="20"/>
              <w:lang w:val="en-US"/>
            </w:rPr>
            <w:t>[5]</w:t>
          </w:r>
          <w:r w:rsidRPr="00713966">
            <w:rPr>
              <w:rFonts w:ascii="Times" w:eastAsia="Times New Roman" w:hAnsi="Times" w:cs="Times"/>
              <w:color w:val="000000"/>
              <w:sz w:val="20"/>
              <w:lang w:val="en-US"/>
            </w:rPr>
            <w:tab/>
            <w:t xml:space="preserve">M. A. Aguilar, A. Toval, and M. Campos, </w:t>
          </w:r>
          <w:r w:rsidRPr="00713966">
            <w:rPr>
              <w:rFonts w:ascii="Times" w:eastAsia="Times New Roman" w:hAnsi="Times" w:cs="Times"/>
              <w:i/>
              <w:iCs/>
              <w:color w:val="000000"/>
              <w:sz w:val="20"/>
              <w:lang w:val="en-US"/>
            </w:rPr>
            <w:t>Requirements Engineering to Audit Privacy Issues in Medical and Health Software.</w:t>
          </w:r>
          <w:r w:rsidRPr="00713966">
            <w:rPr>
              <w:rFonts w:ascii="Times" w:eastAsia="Times New Roman" w:hAnsi="Times" w:cs="Times"/>
              <w:color w:val="000000"/>
              <w:sz w:val="20"/>
              <w:lang w:val="en-US"/>
            </w:rPr>
            <w:t xml:space="preserve"> 2008.</w:t>
          </w:r>
        </w:p>
        <w:p w14:paraId="284873A1" w14:textId="77777777" w:rsidR="00713966" w:rsidRPr="00713966" w:rsidRDefault="00713966">
          <w:pPr>
            <w:autoSpaceDE w:val="0"/>
            <w:autoSpaceDN w:val="0"/>
            <w:ind w:hanging="640"/>
            <w:divId w:val="794564190"/>
            <w:rPr>
              <w:rFonts w:ascii="Times" w:eastAsia="Times New Roman" w:hAnsi="Times" w:cs="Times"/>
              <w:color w:val="000000"/>
              <w:sz w:val="20"/>
              <w:lang w:val="en-US"/>
            </w:rPr>
          </w:pPr>
          <w:r w:rsidRPr="00713966">
            <w:rPr>
              <w:rFonts w:ascii="Times" w:eastAsia="Times New Roman" w:hAnsi="Times" w:cs="Times"/>
              <w:color w:val="000000"/>
              <w:sz w:val="20"/>
              <w:lang w:val="en-US"/>
            </w:rPr>
            <w:t>[6]</w:t>
          </w:r>
          <w:r w:rsidRPr="00713966">
            <w:rPr>
              <w:rFonts w:ascii="Times" w:eastAsia="Times New Roman" w:hAnsi="Times" w:cs="Times"/>
              <w:color w:val="000000"/>
              <w:sz w:val="20"/>
              <w:lang w:val="en-US"/>
            </w:rPr>
            <w:tab/>
            <w:t xml:space="preserve">B. Cruz Zapata, J. L. Fernández-Alemán, A. Toval, and A. Idri, “Reusable Software Usability Specifications for mHealth Applications,” </w:t>
          </w:r>
          <w:r w:rsidRPr="00713966">
            <w:rPr>
              <w:rFonts w:ascii="Times" w:eastAsia="Times New Roman" w:hAnsi="Times" w:cs="Times"/>
              <w:i/>
              <w:iCs/>
              <w:color w:val="000000"/>
              <w:sz w:val="20"/>
              <w:lang w:val="en-US"/>
            </w:rPr>
            <w:t>J. Med. Syst.</w:t>
          </w:r>
          <w:r w:rsidRPr="00713966">
            <w:rPr>
              <w:rFonts w:ascii="Times" w:eastAsia="Times New Roman" w:hAnsi="Times" w:cs="Times"/>
              <w:color w:val="000000"/>
              <w:sz w:val="20"/>
              <w:lang w:val="en-US"/>
            </w:rPr>
            <w:t>, vol. 42, no. 3, p. 45, 2018, doi: 10.1007/s10916-018-0902-0.</w:t>
          </w:r>
        </w:p>
        <w:p w14:paraId="7E88A5AD" w14:textId="77777777" w:rsidR="00713966" w:rsidRPr="00713966" w:rsidRDefault="00713966">
          <w:pPr>
            <w:autoSpaceDE w:val="0"/>
            <w:autoSpaceDN w:val="0"/>
            <w:ind w:hanging="640"/>
            <w:divId w:val="664941932"/>
            <w:rPr>
              <w:rFonts w:ascii="Times" w:eastAsia="Times New Roman" w:hAnsi="Times" w:cs="Times"/>
              <w:color w:val="000000"/>
              <w:sz w:val="20"/>
              <w:lang w:val="en-US"/>
            </w:rPr>
          </w:pPr>
          <w:r w:rsidRPr="00713966">
            <w:rPr>
              <w:rFonts w:ascii="Times" w:eastAsia="Times New Roman" w:hAnsi="Times" w:cs="Times"/>
              <w:color w:val="000000"/>
              <w:sz w:val="20"/>
              <w:lang w:val="en-US"/>
            </w:rPr>
            <w:t>[7]</w:t>
          </w:r>
          <w:r w:rsidRPr="00713966">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713966">
            <w:rPr>
              <w:rFonts w:ascii="Times" w:eastAsia="Times New Roman" w:hAnsi="Times" w:cs="Times"/>
              <w:i/>
              <w:iCs/>
              <w:color w:val="000000"/>
              <w:sz w:val="20"/>
              <w:lang w:val="en-US"/>
            </w:rPr>
            <w:t>Int. J. Med. Inform.</w:t>
          </w:r>
          <w:r w:rsidRPr="00713966">
            <w:rPr>
              <w:rFonts w:ascii="Times" w:eastAsia="Times New Roman" w:hAnsi="Times" w:cs="Times"/>
              <w:color w:val="000000"/>
              <w:sz w:val="20"/>
              <w:lang w:val="en-US"/>
            </w:rPr>
            <w:t>, vol. 194, p. 105699, 2025, doi: https://doi.org/10.1016/j.ijmedinf.2024.105699.</w:t>
          </w:r>
        </w:p>
        <w:p w14:paraId="5B48D4E8" w14:textId="77777777" w:rsidR="00713966" w:rsidRPr="00713966" w:rsidRDefault="00713966">
          <w:pPr>
            <w:autoSpaceDE w:val="0"/>
            <w:autoSpaceDN w:val="0"/>
            <w:ind w:hanging="640"/>
            <w:divId w:val="2122988726"/>
            <w:rPr>
              <w:rFonts w:ascii="Times" w:eastAsia="Times New Roman" w:hAnsi="Times" w:cs="Times"/>
              <w:color w:val="000000"/>
              <w:sz w:val="20"/>
              <w:lang w:val="en-US"/>
            </w:rPr>
          </w:pPr>
          <w:r w:rsidRPr="00713966">
            <w:rPr>
              <w:rFonts w:ascii="Times" w:eastAsia="Times New Roman" w:hAnsi="Times" w:cs="Times"/>
              <w:color w:val="000000"/>
              <w:sz w:val="20"/>
              <w:lang w:val="en-US"/>
            </w:rPr>
            <w:t>[8]</w:t>
          </w:r>
          <w:r w:rsidRPr="00713966">
            <w:rPr>
              <w:rFonts w:ascii="Times" w:eastAsia="Times New Roman" w:hAnsi="Times" w:cs="Times"/>
              <w:color w:val="000000"/>
              <w:sz w:val="20"/>
              <w:lang w:val="en-US"/>
            </w:rPr>
            <w:tab/>
            <w:t xml:space="preserve">P. Krishnan, C. Cifuentes, L. Li, T. F. Bissyande, and J. Klein, “Why Is Static Application Security Testing Hard to Learn?,” </w:t>
          </w:r>
          <w:r w:rsidRPr="00713966">
            <w:rPr>
              <w:rFonts w:ascii="Times" w:eastAsia="Times New Roman" w:hAnsi="Times" w:cs="Times"/>
              <w:i/>
              <w:iCs/>
              <w:color w:val="000000"/>
              <w:sz w:val="20"/>
              <w:lang w:val="en-US"/>
            </w:rPr>
            <w:t>IEEE Secur. Priv.</w:t>
          </w:r>
          <w:r w:rsidRPr="00713966">
            <w:rPr>
              <w:rFonts w:ascii="Times" w:eastAsia="Times New Roman" w:hAnsi="Times" w:cs="Times"/>
              <w:color w:val="000000"/>
              <w:sz w:val="20"/>
              <w:lang w:val="en-US"/>
            </w:rPr>
            <w:t>, vol. 21, no. 5, pp. 68–72, 2023, doi: 10.1109/MSEC.2023.3287206.</w:t>
          </w:r>
        </w:p>
        <w:p w14:paraId="141CBA40" w14:textId="77777777" w:rsidR="00713966" w:rsidRPr="00713966" w:rsidRDefault="00713966">
          <w:pPr>
            <w:autoSpaceDE w:val="0"/>
            <w:autoSpaceDN w:val="0"/>
            <w:ind w:hanging="640"/>
            <w:divId w:val="669140412"/>
            <w:rPr>
              <w:rFonts w:ascii="Times" w:eastAsia="Times New Roman" w:hAnsi="Times" w:cs="Times"/>
              <w:color w:val="000000"/>
              <w:sz w:val="20"/>
              <w:lang w:val="en-US"/>
            </w:rPr>
          </w:pPr>
          <w:r w:rsidRPr="00713966">
            <w:rPr>
              <w:rFonts w:ascii="Times" w:eastAsia="Times New Roman" w:hAnsi="Times" w:cs="Times"/>
              <w:color w:val="000000"/>
              <w:sz w:val="20"/>
              <w:lang w:val="en-US"/>
            </w:rPr>
            <w:t>[9]</w:t>
          </w:r>
          <w:r w:rsidRPr="00713966">
            <w:rPr>
              <w:rFonts w:ascii="Times" w:eastAsia="Times New Roman" w:hAnsi="Times" w:cs="Times"/>
              <w:color w:val="000000"/>
              <w:sz w:val="20"/>
              <w:lang w:val="en-US"/>
            </w:rPr>
            <w:tab/>
            <w:t xml:space="preserve">C. Cifuentes, F. Gauthier, B. Hassanshahi, P. Krishnan, and D. McCall, “The role of program analysis in security vulnerability detection: Then and now,” </w:t>
          </w:r>
          <w:r w:rsidRPr="00713966">
            <w:rPr>
              <w:rFonts w:ascii="Times" w:eastAsia="Times New Roman" w:hAnsi="Times" w:cs="Times"/>
              <w:i/>
              <w:iCs/>
              <w:color w:val="000000"/>
              <w:sz w:val="20"/>
              <w:lang w:val="en-US"/>
            </w:rPr>
            <w:t>Comput. Secur.</w:t>
          </w:r>
          <w:r w:rsidRPr="00713966">
            <w:rPr>
              <w:rFonts w:ascii="Times" w:eastAsia="Times New Roman" w:hAnsi="Times" w:cs="Times"/>
              <w:color w:val="000000"/>
              <w:sz w:val="20"/>
              <w:lang w:val="en-US"/>
            </w:rPr>
            <w:t>, vol. 135, 2023, doi: 10.1016/j.cose.2023.103463.</w:t>
          </w:r>
        </w:p>
        <w:p w14:paraId="2D21E74B" w14:textId="77777777" w:rsidR="00713966" w:rsidRPr="00713966" w:rsidRDefault="00713966">
          <w:pPr>
            <w:autoSpaceDE w:val="0"/>
            <w:autoSpaceDN w:val="0"/>
            <w:ind w:hanging="640"/>
            <w:divId w:val="1722631262"/>
            <w:rPr>
              <w:rFonts w:ascii="Times" w:eastAsia="Times New Roman" w:hAnsi="Times" w:cs="Times"/>
              <w:color w:val="000000"/>
              <w:sz w:val="20"/>
              <w:lang w:val="en-US"/>
            </w:rPr>
          </w:pPr>
          <w:r w:rsidRPr="00713966">
            <w:rPr>
              <w:rFonts w:ascii="Times" w:eastAsia="Times New Roman" w:hAnsi="Times" w:cs="Times"/>
              <w:color w:val="000000"/>
              <w:sz w:val="20"/>
              <w:lang w:val="en-US"/>
            </w:rPr>
            <w:t>[10]</w:t>
          </w:r>
          <w:r w:rsidRPr="00713966">
            <w:rPr>
              <w:rFonts w:ascii="Times" w:eastAsia="Times New Roman" w:hAnsi="Times" w:cs="Times"/>
              <w:color w:val="000000"/>
              <w:sz w:val="20"/>
              <w:lang w:val="en-US"/>
            </w:rPr>
            <w:tab/>
            <w:t xml:space="preserve">S. Pfeiffer, S. Unger, D. Timmermann, and A. Lehmann, “Secure information flow awareness for smart wireless eHealth systems,” in </w:t>
          </w:r>
          <w:r w:rsidRPr="00713966">
            <w:rPr>
              <w:rFonts w:ascii="Times" w:eastAsia="Times New Roman" w:hAnsi="Times" w:cs="Times"/>
              <w:i/>
              <w:iCs/>
              <w:color w:val="000000"/>
              <w:sz w:val="20"/>
              <w:lang w:val="en-US"/>
            </w:rPr>
            <w:t>International Multi-Conference on Systems, Signals and Devices, SSD 2012 - Summary Proceedings</w:t>
          </w:r>
          <w:r w:rsidRPr="00713966">
            <w:rPr>
              <w:rFonts w:ascii="Times" w:eastAsia="Times New Roman" w:hAnsi="Times" w:cs="Times"/>
              <w:color w:val="000000"/>
              <w:sz w:val="20"/>
              <w:lang w:val="en-US"/>
            </w:rPr>
            <w:t>, 2012. doi: 10.1109/SSD.2012.6198123.</w:t>
          </w:r>
        </w:p>
        <w:p w14:paraId="08B2EB03" w14:textId="77777777" w:rsidR="00713966" w:rsidRPr="00713966" w:rsidRDefault="00713966">
          <w:pPr>
            <w:autoSpaceDE w:val="0"/>
            <w:autoSpaceDN w:val="0"/>
            <w:ind w:hanging="640"/>
            <w:divId w:val="1904632531"/>
            <w:rPr>
              <w:rFonts w:ascii="Times" w:eastAsia="Times New Roman" w:hAnsi="Times" w:cs="Times"/>
              <w:color w:val="000000"/>
              <w:sz w:val="20"/>
              <w:lang w:val="en-US"/>
            </w:rPr>
          </w:pPr>
          <w:r w:rsidRPr="00713966">
            <w:rPr>
              <w:rFonts w:ascii="Times" w:eastAsia="Times New Roman" w:hAnsi="Times" w:cs="Times"/>
              <w:color w:val="000000"/>
              <w:sz w:val="20"/>
              <w:lang w:val="en-US"/>
            </w:rPr>
            <w:t>[11]</w:t>
          </w:r>
          <w:r w:rsidRPr="00713966">
            <w:rPr>
              <w:rFonts w:ascii="Times" w:eastAsia="Times New Roman" w:hAnsi="Times" w:cs="Times"/>
              <w:color w:val="000000"/>
              <w:sz w:val="20"/>
              <w:lang w:val="en-US"/>
            </w:rPr>
            <w:tab/>
            <w:t xml:space="preserve">F. M. Tudela, J. R. B. Higuera, J. B. Higuera, J. A. S. Montalvo, and M. I. Argyros, “On Combining Static, Dynamic and Interactive Analysis Security Testing Tools to Improve OWASP Top Ten Security Vulnerability Detection in Web Applications,” </w:t>
          </w:r>
          <w:r w:rsidRPr="00713966">
            <w:rPr>
              <w:rFonts w:ascii="Times" w:eastAsia="Times New Roman" w:hAnsi="Times" w:cs="Times"/>
              <w:i/>
              <w:iCs/>
              <w:color w:val="000000"/>
              <w:sz w:val="20"/>
              <w:lang w:val="en-US"/>
            </w:rPr>
            <w:t>APPLIED SCIENCES-BASEL</w:t>
          </w:r>
          <w:r w:rsidRPr="00713966">
            <w:rPr>
              <w:rFonts w:ascii="Times" w:eastAsia="Times New Roman" w:hAnsi="Times" w:cs="Times"/>
              <w:color w:val="000000"/>
              <w:sz w:val="20"/>
              <w:lang w:val="en-US"/>
            </w:rPr>
            <w:t>, vol. 10, no. 24, 2020, doi: 10.3390/app10249119.</w:t>
          </w:r>
        </w:p>
        <w:p w14:paraId="52EE7F7F" w14:textId="77777777" w:rsidR="00713966" w:rsidRPr="00713966" w:rsidRDefault="00713966">
          <w:pPr>
            <w:autoSpaceDE w:val="0"/>
            <w:autoSpaceDN w:val="0"/>
            <w:ind w:hanging="640"/>
            <w:divId w:val="1329479729"/>
            <w:rPr>
              <w:rFonts w:ascii="Times" w:eastAsia="Times New Roman" w:hAnsi="Times" w:cs="Times"/>
              <w:color w:val="000000"/>
              <w:sz w:val="20"/>
              <w:lang w:val="en-US"/>
            </w:rPr>
          </w:pPr>
          <w:r w:rsidRPr="00713966">
            <w:rPr>
              <w:rFonts w:ascii="Times" w:eastAsia="Times New Roman" w:hAnsi="Times" w:cs="Times"/>
              <w:color w:val="000000"/>
              <w:sz w:val="20"/>
              <w:lang w:val="en-US"/>
            </w:rPr>
            <w:t>[12]</w:t>
          </w:r>
          <w:r w:rsidRPr="00713966">
            <w:rPr>
              <w:rFonts w:ascii="Times" w:eastAsia="Times New Roman" w:hAnsi="Times" w:cs="Times"/>
              <w:color w:val="000000"/>
              <w:sz w:val="20"/>
              <w:lang w:val="en-US"/>
            </w:rPr>
            <w:tab/>
            <w:t xml:space="preserve">V. Casola, A. De Benedictis, C. Mazzocca, and V. Orbinato, “Secure software development and testing: A model-based methodology,” </w:t>
          </w:r>
          <w:r w:rsidRPr="00713966">
            <w:rPr>
              <w:rFonts w:ascii="Times" w:eastAsia="Times New Roman" w:hAnsi="Times" w:cs="Times"/>
              <w:i/>
              <w:iCs/>
              <w:color w:val="000000"/>
              <w:sz w:val="20"/>
              <w:lang w:val="en-US"/>
            </w:rPr>
            <w:t>Comput. Secur.</w:t>
          </w:r>
          <w:r w:rsidRPr="00713966">
            <w:rPr>
              <w:rFonts w:ascii="Times" w:eastAsia="Times New Roman" w:hAnsi="Times" w:cs="Times"/>
              <w:color w:val="000000"/>
              <w:sz w:val="20"/>
              <w:lang w:val="en-US"/>
            </w:rPr>
            <w:t>, vol. 137, p. 103639, 2024, doi: https://doi.org/10.1016/j.cose.2023.103639.</w:t>
          </w:r>
        </w:p>
        <w:p w14:paraId="229E07D3" w14:textId="77777777" w:rsidR="00713966" w:rsidRPr="00713966" w:rsidRDefault="00713966">
          <w:pPr>
            <w:autoSpaceDE w:val="0"/>
            <w:autoSpaceDN w:val="0"/>
            <w:ind w:hanging="640"/>
            <w:divId w:val="799736177"/>
            <w:rPr>
              <w:rFonts w:ascii="Times" w:eastAsia="Times New Roman" w:hAnsi="Times" w:cs="Times"/>
              <w:color w:val="000000"/>
              <w:sz w:val="20"/>
            </w:rPr>
          </w:pPr>
          <w:r w:rsidRPr="00713966">
            <w:rPr>
              <w:rFonts w:ascii="Times" w:eastAsia="Times New Roman" w:hAnsi="Times" w:cs="Times"/>
              <w:color w:val="000000"/>
              <w:sz w:val="20"/>
              <w:lang w:val="en-US"/>
            </w:rPr>
            <w:t>[13]</w:t>
          </w:r>
          <w:r w:rsidRPr="00713966">
            <w:rPr>
              <w:rFonts w:ascii="Times" w:eastAsia="Times New Roman" w:hAnsi="Times" w:cs="Times"/>
              <w:color w:val="000000"/>
              <w:sz w:val="20"/>
              <w:lang w:val="en-US"/>
            </w:rPr>
            <w:tab/>
            <w:t xml:space="preserve">A. Nguyen-Duc, M. V. Do, Q. Luong Hong, K. Nguyen Khac, and A. Nguyen Quang, “On the adoption of static analysis for software security assessment–A case study of an open-source e-government project,” </w:t>
          </w:r>
          <w:r w:rsidRPr="00713966">
            <w:rPr>
              <w:rFonts w:ascii="Times" w:eastAsia="Times New Roman" w:hAnsi="Times" w:cs="Times"/>
              <w:i/>
              <w:iCs/>
              <w:color w:val="000000"/>
              <w:sz w:val="20"/>
              <w:lang w:val="en-US"/>
            </w:rPr>
            <w:t xml:space="preserve">Comput. </w:t>
          </w:r>
          <w:r w:rsidRPr="00713966">
            <w:rPr>
              <w:rFonts w:ascii="Times" w:eastAsia="Times New Roman" w:hAnsi="Times" w:cs="Times"/>
              <w:i/>
              <w:iCs/>
              <w:color w:val="000000"/>
              <w:sz w:val="20"/>
            </w:rPr>
            <w:t>Secur.</w:t>
          </w:r>
          <w:r w:rsidRPr="00713966">
            <w:rPr>
              <w:rFonts w:ascii="Times" w:eastAsia="Times New Roman" w:hAnsi="Times" w:cs="Times"/>
              <w:color w:val="000000"/>
              <w:sz w:val="20"/>
            </w:rPr>
            <w:t xml:space="preserve">, vol. 111, p. 102470, 2021, </w:t>
          </w:r>
          <w:proofErr w:type="spellStart"/>
          <w:r w:rsidRPr="00713966">
            <w:rPr>
              <w:rFonts w:ascii="Times" w:eastAsia="Times New Roman" w:hAnsi="Times" w:cs="Times"/>
              <w:color w:val="000000"/>
              <w:sz w:val="20"/>
            </w:rPr>
            <w:t>doi</w:t>
          </w:r>
          <w:proofErr w:type="spellEnd"/>
          <w:r w:rsidRPr="00713966">
            <w:rPr>
              <w:rFonts w:ascii="Times" w:eastAsia="Times New Roman" w:hAnsi="Times" w:cs="Times"/>
              <w:color w:val="000000"/>
              <w:sz w:val="20"/>
            </w:rPr>
            <w:t>: https://doi.org/10.1016/j.cose.2021.102470.</w:t>
          </w:r>
        </w:p>
        <w:p w14:paraId="239EF794" w14:textId="77777777" w:rsidR="00713966" w:rsidRPr="00713966" w:rsidRDefault="00713966">
          <w:pPr>
            <w:autoSpaceDE w:val="0"/>
            <w:autoSpaceDN w:val="0"/>
            <w:ind w:hanging="640"/>
            <w:divId w:val="1563976942"/>
            <w:rPr>
              <w:rFonts w:ascii="Times" w:eastAsia="Times New Roman" w:hAnsi="Times" w:cs="Times"/>
              <w:color w:val="000000"/>
              <w:sz w:val="20"/>
              <w:lang w:val="en-US"/>
            </w:rPr>
          </w:pPr>
          <w:r w:rsidRPr="00713966">
            <w:rPr>
              <w:rFonts w:ascii="Times" w:eastAsia="Times New Roman" w:hAnsi="Times" w:cs="Times"/>
              <w:color w:val="000000"/>
              <w:sz w:val="20"/>
            </w:rPr>
            <w:lastRenderedPageBreak/>
            <w:t>[14]</w:t>
          </w:r>
          <w:r w:rsidRPr="00713966">
            <w:rPr>
              <w:rFonts w:ascii="Times" w:eastAsia="Times New Roman" w:hAnsi="Times" w:cs="Times"/>
              <w:color w:val="000000"/>
              <w:sz w:val="20"/>
            </w:rPr>
            <w:tab/>
            <w:t xml:space="preserve">C. M. Mejía-Granda, “Desarrollo de servicios web REST ‘inseguros’ para </w:t>
          </w:r>
          <w:proofErr w:type="spellStart"/>
          <w:r w:rsidRPr="00713966">
            <w:rPr>
              <w:rFonts w:ascii="Times" w:eastAsia="Times New Roman" w:hAnsi="Times" w:cs="Times"/>
              <w:color w:val="000000"/>
              <w:sz w:val="20"/>
            </w:rPr>
            <w:t>auto-aprendizaje</w:t>
          </w:r>
          <w:proofErr w:type="spellEnd"/>
          <w:r w:rsidRPr="00713966">
            <w:rPr>
              <w:rFonts w:ascii="Times" w:eastAsia="Times New Roman" w:hAnsi="Times" w:cs="Times"/>
              <w:color w:val="000000"/>
              <w:sz w:val="20"/>
            </w:rPr>
            <w:t xml:space="preserve"> en la explotación de vulnerabilidades,” Jul. 2018, </w:t>
          </w:r>
          <w:proofErr w:type="spellStart"/>
          <w:r w:rsidRPr="00713966">
            <w:rPr>
              <w:rFonts w:ascii="Times" w:eastAsia="Times New Roman" w:hAnsi="Times" w:cs="Times"/>
              <w:color w:val="000000"/>
              <w:sz w:val="20"/>
            </w:rPr>
            <w:t>Accessed</w:t>
          </w:r>
          <w:proofErr w:type="spellEnd"/>
          <w:r w:rsidRPr="00713966">
            <w:rPr>
              <w:rFonts w:ascii="Times" w:eastAsia="Times New Roman" w:hAnsi="Times" w:cs="Times"/>
              <w:color w:val="000000"/>
              <w:sz w:val="20"/>
            </w:rPr>
            <w:t xml:space="preserve">: Mar. 28, 2023. </w:t>
          </w:r>
          <w:r w:rsidRPr="00713966">
            <w:rPr>
              <w:rFonts w:ascii="Times" w:eastAsia="Times New Roman" w:hAnsi="Times" w:cs="Times"/>
              <w:color w:val="000000"/>
              <w:sz w:val="20"/>
              <w:lang w:val="en-US"/>
            </w:rPr>
            <w:t>[Online]. Available: https://reunir.unir.net/handle/123456789/7435</w:t>
          </w:r>
        </w:p>
        <w:p w14:paraId="248CBF03" w14:textId="77777777" w:rsidR="00713966" w:rsidRPr="00713966" w:rsidRDefault="00713966">
          <w:pPr>
            <w:autoSpaceDE w:val="0"/>
            <w:autoSpaceDN w:val="0"/>
            <w:ind w:hanging="640"/>
            <w:divId w:val="812261783"/>
            <w:rPr>
              <w:rFonts w:ascii="Times" w:eastAsia="Times New Roman" w:hAnsi="Times" w:cs="Times"/>
              <w:color w:val="000000"/>
              <w:sz w:val="20"/>
              <w:lang w:val="en-US"/>
            </w:rPr>
          </w:pPr>
          <w:r w:rsidRPr="00713966">
            <w:rPr>
              <w:rFonts w:ascii="Times" w:eastAsia="Times New Roman" w:hAnsi="Times" w:cs="Times"/>
              <w:color w:val="000000"/>
              <w:sz w:val="20"/>
              <w:lang w:val="en-US"/>
            </w:rPr>
            <w:t>[15]</w:t>
          </w:r>
          <w:r w:rsidRPr="00713966">
            <w:rPr>
              <w:rFonts w:ascii="Times" w:eastAsia="Times New Roman" w:hAnsi="Times" w:cs="Times"/>
              <w:color w:val="000000"/>
              <w:sz w:val="20"/>
              <w:lang w:val="en-US"/>
            </w:rPr>
            <w:tab/>
            <w:t xml:space="preserve">V. Somi, “A Comparative Analysis and Benchmarking of Dynamic Application Security Testing (DAST) Tools,” </w:t>
          </w:r>
          <w:r w:rsidRPr="00713966">
            <w:rPr>
              <w:rFonts w:ascii="Times" w:eastAsia="Times New Roman" w:hAnsi="Times" w:cs="Times"/>
              <w:i/>
              <w:iCs/>
              <w:color w:val="000000"/>
              <w:sz w:val="20"/>
              <w:lang w:val="en-US"/>
            </w:rPr>
            <w:t>Journal of Engineering and Applied Sciences Technology</w:t>
          </w:r>
          <w:r w:rsidRPr="00713966">
            <w:rPr>
              <w:rFonts w:ascii="Times" w:eastAsia="Times New Roman" w:hAnsi="Times" w:cs="Times"/>
              <w:color w:val="000000"/>
              <w:sz w:val="20"/>
              <w:lang w:val="en-US"/>
            </w:rPr>
            <w:t>, pp. 1–6, Feb. 2024, doi: 10.47363/JEAST/2024(6)E139.</w:t>
          </w:r>
        </w:p>
        <w:p w14:paraId="1D848F19" w14:textId="46888C30" w:rsidR="00A965E1" w:rsidRPr="00543D4F" w:rsidRDefault="00713966" w:rsidP="001C025D">
          <w:pPr>
            <w:jc w:val="both"/>
            <w:rPr>
              <w:rFonts w:ascii="Times" w:hAnsi="Times" w:cs="Times"/>
              <w:sz w:val="20"/>
              <w:szCs w:val="20"/>
              <w:lang w:val="en-US"/>
            </w:rPr>
          </w:pPr>
          <w:r w:rsidRPr="00713966">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E4AB3F" w14:textId="77777777" w:rsidR="003B3517" w:rsidRDefault="003B3517" w:rsidP="007A2CB8">
      <w:pPr>
        <w:spacing w:after="0" w:line="240" w:lineRule="auto"/>
      </w:pPr>
      <w:r>
        <w:separator/>
      </w:r>
    </w:p>
  </w:endnote>
  <w:endnote w:type="continuationSeparator" w:id="0">
    <w:p w14:paraId="53F4133A" w14:textId="77777777" w:rsidR="003B3517" w:rsidRDefault="003B3517"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7F8D1D" w14:textId="77777777" w:rsidR="003B3517" w:rsidRDefault="003B3517" w:rsidP="007A2CB8">
      <w:pPr>
        <w:spacing w:after="0" w:line="240" w:lineRule="auto"/>
      </w:pPr>
      <w:r>
        <w:separator/>
      </w:r>
    </w:p>
  </w:footnote>
  <w:footnote w:type="continuationSeparator" w:id="0">
    <w:p w14:paraId="69F04669" w14:textId="77777777" w:rsidR="003B3517" w:rsidRDefault="003B3517"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2779B33B" w14:textId="695FD3D2" w:rsidR="00C3059A" w:rsidRDefault="00C3059A" w:rsidP="00C3059A">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8">
    <w:p w14:paraId="3CFA11FF" w14:textId="681D488D" w:rsidR="007945F9" w:rsidRDefault="007945F9" w:rsidP="007945F9">
      <w:pPr>
        <w:pStyle w:val="Textonotapie"/>
        <w:rPr>
          <w:rFonts w:eastAsia="Times" w:cs="Times"/>
          <w:color w:val="00B0F0"/>
          <w:sz w:val="19"/>
          <w:szCs w:val="19"/>
        </w:rPr>
      </w:pPr>
      <w:r w:rsidRPr="0017783F">
        <w:rPr>
          <w:rStyle w:val="Refdenotaalpie"/>
        </w:rPr>
        <w:footnoteRef/>
      </w:r>
      <w:r w:rsidRPr="0017783F">
        <w:t xml:space="preserve"> </w:t>
      </w:r>
      <w:r w:rsidRPr="007945F9">
        <w:t>https://url-shortener.me/CGYE</w:t>
      </w:r>
    </w:p>
  </w:footnote>
  <w:footnote w:id="9">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06B92"/>
    <w:rsid w:val="000261E4"/>
    <w:rsid w:val="0006525D"/>
    <w:rsid w:val="00091619"/>
    <w:rsid w:val="000A1D1A"/>
    <w:rsid w:val="0011548D"/>
    <w:rsid w:val="00122C79"/>
    <w:rsid w:val="0017658C"/>
    <w:rsid w:val="0017783F"/>
    <w:rsid w:val="001C025D"/>
    <w:rsid w:val="001F533E"/>
    <w:rsid w:val="00225C54"/>
    <w:rsid w:val="002604F9"/>
    <w:rsid w:val="002A0307"/>
    <w:rsid w:val="003270D8"/>
    <w:rsid w:val="00375013"/>
    <w:rsid w:val="003A14B5"/>
    <w:rsid w:val="003A5E3A"/>
    <w:rsid w:val="003B3517"/>
    <w:rsid w:val="003B72E0"/>
    <w:rsid w:val="003E3574"/>
    <w:rsid w:val="00411AD9"/>
    <w:rsid w:val="0047750C"/>
    <w:rsid w:val="00477D25"/>
    <w:rsid w:val="00492CED"/>
    <w:rsid w:val="00494C86"/>
    <w:rsid w:val="004B2276"/>
    <w:rsid w:val="00521054"/>
    <w:rsid w:val="00543D4F"/>
    <w:rsid w:val="00556F69"/>
    <w:rsid w:val="00595DDD"/>
    <w:rsid w:val="005C7A15"/>
    <w:rsid w:val="005D3FAE"/>
    <w:rsid w:val="00606D77"/>
    <w:rsid w:val="00635281"/>
    <w:rsid w:val="00637D07"/>
    <w:rsid w:val="006D3AFC"/>
    <w:rsid w:val="006F6FFA"/>
    <w:rsid w:val="00713966"/>
    <w:rsid w:val="00763F11"/>
    <w:rsid w:val="00786E96"/>
    <w:rsid w:val="007945F9"/>
    <w:rsid w:val="007A1C18"/>
    <w:rsid w:val="007A2CB8"/>
    <w:rsid w:val="007C58E4"/>
    <w:rsid w:val="007C6252"/>
    <w:rsid w:val="007D1758"/>
    <w:rsid w:val="00854FDF"/>
    <w:rsid w:val="008B035B"/>
    <w:rsid w:val="008B155F"/>
    <w:rsid w:val="008D2AED"/>
    <w:rsid w:val="008D7C41"/>
    <w:rsid w:val="008E2228"/>
    <w:rsid w:val="009211DA"/>
    <w:rsid w:val="009230B7"/>
    <w:rsid w:val="0099590F"/>
    <w:rsid w:val="009C6055"/>
    <w:rsid w:val="00A07FA8"/>
    <w:rsid w:val="00A66610"/>
    <w:rsid w:val="00A74CA7"/>
    <w:rsid w:val="00A9123C"/>
    <w:rsid w:val="00A91A48"/>
    <w:rsid w:val="00A965E1"/>
    <w:rsid w:val="00B12903"/>
    <w:rsid w:val="00B24A3A"/>
    <w:rsid w:val="00B74EA1"/>
    <w:rsid w:val="00B95711"/>
    <w:rsid w:val="00BC4CC7"/>
    <w:rsid w:val="00BD1D92"/>
    <w:rsid w:val="00BF790B"/>
    <w:rsid w:val="00C07051"/>
    <w:rsid w:val="00C10D17"/>
    <w:rsid w:val="00C3059A"/>
    <w:rsid w:val="00C33BDC"/>
    <w:rsid w:val="00C42D58"/>
    <w:rsid w:val="00C86346"/>
    <w:rsid w:val="00C90123"/>
    <w:rsid w:val="00C90FC4"/>
    <w:rsid w:val="00CA5DE6"/>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90DFF"/>
    <w:rsid w:val="00EA5CED"/>
    <w:rsid w:val="00EB0E6E"/>
    <w:rsid w:val="00EB6383"/>
    <w:rsid w:val="00F063ED"/>
    <w:rsid w:val="00F1388A"/>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512842273">
      <w:bodyDiv w:val="1"/>
      <w:marLeft w:val="0"/>
      <w:marRight w:val="0"/>
      <w:marTop w:val="0"/>
      <w:marBottom w:val="0"/>
      <w:divBdr>
        <w:top w:val="none" w:sz="0" w:space="0" w:color="auto"/>
        <w:left w:val="none" w:sz="0" w:space="0" w:color="auto"/>
        <w:bottom w:val="none" w:sz="0" w:space="0" w:color="auto"/>
        <w:right w:val="none" w:sz="0" w:space="0" w:color="auto"/>
      </w:divBdr>
      <w:divsChild>
        <w:div w:id="1380475846">
          <w:marLeft w:val="640"/>
          <w:marRight w:val="0"/>
          <w:marTop w:val="0"/>
          <w:marBottom w:val="0"/>
          <w:divBdr>
            <w:top w:val="none" w:sz="0" w:space="0" w:color="auto"/>
            <w:left w:val="none" w:sz="0" w:space="0" w:color="auto"/>
            <w:bottom w:val="none" w:sz="0" w:space="0" w:color="auto"/>
            <w:right w:val="none" w:sz="0" w:space="0" w:color="auto"/>
          </w:divBdr>
        </w:div>
        <w:div w:id="1056931076">
          <w:marLeft w:val="640"/>
          <w:marRight w:val="0"/>
          <w:marTop w:val="0"/>
          <w:marBottom w:val="0"/>
          <w:divBdr>
            <w:top w:val="none" w:sz="0" w:space="0" w:color="auto"/>
            <w:left w:val="none" w:sz="0" w:space="0" w:color="auto"/>
            <w:bottom w:val="none" w:sz="0" w:space="0" w:color="auto"/>
            <w:right w:val="none" w:sz="0" w:space="0" w:color="auto"/>
          </w:divBdr>
        </w:div>
        <w:div w:id="768238928">
          <w:marLeft w:val="640"/>
          <w:marRight w:val="0"/>
          <w:marTop w:val="0"/>
          <w:marBottom w:val="0"/>
          <w:divBdr>
            <w:top w:val="none" w:sz="0" w:space="0" w:color="auto"/>
            <w:left w:val="none" w:sz="0" w:space="0" w:color="auto"/>
            <w:bottom w:val="none" w:sz="0" w:space="0" w:color="auto"/>
            <w:right w:val="none" w:sz="0" w:space="0" w:color="auto"/>
          </w:divBdr>
        </w:div>
        <w:div w:id="1203786956">
          <w:marLeft w:val="640"/>
          <w:marRight w:val="0"/>
          <w:marTop w:val="0"/>
          <w:marBottom w:val="0"/>
          <w:divBdr>
            <w:top w:val="none" w:sz="0" w:space="0" w:color="auto"/>
            <w:left w:val="none" w:sz="0" w:space="0" w:color="auto"/>
            <w:bottom w:val="none" w:sz="0" w:space="0" w:color="auto"/>
            <w:right w:val="none" w:sz="0" w:space="0" w:color="auto"/>
          </w:divBdr>
        </w:div>
        <w:div w:id="995766351">
          <w:marLeft w:val="640"/>
          <w:marRight w:val="0"/>
          <w:marTop w:val="0"/>
          <w:marBottom w:val="0"/>
          <w:divBdr>
            <w:top w:val="none" w:sz="0" w:space="0" w:color="auto"/>
            <w:left w:val="none" w:sz="0" w:space="0" w:color="auto"/>
            <w:bottom w:val="none" w:sz="0" w:space="0" w:color="auto"/>
            <w:right w:val="none" w:sz="0" w:space="0" w:color="auto"/>
          </w:divBdr>
        </w:div>
        <w:div w:id="1315717763">
          <w:marLeft w:val="640"/>
          <w:marRight w:val="0"/>
          <w:marTop w:val="0"/>
          <w:marBottom w:val="0"/>
          <w:divBdr>
            <w:top w:val="none" w:sz="0" w:space="0" w:color="auto"/>
            <w:left w:val="none" w:sz="0" w:space="0" w:color="auto"/>
            <w:bottom w:val="none" w:sz="0" w:space="0" w:color="auto"/>
            <w:right w:val="none" w:sz="0" w:space="0" w:color="auto"/>
          </w:divBdr>
        </w:div>
        <w:div w:id="866992572">
          <w:marLeft w:val="640"/>
          <w:marRight w:val="0"/>
          <w:marTop w:val="0"/>
          <w:marBottom w:val="0"/>
          <w:divBdr>
            <w:top w:val="none" w:sz="0" w:space="0" w:color="auto"/>
            <w:left w:val="none" w:sz="0" w:space="0" w:color="auto"/>
            <w:bottom w:val="none" w:sz="0" w:space="0" w:color="auto"/>
            <w:right w:val="none" w:sz="0" w:space="0" w:color="auto"/>
          </w:divBdr>
        </w:div>
        <w:div w:id="1510488191">
          <w:marLeft w:val="640"/>
          <w:marRight w:val="0"/>
          <w:marTop w:val="0"/>
          <w:marBottom w:val="0"/>
          <w:divBdr>
            <w:top w:val="none" w:sz="0" w:space="0" w:color="auto"/>
            <w:left w:val="none" w:sz="0" w:space="0" w:color="auto"/>
            <w:bottom w:val="none" w:sz="0" w:space="0" w:color="auto"/>
            <w:right w:val="none" w:sz="0" w:space="0" w:color="auto"/>
          </w:divBdr>
        </w:div>
        <w:div w:id="1775636142">
          <w:marLeft w:val="640"/>
          <w:marRight w:val="0"/>
          <w:marTop w:val="0"/>
          <w:marBottom w:val="0"/>
          <w:divBdr>
            <w:top w:val="none" w:sz="0" w:space="0" w:color="auto"/>
            <w:left w:val="none" w:sz="0" w:space="0" w:color="auto"/>
            <w:bottom w:val="none" w:sz="0" w:space="0" w:color="auto"/>
            <w:right w:val="none" w:sz="0" w:space="0" w:color="auto"/>
          </w:divBdr>
        </w:div>
        <w:div w:id="900485071">
          <w:marLeft w:val="640"/>
          <w:marRight w:val="0"/>
          <w:marTop w:val="0"/>
          <w:marBottom w:val="0"/>
          <w:divBdr>
            <w:top w:val="none" w:sz="0" w:space="0" w:color="auto"/>
            <w:left w:val="none" w:sz="0" w:space="0" w:color="auto"/>
            <w:bottom w:val="none" w:sz="0" w:space="0" w:color="auto"/>
            <w:right w:val="none" w:sz="0" w:space="0" w:color="auto"/>
          </w:divBdr>
        </w:div>
        <w:div w:id="1263730995">
          <w:marLeft w:val="640"/>
          <w:marRight w:val="0"/>
          <w:marTop w:val="0"/>
          <w:marBottom w:val="0"/>
          <w:divBdr>
            <w:top w:val="none" w:sz="0" w:space="0" w:color="auto"/>
            <w:left w:val="none" w:sz="0" w:space="0" w:color="auto"/>
            <w:bottom w:val="none" w:sz="0" w:space="0" w:color="auto"/>
            <w:right w:val="none" w:sz="0" w:space="0" w:color="auto"/>
          </w:divBdr>
        </w:div>
        <w:div w:id="195046071">
          <w:marLeft w:val="640"/>
          <w:marRight w:val="0"/>
          <w:marTop w:val="0"/>
          <w:marBottom w:val="0"/>
          <w:divBdr>
            <w:top w:val="none" w:sz="0" w:space="0" w:color="auto"/>
            <w:left w:val="none" w:sz="0" w:space="0" w:color="auto"/>
            <w:bottom w:val="none" w:sz="0" w:space="0" w:color="auto"/>
            <w:right w:val="none" w:sz="0" w:space="0" w:color="auto"/>
          </w:divBdr>
        </w:div>
        <w:div w:id="939871698">
          <w:marLeft w:val="640"/>
          <w:marRight w:val="0"/>
          <w:marTop w:val="0"/>
          <w:marBottom w:val="0"/>
          <w:divBdr>
            <w:top w:val="none" w:sz="0" w:space="0" w:color="auto"/>
            <w:left w:val="none" w:sz="0" w:space="0" w:color="auto"/>
            <w:bottom w:val="none" w:sz="0" w:space="0" w:color="auto"/>
            <w:right w:val="none" w:sz="0" w:space="0" w:color="auto"/>
          </w:divBdr>
        </w:div>
        <w:div w:id="351615321">
          <w:marLeft w:val="640"/>
          <w:marRight w:val="0"/>
          <w:marTop w:val="0"/>
          <w:marBottom w:val="0"/>
          <w:divBdr>
            <w:top w:val="none" w:sz="0" w:space="0" w:color="auto"/>
            <w:left w:val="none" w:sz="0" w:space="0" w:color="auto"/>
            <w:bottom w:val="none" w:sz="0" w:space="0" w:color="auto"/>
            <w:right w:val="none" w:sz="0" w:space="0" w:color="auto"/>
          </w:divBdr>
        </w:div>
        <w:div w:id="87195925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81596583">
      <w:bodyDiv w:val="1"/>
      <w:marLeft w:val="0"/>
      <w:marRight w:val="0"/>
      <w:marTop w:val="0"/>
      <w:marBottom w:val="0"/>
      <w:divBdr>
        <w:top w:val="none" w:sz="0" w:space="0" w:color="auto"/>
        <w:left w:val="none" w:sz="0" w:space="0" w:color="auto"/>
        <w:bottom w:val="none" w:sz="0" w:space="0" w:color="auto"/>
        <w:right w:val="none" w:sz="0" w:space="0" w:color="auto"/>
      </w:divBdr>
      <w:divsChild>
        <w:div w:id="1310015411">
          <w:marLeft w:val="640"/>
          <w:marRight w:val="0"/>
          <w:marTop w:val="0"/>
          <w:marBottom w:val="0"/>
          <w:divBdr>
            <w:top w:val="none" w:sz="0" w:space="0" w:color="auto"/>
            <w:left w:val="none" w:sz="0" w:space="0" w:color="auto"/>
            <w:bottom w:val="none" w:sz="0" w:space="0" w:color="auto"/>
            <w:right w:val="none" w:sz="0" w:space="0" w:color="auto"/>
          </w:divBdr>
        </w:div>
        <w:div w:id="1589122304">
          <w:marLeft w:val="640"/>
          <w:marRight w:val="0"/>
          <w:marTop w:val="0"/>
          <w:marBottom w:val="0"/>
          <w:divBdr>
            <w:top w:val="none" w:sz="0" w:space="0" w:color="auto"/>
            <w:left w:val="none" w:sz="0" w:space="0" w:color="auto"/>
            <w:bottom w:val="none" w:sz="0" w:space="0" w:color="auto"/>
            <w:right w:val="none" w:sz="0" w:space="0" w:color="auto"/>
          </w:divBdr>
        </w:div>
        <w:div w:id="1012680180">
          <w:marLeft w:val="640"/>
          <w:marRight w:val="0"/>
          <w:marTop w:val="0"/>
          <w:marBottom w:val="0"/>
          <w:divBdr>
            <w:top w:val="none" w:sz="0" w:space="0" w:color="auto"/>
            <w:left w:val="none" w:sz="0" w:space="0" w:color="auto"/>
            <w:bottom w:val="none" w:sz="0" w:space="0" w:color="auto"/>
            <w:right w:val="none" w:sz="0" w:space="0" w:color="auto"/>
          </w:divBdr>
        </w:div>
        <w:div w:id="1367487811">
          <w:marLeft w:val="640"/>
          <w:marRight w:val="0"/>
          <w:marTop w:val="0"/>
          <w:marBottom w:val="0"/>
          <w:divBdr>
            <w:top w:val="none" w:sz="0" w:space="0" w:color="auto"/>
            <w:left w:val="none" w:sz="0" w:space="0" w:color="auto"/>
            <w:bottom w:val="none" w:sz="0" w:space="0" w:color="auto"/>
            <w:right w:val="none" w:sz="0" w:space="0" w:color="auto"/>
          </w:divBdr>
        </w:div>
        <w:div w:id="1418555001">
          <w:marLeft w:val="640"/>
          <w:marRight w:val="0"/>
          <w:marTop w:val="0"/>
          <w:marBottom w:val="0"/>
          <w:divBdr>
            <w:top w:val="none" w:sz="0" w:space="0" w:color="auto"/>
            <w:left w:val="none" w:sz="0" w:space="0" w:color="auto"/>
            <w:bottom w:val="none" w:sz="0" w:space="0" w:color="auto"/>
            <w:right w:val="none" w:sz="0" w:space="0" w:color="auto"/>
          </w:divBdr>
        </w:div>
        <w:div w:id="794564190">
          <w:marLeft w:val="640"/>
          <w:marRight w:val="0"/>
          <w:marTop w:val="0"/>
          <w:marBottom w:val="0"/>
          <w:divBdr>
            <w:top w:val="none" w:sz="0" w:space="0" w:color="auto"/>
            <w:left w:val="none" w:sz="0" w:space="0" w:color="auto"/>
            <w:bottom w:val="none" w:sz="0" w:space="0" w:color="auto"/>
            <w:right w:val="none" w:sz="0" w:space="0" w:color="auto"/>
          </w:divBdr>
        </w:div>
        <w:div w:id="664941932">
          <w:marLeft w:val="640"/>
          <w:marRight w:val="0"/>
          <w:marTop w:val="0"/>
          <w:marBottom w:val="0"/>
          <w:divBdr>
            <w:top w:val="none" w:sz="0" w:space="0" w:color="auto"/>
            <w:left w:val="none" w:sz="0" w:space="0" w:color="auto"/>
            <w:bottom w:val="none" w:sz="0" w:space="0" w:color="auto"/>
            <w:right w:val="none" w:sz="0" w:space="0" w:color="auto"/>
          </w:divBdr>
        </w:div>
        <w:div w:id="2122988726">
          <w:marLeft w:val="640"/>
          <w:marRight w:val="0"/>
          <w:marTop w:val="0"/>
          <w:marBottom w:val="0"/>
          <w:divBdr>
            <w:top w:val="none" w:sz="0" w:space="0" w:color="auto"/>
            <w:left w:val="none" w:sz="0" w:space="0" w:color="auto"/>
            <w:bottom w:val="none" w:sz="0" w:space="0" w:color="auto"/>
            <w:right w:val="none" w:sz="0" w:space="0" w:color="auto"/>
          </w:divBdr>
        </w:div>
        <w:div w:id="669140412">
          <w:marLeft w:val="640"/>
          <w:marRight w:val="0"/>
          <w:marTop w:val="0"/>
          <w:marBottom w:val="0"/>
          <w:divBdr>
            <w:top w:val="none" w:sz="0" w:space="0" w:color="auto"/>
            <w:left w:val="none" w:sz="0" w:space="0" w:color="auto"/>
            <w:bottom w:val="none" w:sz="0" w:space="0" w:color="auto"/>
            <w:right w:val="none" w:sz="0" w:space="0" w:color="auto"/>
          </w:divBdr>
        </w:div>
        <w:div w:id="1722631262">
          <w:marLeft w:val="640"/>
          <w:marRight w:val="0"/>
          <w:marTop w:val="0"/>
          <w:marBottom w:val="0"/>
          <w:divBdr>
            <w:top w:val="none" w:sz="0" w:space="0" w:color="auto"/>
            <w:left w:val="none" w:sz="0" w:space="0" w:color="auto"/>
            <w:bottom w:val="none" w:sz="0" w:space="0" w:color="auto"/>
            <w:right w:val="none" w:sz="0" w:space="0" w:color="auto"/>
          </w:divBdr>
        </w:div>
        <w:div w:id="1904632531">
          <w:marLeft w:val="640"/>
          <w:marRight w:val="0"/>
          <w:marTop w:val="0"/>
          <w:marBottom w:val="0"/>
          <w:divBdr>
            <w:top w:val="none" w:sz="0" w:space="0" w:color="auto"/>
            <w:left w:val="none" w:sz="0" w:space="0" w:color="auto"/>
            <w:bottom w:val="none" w:sz="0" w:space="0" w:color="auto"/>
            <w:right w:val="none" w:sz="0" w:space="0" w:color="auto"/>
          </w:divBdr>
        </w:div>
        <w:div w:id="1329479729">
          <w:marLeft w:val="640"/>
          <w:marRight w:val="0"/>
          <w:marTop w:val="0"/>
          <w:marBottom w:val="0"/>
          <w:divBdr>
            <w:top w:val="none" w:sz="0" w:space="0" w:color="auto"/>
            <w:left w:val="none" w:sz="0" w:space="0" w:color="auto"/>
            <w:bottom w:val="none" w:sz="0" w:space="0" w:color="auto"/>
            <w:right w:val="none" w:sz="0" w:space="0" w:color="auto"/>
          </w:divBdr>
        </w:div>
        <w:div w:id="799736177">
          <w:marLeft w:val="640"/>
          <w:marRight w:val="0"/>
          <w:marTop w:val="0"/>
          <w:marBottom w:val="0"/>
          <w:divBdr>
            <w:top w:val="none" w:sz="0" w:space="0" w:color="auto"/>
            <w:left w:val="none" w:sz="0" w:space="0" w:color="auto"/>
            <w:bottom w:val="none" w:sz="0" w:space="0" w:color="auto"/>
            <w:right w:val="none" w:sz="0" w:space="0" w:color="auto"/>
          </w:divBdr>
        </w:div>
        <w:div w:id="1563976942">
          <w:marLeft w:val="640"/>
          <w:marRight w:val="0"/>
          <w:marTop w:val="0"/>
          <w:marBottom w:val="0"/>
          <w:divBdr>
            <w:top w:val="none" w:sz="0" w:space="0" w:color="auto"/>
            <w:left w:val="none" w:sz="0" w:space="0" w:color="auto"/>
            <w:bottom w:val="none" w:sz="0" w:space="0" w:color="auto"/>
            <w:right w:val="none" w:sz="0" w:space="0" w:color="auto"/>
          </w:divBdr>
        </w:div>
        <w:div w:id="812261783">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66352526">
      <w:bodyDiv w:val="1"/>
      <w:marLeft w:val="0"/>
      <w:marRight w:val="0"/>
      <w:marTop w:val="0"/>
      <w:marBottom w:val="0"/>
      <w:divBdr>
        <w:top w:val="none" w:sz="0" w:space="0" w:color="auto"/>
        <w:left w:val="none" w:sz="0" w:space="0" w:color="auto"/>
        <w:bottom w:val="none" w:sz="0" w:space="0" w:color="auto"/>
        <w:right w:val="none" w:sz="0" w:space="0" w:color="auto"/>
      </w:divBdr>
      <w:divsChild>
        <w:div w:id="1088504722">
          <w:marLeft w:val="640"/>
          <w:marRight w:val="0"/>
          <w:marTop w:val="0"/>
          <w:marBottom w:val="0"/>
          <w:divBdr>
            <w:top w:val="none" w:sz="0" w:space="0" w:color="auto"/>
            <w:left w:val="none" w:sz="0" w:space="0" w:color="auto"/>
            <w:bottom w:val="none" w:sz="0" w:space="0" w:color="auto"/>
            <w:right w:val="none" w:sz="0" w:space="0" w:color="auto"/>
          </w:divBdr>
        </w:div>
        <w:div w:id="1113523894">
          <w:marLeft w:val="640"/>
          <w:marRight w:val="0"/>
          <w:marTop w:val="0"/>
          <w:marBottom w:val="0"/>
          <w:divBdr>
            <w:top w:val="none" w:sz="0" w:space="0" w:color="auto"/>
            <w:left w:val="none" w:sz="0" w:space="0" w:color="auto"/>
            <w:bottom w:val="none" w:sz="0" w:space="0" w:color="auto"/>
            <w:right w:val="none" w:sz="0" w:space="0" w:color="auto"/>
          </w:divBdr>
        </w:div>
        <w:div w:id="1987859541">
          <w:marLeft w:val="640"/>
          <w:marRight w:val="0"/>
          <w:marTop w:val="0"/>
          <w:marBottom w:val="0"/>
          <w:divBdr>
            <w:top w:val="none" w:sz="0" w:space="0" w:color="auto"/>
            <w:left w:val="none" w:sz="0" w:space="0" w:color="auto"/>
            <w:bottom w:val="none" w:sz="0" w:space="0" w:color="auto"/>
            <w:right w:val="none" w:sz="0" w:space="0" w:color="auto"/>
          </w:divBdr>
        </w:div>
        <w:div w:id="1955601069">
          <w:marLeft w:val="640"/>
          <w:marRight w:val="0"/>
          <w:marTop w:val="0"/>
          <w:marBottom w:val="0"/>
          <w:divBdr>
            <w:top w:val="none" w:sz="0" w:space="0" w:color="auto"/>
            <w:left w:val="none" w:sz="0" w:space="0" w:color="auto"/>
            <w:bottom w:val="none" w:sz="0" w:space="0" w:color="auto"/>
            <w:right w:val="none" w:sz="0" w:space="0" w:color="auto"/>
          </w:divBdr>
        </w:div>
        <w:div w:id="1741293108">
          <w:marLeft w:val="640"/>
          <w:marRight w:val="0"/>
          <w:marTop w:val="0"/>
          <w:marBottom w:val="0"/>
          <w:divBdr>
            <w:top w:val="none" w:sz="0" w:space="0" w:color="auto"/>
            <w:left w:val="none" w:sz="0" w:space="0" w:color="auto"/>
            <w:bottom w:val="none" w:sz="0" w:space="0" w:color="auto"/>
            <w:right w:val="none" w:sz="0" w:space="0" w:color="auto"/>
          </w:divBdr>
        </w:div>
        <w:div w:id="130632749">
          <w:marLeft w:val="640"/>
          <w:marRight w:val="0"/>
          <w:marTop w:val="0"/>
          <w:marBottom w:val="0"/>
          <w:divBdr>
            <w:top w:val="none" w:sz="0" w:space="0" w:color="auto"/>
            <w:left w:val="none" w:sz="0" w:space="0" w:color="auto"/>
            <w:bottom w:val="none" w:sz="0" w:space="0" w:color="auto"/>
            <w:right w:val="none" w:sz="0" w:space="0" w:color="auto"/>
          </w:divBdr>
        </w:div>
        <w:div w:id="41296683">
          <w:marLeft w:val="640"/>
          <w:marRight w:val="0"/>
          <w:marTop w:val="0"/>
          <w:marBottom w:val="0"/>
          <w:divBdr>
            <w:top w:val="none" w:sz="0" w:space="0" w:color="auto"/>
            <w:left w:val="none" w:sz="0" w:space="0" w:color="auto"/>
            <w:bottom w:val="none" w:sz="0" w:space="0" w:color="auto"/>
            <w:right w:val="none" w:sz="0" w:space="0" w:color="auto"/>
          </w:divBdr>
        </w:div>
        <w:div w:id="1121532172">
          <w:marLeft w:val="640"/>
          <w:marRight w:val="0"/>
          <w:marTop w:val="0"/>
          <w:marBottom w:val="0"/>
          <w:divBdr>
            <w:top w:val="none" w:sz="0" w:space="0" w:color="auto"/>
            <w:left w:val="none" w:sz="0" w:space="0" w:color="auto"/>
            <w:bottom w:val="none" w:sz="0" w:space="0" w:color="auto"/>
            <w:right w:val="none" w:sz="0" w:space="0" w:color="auto"/>
          </w:divBdr>
        </w:div>
        <w:div w:id="306516559">
          <w:marLeft w:val="640"/>
          <w:marRight w:val="0"/>
          <w:marTop w:val="0"/>
          <w:marBottom w:val="0"/>
          <w:divBdr>
            <w:top w:val="none" w:sz="0" w:space="0" w:color="auto"/>
            <w:left w:val="none" w:sz="0" w:space="0" w:color="auto"/>
            <w:bottom w:val="none" w:sz="0" w:space="0" w:color="auto"/>
            <w:right w:val="none" w:sz="0" w:space="0" w:color="auto"/>
          </w:divBdr>
        </w:div>
        <w:div w:id="1705017062">
          <w:marLeft w:val="640"/>
          <w:marRight w:val="0"/>
          <w:marTop w:val="0"/>
          <w:marBottom w:val="0"/>
          <w:divBdr>
            <w:top w:val="none" w:sz="0" w:space="0" w:color="auto"/>
            <w:left w:val="none" w:sz="0" w:space="0" w:color="auto"/>
            <w:bottom w:val="none" w:sz="0" w:space="0" w:color="auto"/>
            <w:right w:val="none" w:sz="0" w:space="0" w:color="auto"/>
          </w:divBdr>
        </w:div>
        <w:div w:id="2112821302">
          <w:marLeft w:val="640"/>
          <w:marRight w:val="0"/>
          <w:marTop w:val="0"/>
          <w:marBottom w:val="0"/>
          <w:divBdr>
            <w:top w:val="none" w:sz="0" w:space="0" w:color="auto"/>
            <w:left w:val="none" w:sz="0" w:space="0" w:color="auto"/>
            <w:bottom w:val="none" w:sz="0" w:space="0" w:color="auto"/>
            <w:right w:val="none" w:sz="0" w:space="0" w:color="auto"/>
          </w:divBdr>
        </w:div>
        <w:div w:id="1530679821">
          <w:marLeft w:val="640"/>
          <w:marRight w:val="0"/>
          <w:marTop w:val="0"/>
          <w:marBottom w:val="0"/>
          <w:divBdr>
            <w:top w:val="none" w:sz="0" w:space="0" w:color="auto"/>
            <w:left w:val="none" w:sz="0" w:space="0" w:color="auto"/>
            <w:bottom w:val="none" w:sz="0" w:space="0" w:color="auto"/>
            <w:right w:val="none" w:sz="0" w:space="0" w:color="auto"/>
          </w:divBdr>
        </w:div>
        <w:div w:id="1550802460">
          <w:marLeft w:val="640"/>
          <w:marRight w:val="0"/>
          <w:marTop w:val="0"/>
          <w:marBottom w:val="0"/>
          <w:divBdr>
            <w:top w:val="none" w:sz="0" w:space="0" w:color="auto"/>
            <w:left w:val="none" w:sz="0" w:space="0" w:color="auto"/>
            <w:bottom w:val="none" w:sz="0" w:space="0" w:color="auto"/>
            <w:right w:val="none" w:sz="0" w:space="0" w:color="auto"/>
          </w:divBdr>
        </w:div>
        <w:div w:id="1854490938">
          <w:marLeft w:val="640"/>
          <w:marRight w:val="0"/>
          <w:marTop w:val="0"/>
          <w:marBottom w:val="0"/>
          <w:divBdr>
            <w:top w:val="none" w:sz="0" w:space="0" w:color="auto"/>
            <w:left w:val="none" w:sz="0" w:space="0" w:color="auto"/>
            <w:bottom w:val="none" w:sz="0" w:space="0" w:color="auto"/>
            <w:right w:val="none" w:sz="0" w:space="0" w:color="auto"/>
          </w:divBdr>
        </w:div>
        <w:div w:id="1444226130">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2A1F76"/>
    <w:rsid w:val="003E2785"/>
    <w:rsid w:val="0066596B"/>
    <w:rsid w:val="006A2401"/>
    <w:rsid w:val="007366EE"/>
    <w:rsid w:val="00791B7E"/>
    <w:rsid w:val="008A2446"/>
    <w:rsid w:val="00927F4F"/>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55230165"/>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2892</Words>
  <Characters>15910</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100</cp:revision>
  <dcterms:created xsi:type="dcterms:W3CDTF">2026-02-01T03:12:00Z</dcterms:created>
  <dcterms:modified xsi:type="dcterms:W3CDTF">2026-02-13T04:00:00Z</dcterms:modified>
</cp:coreProperties>
</file>