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03F38795" w:rsidR="00CE7B32" w:rsidRPr="00543D4F" w:rsidRDefault="00692F75" w:rsidP="00692F75">
      <w:pPr>
        <w:jc w:val="center"/>
        <w:rPr>
          <w:rStyle w:val="Textoennegrita"/>
          <w:rFonts w:ascii="Times" w:hAnsi="Times" w:cs="Times"/>
          <w:sz w:val="20"/>
          <w:szCs w:val="20"/>
          <w:lang w:val="en-US"/>
        </w:rPr>
      </w:pPr>
      <w:r w:rsidRPr="00692F75">
        <w:rPr>
          <w:rStyle w:val="Textoennegrita"/>
          <w:rFonts w:ascii="Times" w:hAnsi="Times" w:cs="Times"/>
          <w:sz w:val="20"/>
          <w:szCs w:val="20"/>
          <w:lang w:val="en-US"/>
        </w:rPr>
        <w:t>Supplementary Material S3</w:t>
      </w:r>
      <w:r>
        <w:rPr>
          <w:rStyle w:val="Textoennegrita"/>
          <w:rFonts w:ascii="Times" w:hAnsi="Times" w:cs="Times"/>
          <w:sz w:val="20"/>
          <w:szCs w:val="20"/>
          <w:lang w:val="en-US"/>
        </w:rPr>
        <w:t xml:space="preserve">: </w:t>
      </w:r>
      <w:r w:rsidRPr="00692F75">
        <w:rPr>
          <w:rStyle w:val="Textoennegrita"/>
          <w:rFonts w:ascii="Times" w:hAnsi="Times" w:cs="Times"/>
          <w:sz w:val="20"/>
          <w:szCs w:val="20"/>
          <w:lang w:val="en-US"/>
        </w:rPr>
        <w:t>Development of SECM-CAT, a mHealth Security Specification Catalog</w:t>
      </w:r>
      <w:r w:rsidR="00EB0E6E" w:rsidRPr="00543D4F">
        <w:rPr>
          <w:rStyle w:val="Textoennegrita"/>
          <w:rFonts w:ascii="Times" w:hAnsi="Times" w:cs="Times"/>
          <w:sz w:val="20"/>
          <w:szCs w:val="20"/>
          <w:lang w:val="en-US"/>
        </w:rPr>
        <w:t>.</w:t>
      </w:r>
    </w:p>
    <w:p w14:paraId="3566735E" w14:textId="77777777" w:rsidR="00692F75" w:rsidRDefault="00692F75" w:rsidP="001C025D">
      <w:pPr>
        <w:jc w:val="both"/>
        <w:rPr>
          <w:rFonts w:ascii="Times" w:hAnsi="Times" w:cs="Times"/>
          <w:sz w:val="20"/>
          <w:szCs w:val="20"/>
          <w:lang w:val="en-US"/>
        </w:rPr>
      </w:pPr>
      <w:r w:rsidRPr="00692F75">
        <w:rPr>
          <w:rFonts w:ascii="Times" w:hAnsi="Times" w:cs="Times"/>
          <w:sz w:val="20"/>
          <w:szCs w:val="20"/>
          <w:lang w:val="en-US"/>
        </w:rPr>
        <w:t>This supplementary file expands Section 2.2 of the main manuscript and provides the full procedure used to build SECM-CAT as a security-focused Software Requirements Specification for mHealth applications. The goal is to support transparency and reproducibility of the catalog development process, including source integration, harmonization, and traceable requirement specification</w:t>
      </w:r>
      <w:r>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3BA9468E" w14:textId="49430B6D" w:rsidR="002654FF" w:rsidRDefault="002654FF" w:rsidP="002654FF">
      <w:pPr>
        <w:jc w:val="both"/>
        <w:rPr>
          <w:rFonts w:ascii="Times" w:hAnsi="Times" w:cs="Times"/>
          <w:sz w:val="20"/>
          <w:szCs w:val="20"/>
          <w:lang w:val="en-US"/>
        </w:rPr>
      </w:pPr>
      <w:r w:rsidRPr="002654FF">
        <w:rPr>
          <w:rFonts w:ascii="Times" w:hAnsi="Times" w:cs="Times"/>
          <w:sz w:val="20"/>
          <w:szCs w:val="20"/>
          <w:lang w:val="en-US"/>
        </w:rPr>
        <w:t>SECM-CAT is a consolidated and reusable catalog of security requirements for mHealth applications, documented as an SRS aligned with ISO/IEC/IEEE 29148:2018</w:t>
      </w:r>
      <w:r w:rsidR="00F22296">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770891959"/>
          <w:placeholder>
            <w:docPart w:val="DefaultPlaceholder_-1854013440"/>
          </w:placeholder>
        </w:sdtPr>
        <w:sdtContent>
          <w:r w:rsidR="00F22296" w:rsidRPr="00F22296">
            <w:rPr>
              <w:rFonts w:ascii="Times" w:hAnsi="Times" w:cs="Times"/>
              <w:color w:val="000000"/>
              <w:sz w:val="20"/>
              <w:szCs w:val="20"/>
              <w:lang w:val="en-US"/>
            </w:rPr>
            <w:t>[1]</w:t>
          </w:r>
        </w:sdtContent>
      </w:sdt>
      <w:r w:rsidRPr="002654FF">
        <w:rPr>
          <w:rFonts w:ascii="Times" w:hAnsi="Times" w:cs="Times"/>
          <w:sz w:val="20"/>
          <w:szCs w:val="20"/>
          <w:lang w:val="en-US"/>
        </w:rPr>
        <w:t xml:space="preserve"> and organized using OWASP Mobile Top 10 2024</w:t>
      </w:r>
      <w:r w:rsidR="00F22296">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73683977"/>
          <w:placeholder>
            <w:docPart w:val="DefaultPlaceholder_-1854013440"/>
          </w:placeholder>
        </w:sdtPr>
        <w:sdtContent>
          <w:r w:rsidR="00F22296" w:rsidRPr="00F22296">
            <w:rPr>
              <w:rFonts w:ascii="Times" w:hAnsi="Times" w:cs="Times"/>
              <w:color w:val="000000"/>
              <w:sz w:val="20"/>
              <w:szCs w:val="20"/>
              <w:lang w:val="en-US"/>
            </w:rPr>
            <w:t>[2]</w:t>
          </w:r>
        </w:sdtContent>
      </w:sdt>
      <w:r w:rsidRPr="002654FF">
        <w:rPr>
          <w:rFonts w:ascii="Times" w:hAnsi="Times" w:cs="Times"/>
          <w:sz w:val="20"/>
          <w:szCs w:val="20"/>
          <w:lang w:val="en-US"/>
        </w:rPr>
        <w:t xml:space="preserve"> as a taxonomic structure for technical weaknesses. The analysis and compliance assessment in the main manuscript remain scoped to software security</w:t>
      </w:r>
      <w:r w:rsidR="00F22296">
        <w:rPr>
          <w:rFonts w:ascii="Times" w:hAnsi="Times" w:cs="Times"/>
          <w:sz w:val="20"/>
          <w:szCs w:val="20"/>
          <w:lang w:val="en-US"/>
        </w:rPr>
        <w: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6958FBDD" w14:textId="77777777" w:rsidR="00B441BA" w:rsidRPr="00B441BA" w:rsidRDefault="00B441BA" w:rsidP="00B441BA">
      <w:pPr>
        <w:jc w:val="both"/>
        <w:rPr>
          <w:rFonts w:ascii="Times" w:hAnsi="Times" w:cs="Times"/>
          <w:sz w:val="20"/>
          <w:szCs w:val="20"/>
          <w:lang w:val="en-US"/>
        </w:rPr>
      </w:pPr>
      <w:r w:rsidRPr="00B441BA">
        <w:rPr>
          <w:rFonts w:ascii="Times" w:hAnsi="Times" w:cs="Times"/>
          <w:sz w:val="20"/>
          <w:szCs w:val="20"/>
          <w:lang w:val="en-US"/>
        </w:rPr>
        <w:t>For developing the software requirements catalog, the following phases were executed:</w:t>
      </w:r>
    </w:p>
    <w:p w14:paraId="42AD888F" w14:textId="77777777" w:rsidR="00B441BA" w:rsidRDefault="00B441BA" w:rsidP="00B441BA">
      <w:pPr>
        <w:pStyle w:val="Prrafodelista"/>
        <w:numPr>
          <w:ilvl w:val="0"/>
          <w:numId w:val="18"/>
        </w:numPr>
        <w:jc w:val="both"/>
        <w:rPr>
          <w:rFonts w:ascii="Times" w:hAnsi="Times" w:cs="Times"/>
          <w:sz w:val="20"/>
          <w:szCs w:val="20"/>
          <w:lang w:val="en-US"/>
        </w:rPr>
      </w:pPr>
      <w:r w:rsidRPr="00B441BA">
        <w:rPr>
          <w:rFonts w:ascii="Times" w:hAnsi="Times" w:cs="Times"/>
          <w:sz w:val="20"/>
          <w:szCs w:val="20"/>
          <w:lang w:val="en-US"/>
        </w:rPr>
        <w:t>Identification of relevant sources</w:t>
      </w:r>
    </w:p>
    <w:p w14:paraId="2C4270D4" w14:textId="77777777" w:rsidR="00B441BA" w:rsidRDefault="00B441BA" w:rsidP="00B441BA">
      <w:pPr>
        <w:pStyle w:val="Prrafodelista"/>
        <w:numPr>
          <w:ilvl w:val="0"/>
          <w:numId w:val="18"/>
        </w:numPr>
        <w:jc w:val="both"/>
        <w:rPr>
          <w:rFonts w:ascii="Times" w:hAnsi="Times" w:cs="Times"/>
          <w:sz w:val="20"/>
          <w:szCs w:val="20"/>
          <w:lang w:val="en-US"/>
        </w:rPr>
      </w:pPr>
      <w:r w:rsidRPr="00B441BA">
        <w:rPr>
          <w:rFonts w:ascii="Times" w:hAnsi="Times" w:cs="Times"/>
          <w:sz w:val="20"/>
          <w:szCs w:val="20"/>
          <w:lang w:val="en-US"/>
        </w:rPr>
        <w:t>Extraction of requirements from the literature review</w:t>
      </w:r>
    </w:p>
    <w:p w14:paraId="78216EB1" w14:textId="77777777" w:rsidR="00B441BA" w:rsidRDefault="00B441BA" w:rsidP="00B441BA">
      <w:pPr>
        <w:pStyle w:val="Prrafodelista"/>
        <w:numPr>
          <w:ilvl w:val="0"/>
          <w:numId w:val="18"/>
        </w:numPr>
        <w:jc w:val="both"/>
        <w:rPr>
          <w:rFonts w:ascii="Times" w:hAnsi="Times" w:cs="Times"/>
          <w:sz w:val="20"/>
          <w:szCs w:val="20"/>
          <w:lang w:val="en-US"/>
        </w:rPr>
      </w:pPr>
      <w:r w:rsidRPr="00B441BA">
        <w:rPr>
          <w:rFonts w:ascii="Times" w:hAnsi="Times" w:cs="Times"/>
          <w:sz w:val="20"/>
          <w:szCs w:val="20"/>
          <w:lang w:val="en-US"/>
        </w:rPr>
        <w:t>Obtaining the security specifications from the sources and generating the SECM-CAT catalog</w:t>
      </w:r>
    </w:p>
    <w:p w14:paraId="6981C1C9" w14:textId="034B3AF5" w:rsidR="00B441BA" w:rsidRPr="00B441BA" w:rsidRDefault="00B441BA" w:rsidP="00B441BA">
      <w:pPr>
        <w:pStyle w:val="Prrafodelista"/>
        <w:numPr>
          <w:ilvl w:val="0"/>
          <w:numId w:val="18"/>
        </w:numPr>
        <w:jc w:val="both"/>
        <w:rPr>
          <w:rFonts w:ascii="Times" w:hAnsi="Times" w:cs="Times"/>
          <w:sz w:val="20"/>
          <w:szCs w:val="20"/>
          <w:lang w:val="en-US"/>
        </w:rPr>
      </w:pPr>
      <w:r w:rsidRPr="00B441BA">
        <w:rPr>
          <w:rFonts w:ascii="Times" w:hAnsi="Times" w:cs="Times"/>
          <w:sz w:val="20"/>
          <w:szCs w:val="20"/>
          <w:lang w:val="en-US"/>
        </w:rPr>
        <w:t>Maintenance and improvement</w:t>
      </w:r>
    </w:p>
    <w:p w14:paraId="7F41A4B3" w14:textId="77777777" w:rsidR="00B441BA" w:rsidRPr="00B441BA" w:rsidRDefault="00B441BA" w:rsidP="00B441BA">
      <w:pPr>
        <w:jc w:val="both"/>
        <w:rPr>
          <w:rFonts w:ascii="Times" w:hAnsi="Times" w:cs="Times"/>
          <w:sz w:val="20"/>
          <w:szCs w:val="20"/>
          <w:lang w:val="en-US"/>
        </w:rPr>
      </w:pPr>
      <w:r w:rsidRPr="00B441BA">
        <w:rPr>
          <w:rFonts w:ascii="Times" w:hAnsi="Times" w:cs="Times"/>
          <w:sz w:val="20"/>
          <w:szCs w:val="20"/>
          <w:lang w:val="en-US"/>
        </w:rPr>
        <w:t xml:space="preserve">The overall process is shown in Figure S3.1.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4F450A03" w14:textId="729DBCE6" w:rsidR="00B441BA" w:rsidRDefault="00774444" w:rsidP="00B441BA">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774444">
        <w:rPr>
          <w:rFonts w:ascii="Times" w:eastAsia="Times New Roman" w:hAnsi="Times" w:cs="Times"/>
          <w:b/>
          <w:bCs/>
          <w:sz w:val="17"/>
          <w:szCs w:val="20"/>
          <w:lang w:val="en-US" w:eastAsia="de-DE"/>
        </w:rPr>
        <w:t>Figure S3.1</w:t>
      </w:r>
      <w:r>
        <w:rPr>
          <w:rFonts w:ascii="Times" w:eastAsia="Times New Roman" w:hAnsi="Times" w:cs="Times"/>
          <w:b/>
          <w:bCs/>
          <w:sz w:val="17"/>
          <w:szCs w:val="20"/>
          <w:lang w:val="en-US" w:eastAsia="de-DE"/>
        </w:rPr>
        <w:t>:</w:t>
      </w:r>
      <w:r w:rsidRPr="00774444">
        <w:rPr>
          <w:rFonts w:ascii="Times" w:eastAsia="Times New Roman" w:hAnsi="Times" w:cs="Times"/>
          <w:b/>
          <w:bCs/>
          <w:sz w:val="17"/>
          <w:szCs w:val="20"/>
          <w:lang w:val="en-US" w:eastAsia="de-DE"/>
        </w:rPr>
        <w:t xml:space="preserve"> Process of developing the security SRS</w:t>
      </w:r>
    </w:p>
    <w:p w14:paraId="4C86509B" w14:textId="77777777" w:rsidR="005E06D5" w:rsidRDefault="005E06D5" w:rsidP="00B441BA">
      <w:pPr>
        <w:jc w:val="both"/>
        <w:rPr>
          <w:rFonts w:ascii="Times" w:hAnsi="Times" w:cs="Times"/>
          <w:sz w:val="20"/>
          <w:szCs w:val="20"/>
          <w:lang w:val="en-US"/>
        </w:rPr>
      </w:pPr>
    </w:p>
    <w:p w14:paraId="2C1A3661" w14:textId="5B564C1D" w:rsidR="00B441BA" w:rsidRPr="002654FF" w:rsidRDefault="005E06D5" w:rsidP="00B441BA">
      <w:pPr>
        <w:jc w:val="both"/>
        <w:rPr>
          <w:rFonts w:ascii="Times" w:hAnsi="Times" w:cs="Times"/>
          <w:sz w:val="20"/>
          <w:szCs w:val="20"/>
          <w:lang w:val="en-US"/>
        </w:rPr>
      </w:pPr>
      <w:r w:rsidRPr="005E06D5">
        <w:rPr>
          <w:rFonts w:ascii="Times" w:hAnsi="Times" w:cs="Times"/>
          <w:sz w:val="20"/>
          <w:szCs w:val="20"/>
          <w:lang w:val="en-US"/>
        </w:rPr>
        <w:t>A four-phase workflow to develop SECM-CAT, including source identification, requirement extraction, SRS consolidation, and iterative maintenance and improvement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0" w:name="_Hlk172976796"/>
      <w:bookmarkStart w:id="1"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0"/>
    </w:p>
    <w:p w14:paraId="20B4DDD2" w14:textId="5FB0A69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2" w:name="_Hlk170162340"/>
      <w:bookmarkEnd w:id="1"/>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76BE5C0D"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EndPr/>
        <w:sdtContent>
          <w:r w:rsidR="00F22296" w:rsidRPr="00F22296">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2"/>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The extraction of specifications for the items in section “2.1” does not consider resources such as the GDPR, UK and Canadian privacy legislation, and the OECD Privacy Principles, as the focus remains on security. Table 1 presents a summary of the security requirements obtained from each source of information.</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77777777"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Table 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58696C5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EndPr/>
              <w:sdtContent>
                <w:r w:rsidR="00F22296" w:rsidRPr="00F22296">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7A9FB78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Open Source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EndPr/>
              <w:sdtContent>
                <w:r w:rsidR="00F22296" w:rsidRPr="00F22296">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11E5BDFB"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EndPr/>
              <w:sdtContent>
                <w:r w:rsidR="00F22296" w:rsidRPr="00F22296">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55AFCBA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EndPr/>
              <w:sdtContent>
                <w:r w:rsidR="00F22296" w:rsidRPr="00F22296">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098BE5E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EndPr/>
              <w:sdtContent>
                <w:r w:rsidR="00F22296" w:rsidRPr="00F22296">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212AC2C9"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EndPr/>
              <w:sdtContent>
                <w:r w:rsidR="00F22296" w:rsidRPr="00F22296">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0C7D50D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EndPr/>
              <w:sdtContent>
                <w:r w:rsidR="00F22296" w:rsidRPr="00F22296">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1DD4842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EndPr/>
              <w:sdtContent>
                <w:r w:rsidR="00F22296" w:rsidRPr="00F22296">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335151C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EndPr/>
              <w:sdtContent>
                <w:r w:rsidR="00F22296" w:rsidRPr="00F22296">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1479717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EndPr/>
              <w:sdtContent>
                <w:r w:rsidR="00F22296" w:rsidRPr="00F22296">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14CE393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EndPr/>
              <w:sdtContent>
                <w:r w:rsidR="00F22296" w:rsidRPr="00F22296">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3DE24C89"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EndPr/>
              <w:sdtContent>
                <w:r w:rsidR="00F22296" w:rsidRPr="00F22296">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1375D87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EndPr/>
              <w:sdtContent>
                <w:r w:rsidR="00F22296" w:rsidRPr="00F22296">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72181E1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EndPr/>
              <w:sdtContent>
                <w:r w:rsidR="00F22296" w:rsidRPr="00F22296">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68A2B8F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EndPr/>
              <w:sdtContent>
                <w:r w:rsidR="00F22296" w:rsidRPr="00F22296">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1F49DCC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Sethia,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EndPr/>
              <w:sdtContent>
                <w:r w:rsidR="00F22296" w:rsidRPr="00F22296">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195E073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EndPr/>
              <w:sdtContent>
                <w:r w:rsidR="00F22296" w:rsidRPr="00F22296">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38FEA91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EndPr/>
              <w:sdtContent>
                <w:r w:rsidR="00F22296" w:rsidRPr="00F22296">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0508811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EndPr/>
              <w:sdtContent>
                <w:r w:rsidR="00F22296" w:rsidRPr="00F22296">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290B86F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EndPr/>
              <w:sdtContent>
                <w:r w:rsidR="00F22296" w:rsidRPr="00F22296">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488377F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EndPr/>
              <w:sdtContent>
                <w:r w:rsidR="00F22296" w:rsidRPr="00F22296">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0E2F1A70"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EndPr/>
              <w:sdtContent>
                <w:r w:rsidR="00F22296" w:rsidRPr="00F22296">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08C22215"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Ferrag,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EndPr/>
              <w:sdtContent>
                <w:r w:rsidR="00F22296" w:rsidRPr="00F22296">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19D48F6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Papageorgiou,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EndPr/>
              <w:sdtContent>
                <w:r w:rsidR="00F22296" w:rsidRPr="00F22296">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6D1617D3"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t xml:space="preserve">R. Rezaee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EndPr/>
              <w:sdtContent>
                <w:r w:rsidR="00F22296" w:rsidRPr="00F22296">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0C4795A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EndPr/>
              <w:sdtContent>
                <w:r w:rsidR="00F22296" w:rsidRPr="00F22296">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4F4C658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Wazid,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EndPr/>
              <w:sdtContent>
                <w:r w:rsidR="00F22296" w:rsidRPr="00F22296">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564E7672"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Luxton,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EndPr/>
              <w:sdtContent>
                <w:r w:rsidR="00F22296" w:rsidRPr="00F22296">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6D7E8D1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EndPr/>
              <w:sdtContent>
                <w:r w:rsidR="00F22296" w:rsidRPr="00F22296">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553F085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EndPr/>
              <w:sdtContent>
                <w:r w:rsidR="00F22296" w:rsidRPr="00F22296">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1A1C674C"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 xml:space="preserve">For developing the software requirements catalog, the following phases were executed: (i) identification of relevant sources, (ii) extraction of requirements from the literature review, (iii) obtaining the security specifications from the sources and generating the SECM-CAT catalog, and finally, (iv) maintenance and improvement, as shown in Figure 1. </w:t>
      </w:r>
    </w:p>
    <w:p w14:paraId="3FF26D01" w14:textId="77777777" w:rsidR="00137A4D" w:rsidRDefault="00137A4D" w:rsidP="00137A4D">
      <w:pPr>
        <w:overflowPunct w:val="0"/>
        <w:autoSpaceDE w:val="0"/>
        <w:autoSpaceDN w:val="0"/>
        <w:adjustRightInd w:val="0"/>
        <w:jc w:val="both"/>
        <w:textAlignment w:val="baseline"/>
        <w:rPr>
          <w:rFonts w:ascii="Times" w:eastAsia="Times New Roman" w:hAnsi="Times" w:cs="Times"/>
          <w:sz w:val="20"/>
          <w:szCs w:val="20"/>
          <w:lang w:val="en-US" w:eastAsia="de-DE"/>
        </w:rPr>
      </w:pPr>
    </w:p>
    <w:p w14:paraId="524C959B" w14:textId="7239354B" w:rsidR="00137A4D" w:rsidRDefault="00137A4D" w:rsidP="00137A4D">
      <w:pPr>
        <w:overflowPunct w:val="0"/>
        <w:autoSpaceDE w:val="0"/>
        <w:autoSpaceDN w:val="0"/>
        <w:adjustRightInd w:val="0"/>
        <w:ind w:firstLine="142"/>
        <w:jc w:val="both"/>
        <w:textAlignment w:val="baseline"/>
        <w:rPr>
          <w:rFonts w:ascii="Times" w:eastAsia="Times" w:hAnsi="Times" w:cs="Times"/>
          <w:sz w:val="20"/>
          <w:szCs w:val="20"/>
          <w:lang w:val="en-US"/>
        </w:rPr>
      </w:pPr>
      <w:r>
        <w:rPr>
          <w:rFonts w:ascii="Times" w:eastAsia="Times New Roman" w:hAnsi="Times" w:cs="Times"/>
          <w:sz w:val="20"/>
          <w:szCs w:val="20"/>
          <w:lang w:val="en-US" w:eastAsia="de-DE"/>
        </w:rPr>
        <w:t>A requirement could be generated from multiple sources due to the examination of various documents; therefore, to mitigate conceptual redundancies within the SECM-CAT document, the authors employed a harmonization process derived from Pardo et al.’s framework, which encompasses homogenization and comparison techniques</w:t>
      </w:r>
      <w:r>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EndPr/>
        <w:sdtContent>
          <w:r w:rsidR="00F22296" w:rsidRPr="00F22296">
            <w:rPr>
              <w:rFonts w:ascii="Times" w:eastAsia="Times" w:hAnsi="Times" w:cs="Times"/>
              <w:color w:val="000000"/>
              <w:sz w:val="20"/>
              <w:szCs w:val="20"/>
              <w:lang w:val="en-US"/>
            </w:rPr>
            <w:t>[42]</w:t>
          </w:r>
        </w:sdtContent>
      </w:sdt>
      <w:r>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3"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5F1437C5" w14:textId="7494828E" w:rsidR="00137A4D" w:rsidRDefault="00137A4D" w:rsidP="00137A4D">
      <w:pPr>
        <w:overflowPunct w:val="0"/>
        <w:autoSpaceDE w:val="0"/>
        <w:autoSpaceDN w:val="0"/>
        <w:adjustRightInd w:val="0"/>
        <w:jc w:val="both"/>
        <w:textAlignment w:val="baseline"/>
        <w:rPr>
          <w:rFonts w:ascii="Times" w:eastAsia="Times" w:hAnsi="Times" w:cs="Times"/>
          <w:sz w:val="20"/>
          <w:szCs w:val="20"/>
          <w:lang w:val="en-US"/>
        </w:rPr>
      </w:pPr>
      <w:r>
        <w:rPr>
          <w:rFonts w:ascii="Times" w:eastAsia="Times" w:hAnsi="Times" w:cs="Times"/>
          <w:sz w:val="20"/>
          <w:szCs w:val="20"/>
          <w:lang w:val="en-US"/>
        </w:rPr>
        <w:t xml:space="preserve">Its fundamental purpose is to create documents for future comparative assessment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525339487"/>
          <w:placeholder>
            <w:docPart w:val="D43B341C9F194ED18E9D624AA454E2EA"/>
          </w:placeholder>
        </w:sdtPr>
        <w:sdtEndPr/>
        <w:sdtContent>
          <w:r w:rsidR="00F22296" w:rsidRPr="00F22296">
            <w:rPr>
              <w:rFonts w:ascii="Times" w:eastAsia="Times" w:hAnsi="Times" w:cs="Times"/>
              <w:color w:val="000000"/>
              <w:sz w:val="20"/>
              <w:szCs w:val="20"/>
              <w:lang w:val="en-US"/>
            </w:rPr>
            <w:t>[43]</w:t>
          </w:r>
        </w:sdtContent>
      </w:sdt>
      <w:r>
        <w:rPr>
          <w:rFonts w:ascii="Times" w:eastAsia="Times" w:hAnsi="Times" w:cs="Times"/>
          <w:sz w:val="20"/>
          <w:szCs w:val="20"/>
          <w:lang w:val="en-US"/>
        </w:rPr>
        <w:t>. The steps undertaken included:</w:t>
      </w:r>
    </w:p>
    <w:p w14:paraId="25AC5FF4" w14:textId="77777777" w:rsidR="00137A4D" w:rsidRDefault="00137A4D" w:rsidP="00137A4D">
      <w:pPr>
        <w:pStyle w:val="Prrafodelista"/>
        <w:numPr>
          <w:ilvl w:val="0"/>
          <w:numId w:val="14"/>
        </w:numPr>
        <w:overflowPunct w:val="0"/>
        <w:autoSpaceDE w:val="0"/>
        <w:autoSpaceDN w:val="0"/>
        <w:adjustRightInd w:val="0"/>
        <w:spacing w:after="0" w:line="240" w:lineRule="auto"/>
        <w:ind w:left="567"/>
        <w:jc w:val="both"/>
        <w:textAlignment w:val="baseline"/>
        <w:rPr>
          <w:rFonts w:ascii="Times" w:eastAsia="Times" w:hAnsi="Times" w:cs="Times"/>
          <w:sz w:val="20"/>
          <w:szCs w:val="20"/>
          <w:lang w:val="en-US"/>
        </w:rPr>
      </w:pPr>
      <w:r>
        <w:rPr>
          <w:rFonts w:ascii="Times" w:eastAsia="Times" w:hAnsi="Times" w:cs="Times"/>
          <w:b/>
          <w:bCs/>
          <w:sz w:val="20"/>
          <w:szCs w:val="20"/>
          <w:lang w:val="en-US"/>
        </w:rPr>
        <w:t>Acquisition of knowledge</w:t>
      </w:r>
      <w:r>
        <w:rPr>
          <w:rFonts w:ascii="Times" w:eastAsia="Times" w:hAnsi="Times" w:cs="Times"/>
          <w:sz w:val="20"/>
          <w:szCs w:val="20"/>
          <w:lang w:val="en-US"/>
        </w:rPr>
        <w:t xml:space="preserve"> through the examination of pertinent norms, standards, and procedures, alongside an analysis of their structural and terminological aspects to establish selection criteria.</w:t>
      </w:r>
    </w:p>
    <w:p w14:paraId="60E9CFE2" w14:textId="77777777" w:rsidR="00137A4D" w:rsidRDefault="00137A4D" w:rsidP="00137A4D">
      <w:pPr>
        <w:pStyle w:val="Prrafodelista"/>
        <w:numPr>
          <w:ilvl w:val="0"/>
          <w:numId w:val="14"/>
        </w:numPr>
        <w:overflowPunct w:val="0"/>
        <w:autoSpaceDE w:val="0"/>
        <w:autoSpaceDN w:val="0"/>
        <w:adjustRightInd w:val="0"/>
        <w:spacing w:after="0" w:line="240" w:lineRule="auto"/>
        <w:ind w:left="567"/>
        <w:jc w:val="both"/>
        <w:textAlignment w:val="baseline"/>
        <w:rPr>
          <w:rFonts w:ascii="Times" w:eastAsia="Times" w:hAnsi="Times" w:cs="Times"/>
          <w:sz w:val="20"/>
          <w:szCs w:val="20"/>
          <w:lang w:val="en-US"/>
        </w:rPr>
      </w:pPr>
      <w:r>
        <w:rPr>
          <w:rFonts w:ascii="Times" w:eastAsia="Times" w:hAnsi="Times" w:cs="Times"/>
          <w:b/>
          <w:bCs/>
          <w:sz w:val="20"/>
          <w:szCs w:val="20"/>
          <w:lang w:val="en-US"/>
        </w:rPr>
        <w:t xml:space="preserve">Recognition of relevant data </w:t>
      </w:r>
      <w:r>
        <w:rPr>
          <w:rFonts w:ascii="Times" w:eastAsia="Times" w:hAnsi="Times" w:cs="Times"/>
          <w:sz w:val="20"/>
          <w:szCs w:val="20"/>
          <w:lang w:val="en-US"/>
        </w:rPr>
        <w:t>was performed for integration and organization.</w:t>
      </w:r>
    </w:p>
    <w:p w14:paraId="04D8EC71" w14:textId="77777777" w:rsidR="00137A4D" w:rsidRDefault="00137A4D" w:rsidP="00137A4D">
      <w:pPr>
        <w:pStyle w:val="Prrafodelista"/>
        <w:numPr>
          <w:ilvl w:val="0"/>
          <w:numId w:val="14"/>
        </w:numPr>
        <w:overflowPunct w:val="0"/>
        <w:autoSpaceDE w:val="0"/>
        <w:autoSpaceDN w:val="0"/>
        <w:adjustRightInd w:val="0"/>
        <w:spacing w:after="0" w:line="240" w:lineRule="auto"/>
        <w:ind w:left="567"/>
        <w:jc w:val="both"/>
        <w:textAlignment w:val="baseline"/>
        <w:rPr>
          <w:rFonts w:ascii="Times" w:eastAsia="Times" w:hAnsi="Times" w:cs="Times"/>
          <w:sz w:val="20"/>
          <w:szCs w:val="20"/>
          <w:lang w:val="en-US"/>
        </w:rPr>
      </w:pPr>
      <w:r>
        <w:rPr>
          <w:rFonts w:ascii="Times" w:eastAsia="Times" w:hAnsi="Times" w:cs="Times"/>
          <w:b/>
          <w:bCs/>
          <w:sz w:val="20"/>
          <w:szCs w:val="20"/>
          <w:lang w:val="en-US"/>
        </w:rPr>
        <w:t>Comparison stage:</w:t>
      </w:r>
      <w:r>
        <w:rPr>
          <w:rFonts w:ascii="Times" w:eastAsia="Times" w:hAnsi="Times" w:cs="Times"/>
          <w:sz w:val="20"/>
          <w:szCs w:val="20"/>
          <w:lang w:val="en-US"/>
        </w:rPr>
        <w:t xml:space="preserve"> Homogenization was achieved through an objective alignment of information with the model process elements, covering each aspect of the OWASP Mobile Top 10 framework.</w:t>
      </w:r>
    </w:p>
    <w:p w14:paraId="10F36EA4" w14:textId="77777777" w:rsidR="00137A4D" w:rsidRDefault="00137A4D" w:rsidP="00137A4D">
      <w:pPr>
        <w:overflowPunct w:val="0"/>
        <w:autoSpaceDE w:val="0"/>
        <w:autoSpaceDN w:val="0"/>
        <w:adjustRightInd w:val="0"/>
        <w:jc w:val="both"/>
        <w:textAlignment w:val="baseline"/>
        <w:rPr>
          <w:rFonts w:ascii="Times" w:eastAsia="Times" w:hAnsi="Times" w:cs="Times"/>
          <w:b/>
          <w:bCs/>
          <w:sz w:val="20"/>
          <w:szCs w:val="20"/>
          <w:lang w:val="en-US"/>
        </w:rPr>
      </w:pPr>
    </w:p>
    <w:p w14:paraId="667BB965" w14:textId="160D03A9"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r>
        <w:rPr>
          <w:rFonts w:ascii="Times" w:eastAsia="Times New Roman" w:hAnsi="Times" w:cs="Times"/>
          <w:b/>
          <w:bCs/>
          <w:sz w:val="20"/>
          <w:szCs w:val="20"/>
          <w:lang w:val="en-US" w:eastAsia="de-DE"/>
        </w:rPr>
        <w:t>:</w:t>
      </w:r>
    </w:p>
    <w:p w14:paraId="65E836E8" w14:textId="1BBAC09B" w:rsidR="00137A4D" w:rsidRDefault="00137A4D" w:rsidP="00137A4D">
      <w:pPr>
        <w:overflowPunct w:val="0"/>
        <w:autoSpaceDE w:val="0"/>
        <w:autoSpaceDN w:val="0"/>
        <w:adjustRightInd w:val="0"/>
        <w:jc w:val="both"/>
        <w:textAlignment w:val="baseline"/>
        <w:rPr>
          <w:rFonts w:ascii="Times" w:eastAsia="Times" w:hAnsi="Times" w:cs="Times"/>
          <w:sz w:val="20"/>
          <w:szCs w:val="20"/>
          <w:lang w:val="en-US"/>
        </w:rPr>
      </w:pPr>
      <w:r>
        <w:rPr>
          <w:rFonts w:ascii="Times" w:eastAsia="Times New Roman" w:hAnsi="Times" w:cs="Times"/>
          <w:sz w:val="20"/>
          <w:szCs w:val="20"/>
          <w:lang w:val="en-US" w:eastAsia="de-DE"/>
        </w:rPr>
        <w:t>This method helped identify differences and commonalities among</w:t>
      </w:r>
      <w:r>
        <w:rPr>
          <w:rFonts w:ascii="Times" w:eastAsia="Times" w:hAnsi="Times" w:cs="Times"/>
          <w:sz w:val="20"/>
          <w:szCs w:val="20"/>
          <w:lang w:val="en-US"/>
        </w:rPr>
        <w:t xml:space="preserve"> normative documents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1689366565"/>
          <w:placeholder>
            <w:docPart w:val="FD42443D7A5D4AC7899871CE4D4A4FFE"/>
          </w:placeholder>
        </w:sdtPr>
        <w:sdtEndPr/>
        <w:sdtContent>
          <w:r w:rsidR="00F22296" w:rsidRPr="00F22296">
            <w:rPr>
              <w:rFonts w:ascii="Times" w:eastAsia="Times" w:hAnsi="Times" w:cs="Times"/>
              <w:color w:val="000000"/>
              <w:sz w:val="20"/>
              <w:szCs w:val="20"/>
              <w:lang w:val="en-US"/>
            </w:rPr>
            <w:t>[44]</w:t>
          </w:r>
        </w:sdtContent>
      </w:sdt>
      <w:r>
        <w:rPr>
          <w:rFonts w:ascii="Times" w:eastAsia="Times" w:hAnsi="Times" w:cs="Times"/>
          <w:sz w:val="20"/>
          <w:szCs w:val="20"/>
          <w:lang w:val="en-US"/>
        </w:rPr>
        <w:t>, through the following procedure:</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3"/>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44BCD1F3" w14:textId="1EA3CE5F"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As a result of this process, the SECM-CAT was consolidated as an SRS aligned with the ISO/IEC/IEEE 29148:2018 standard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35079057"/>
          <w:placeholder>
            <w:docPart w:val="BDF8214B1A144821B1D4E0F644D7698B"/>
          </w:placeholder>
        </w:sdtPr>
        <w:sdtEndPr/>
        <w:sdtContent>
          <w:r w:rsidR="00F22296" w:rsidRPr="00F22296">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and although OWASP includes a privacy-labeled category, we use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413196031"/>
          <w:placeholder>
            <w:docPart w:val="89E78F1BDDB64D0FBFD564712734D5DF"/>
          </w:placeholder>
        </w:sdtPr>
        <w:sdtEndPr/>
        <w:sdtContent>
          <w:r w:rsidR="00F22296" w:rsidRPr="00F22296">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as a taxonomic structure for organizing technical weaknesses; the analysis and compliance assessment in this manuscript remain scoped to software security. Table </w:t>
      </w:r>
      <w:r w:rsidR="00784C39">
        <w:rPr>
          <w:rFonts w:ascii="Times" w:eastAsia="Times New Roman" w:hAnsi="Times" w:cs="Times"/>
          <w:sz w:val="20"/>
          <w:szCs w:val="20"/>
          <w:lang w:val="en-US" w:eastAsia="de-DE"/>
        </w:rPr>
        <w:t>S</w:t>
      </w:r>
      <w:r w:rsidR="0085342F">
        <w:rPr>
          <w:rFonts w:ascii="Times" w:eastAsia="Times New Roman" w:hAnsi="Times" w:cs="Times"/>
          <w:sz w:val="20"/>
          <w:szCs w:val="20"/>
          <w:lang w:val="en-US" w:eastAsia="de-DE"/>
        </w:rPr>
        <w:t>3.</w:t>
      </w:r>
      <w:r w:rsidR="0046789E">
        <w:rPr>
          <w:rFonts w:ascii="Times" w:eastAsia="Times New Roman" w:hAnsi="Times" w:cs="Times"/>
          <w:sz w:val="20"/>
          <w:szCs w:val="20"/>
          <w:lang w:val="en-US" w:eastAsia="de-DE"/>
        </w:rPr>
        <w:t>1</w:t>
      </w:r>
      <w:r>
        <w:rPr>
          <w:rFonts w:ascii="Times" w:eastAsia="Times New Roman" w:hAnsi="Times" w:cs="Times"/>
          <w:sz w:val="20"/>
          <w:szCs w:val="20"/>
          <w:lang w:val="en-US" w:eastAsia="de-DE"/>
        </w:rPr>
        <w:t xml:space="preserve"> summarizes the final catalog organization with its specifications according to the categories. </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0D30DFD7"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4" w:name="_Hlk170858282"/>
      <w:bookmarkStart w:id="5" w:name="_Hlk171184308"/>
      <w:r>
        <w:rPr>
          <w:rFonts w:ascii="Times" w:eastAsia="Times New Roman" w:hAnsi="Times" w:cs="Times"/>
          <w:b/>
          <w:sz w:val="17"/>
          <w:szCs w:val="18"/>
          <w:lang w:val="en-US" w:eastAsia="de-DE"/>
        </w:rPr>
        <w:t xml:space="preserve">Table </w:t>
      </w:r>
      <w:r w:rsidR="00784C39">
        <w:rPr>
          <w:rFonts w:ascii="Times" w:eastAsia="Times New Roman" w:hAnsi="Times" w:cs="Times"/>
          <w:b/>
          <w:sz w:val="17"/>
          <w:szCs w:val="18"/>
          <w:lang w:val="en-US" w:eastAsia="de-DE"/>
        </w:rPr>
        <w:t>S</w:t>
      </w:r>
      <w:r w:rsidR="0085342F">
        <w:rPr>
          <w:rFonts w:ascii="Times" w:eastAsia="Times New Roman" w:hAnsi="Times" w:cs="Times"/>
          <w:b/>
          <w:sz w:val="17"/>
          <w:szCs w:val="18"/>
          <w:lang w:val="en-US" w:eastAsia="de-DE"/>
        </w:rPr>
        <w:t>3.</w:t>
      </w:r>
      <w:r w:rsidR="0046789E">
        <w:rPr>
          <w:rFonts w:ascii="Times" w:eastAsia="Times New Roman" w:hAnsi="Times" w:cs="Times"/>
          <w:b/>
          <w:sz w:val="17"/>
          <w:szCs w:val="18"/>
          <w:lang w:val="en-US" w:eastAsia="de-DE"/>
        </w:rPr>
        <w:t>1</w:t>
      </w:r>
      <w:r>
        <w:rPr>
          <w:rFonts w:ascii="Times" w:eastAsia="Times New Roman" w:hAnsi="Times" w:cs="Times"/>
          <w:b/>
          <w:sz w:val="17"/>
          <w:szCs w:val="18"/>
          <w:lang w:val="en-US" w:eastAsia="de-DE"/>
        </w:rPr>
        <w:t>: Overview of contents according to 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4"/>
      <w:bookmarkEnd w:id="5"/>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5C705AC" w14:textId="4C98D803"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6" w:name="_Hlk170165696"/>
      <w:r>
        <w:rPr>
          <w:rFonts w:ascii="Times" w:eastAsia="Times New Roman" w:hAnsi="Times" w:cs="Times"/>
          <w:sz w:val="20"/>
          <w:szCs w:val="20"/>
          <w:lang w:val="en-US" w:eastAsia="de-DE"/>
        </w:rPr>
        <w:t xml:space="preserve">Under this structure, 469 security requirements were consolidated into 10 subcategories, according to the OWASP Mobile Top 10 2024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530993304"/>
          <w:placeholder>
            <w:docPart w:val="A55772FBFD414EADB7893C4848AB5A00"/>
          </w:placeholder>
        </w:sdtPr>
        <w:sdtEndPr/>
        <w:sdtContent>
          <w:r w:rsidR="00F22296" w:rsidRPr="00F22296">
            <w:rPr>
              <w:rFonts w:ascii="Times" w:eastAsia="Times New Roman" w:hAnsi="Times" w:cs="Times"/>
              <w:color w:val="000000"/>
              <w:sz w:val="20"/>
              <w:szCs w:val="20"/>
              <w:lang w:val="en-US" w:eastAsia="de-DE"/>
            </w:rPr>
            <w:t>[2]</w:t>
          </w:r>
        </w:sdtContent>
      </w:sdt>
      <w:r>
        <w:rPr>
          <w:rFonts w:ascii="Times" w:eastAsia="Times New Roman" w:hAnsi="Times" w:cs="Times"/>
          <w:sz w:val="20"/>
          <w:szCs w:val="20"/>
          <w:lang w:val="en-US" w:eastAsia="de-DE"/>
        </w:rPr>
        <w:t>, and documented in section “2.9.3. Security” of the SRS “</w:t>
      </w:r>
      <w:hyperlink r:id="rId9" w:history="1">
        <w:r>
          <w:rPr>
            <w:rStyle w:val="Hipervnculo"/>
            <w:rFonts w:ascii="Times" w:eastAsia="Times New Roman" w:hAnsi="Times" w:cs="Times"/>
            <w:sz w:val="20"/>
            <w:szCs w:val="20"/>
            <w:lang w:val="en-US" w:eastAsia="de-DE"/>
          </w:rPr>
          <w:t>Software Requirements Specification for Security on mHealth applications</w:t>
        </w:r>
      </w:hyperlink>
      <w:r>
        <w:rPr>
          <w:rFonts w:ascii="Times" w:eastAsia="Times New Roman" w:hAnsi="Times" w:cs="Times"/>
          <w:sz w:val="20"/>
          <w:szCs w:val="20"/>
          <w:lang w:val="en-US" w:eastAsia="de-DE"/>
        </w:rPr>
        <w:t>”</w:t>
      </w:r>
      <w:r>
        <w:rPr>
          <w:rStyle w:val="Refdenotaalpie"/>
          <w:rFonts w:ascii="Times" w:eastAsia="Times New Roman" w:hAnsi="Times" w:cs="Times"/>
          <w:sz w:val="20"/>
          <w:szCs w:val="20"/>
          <w:lang w:val="en-US" w:eastAsia="de-DE"/>
        </w:rPr>
        <w:footnoteReference w:id="1"/>
      </w:r>
      <w:r>
        <w:rPr>
          <w:rFonts w:ascii="Times" w:eastAsia="Times New Roman" w:hAnsi="Times" w:cs="Times"/>
          <w:sz w:val="20"/>
          <w:szCs w:val="20"/>
          <w:lang w:val="en-US" w:eastAsia="de-DE"/>
        </w:rPr>
        <w:t>.</w:t>
      </w:r>
      <w:bookmarkStart w:id="7" w:name="_Hlk170166342"/>
      <w:r>
        <w:rPr>
          <w:rFonts w:ascii="Times" w:eastAsia="Times New Roman" w:hAnsi="Times" w:cs="Times"/>
          <w:sz w:val="20"/>
          <w:szCs w:val="20"/>
          <w:lang w:val="en-US" w:eastAsia="de-DE"/>
        </w:rPr>
        <w:t xml:space="preserve"> To illustrate the specification of requirements and their traceability to sources, Table </w:t>
      </w:r>
      <w:r w:rsidR="00784C39">
        <w:rPr>
          <w:rFonts w:ascii="Times" w:eastAsia="Times New Roman" w:hAnsi="Times" w:cs="Times"/>
          <w:sz w:val="20"/>
          <w:szCs w:val="20"/>
          <w:lang w:val="en-US" w:eastAsia="de-DE"/>
        </w:rPr>
        <w:t>S</w:t>
      </w:r>
      <w:r>
        <w:rPr>
          <w:rFonts w:ascii="Times" w:eastAsia="Times New Roman" w:hAnsi="Times" w:cs="Times"/>
          <w:sz w:val="20"/>
          <w:szCs w:val="20"/>
          <w:lang w:val="en-US" w:eastAsia="de-DE"/>
        </w:rPr>
        <w:t>3</w:t>
      </w:r>
      <w:r w:rsidR="00775918">
        <w:rPr>
          <w:rFonts w:ascii="Times" w:eastAsia="Times New Roman" w:hAnsi="Times" w:cs="Times"/>
          <w:sz w:val="20"/>
          <w:szCs w:val="20"/>
          <w:lang w:val="en-US" w:eastAsia="de-DE"/>
        </w:rPr>
        <w:t>.</w:t>
      </w:r>
      <w:r w:rsidR="006E631C">
        <w:rPr>
          <w:rFonts w:ascii="Times" w:eastAsia="Times New Roman" w:hAnsi="Times" w:cs="Times"/>
          <w:sz w:val="20"/>
          <w:szCs w:val="20"/>
          <w:lang w:val="en-US" w:eastAsia="de-DE"/>
        </w:rPr>
        <w:t>2</w:t>
      </w:r>
      <w:r>
        <w:rPr>
          <w:rFonts w:ascii="Times" w:eastAsia="Times New Roman" w:hAnsi="Times" w:cs="Times"/>
          <w:sz w:val="20"/>
          <w:szCs w:val="20"/>
          <w:lang w:val="en-US" w:eastAsia="de-DE"/>
        </w:rPr>
        <w:t xml:space="preserve"> presents a representative extract taken from subsection 2.9.3.2. “Inadequate Supply Chain Security” (p. 34), along with its main attributes.</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6"/>
    <w:bookmarkEnd w:id="7"/>
    <w:p w14:paraId="374569C8" w14:textId="3592677C" w:rsidR="00137A4D" w:rsidRDefault="005D2032" w:rsidP="005D2032">
      <w:pPr>
        <w:overflowPunct w:val="0"/>
        <w:autoSpaceDE w:val="0"/>
        <w:autoSpaceDN w:val="0"/>
        <w:adjustRightInd w:val="0"/>
        <w:spacing w:before="60" w:after="0" w:line="200" w:lineRule="atLeast"/>
        <w:ind w:firstLine="708"/>
        <w:textAlignment w:val="baseline"/>
        <w:rPr>
          <w:rFonts w:ascii="Times" w:eastAsia="Times New Roman" w:hAnsi="Times" w:cs="Times"/>
          <w:b/>
          <w:bCs/>
          <w:sz w:val="17"/>
          <w:szCs w:val="17"/>
          <w:lang w:val="en-US" w:eastAsia="de-DE"/>
        </w:rPr>
      </w:pPr>
      <w:r>
        <w:rPr>
          <w:rFonts w:ascii="Times" w:eastAsia="Times New Roman" w:hAnsi="Times" w:cs="Times"/>
          <w:b/>
          <w:bCs/>
          <w:sz w:val="17"/>
          <w:szCs w:val="17"/>
          <w:lang w:val="en-US" w:eastAsia="de-DE"/>
        </w:rPr>
        <w:t xml:space="preserve">      </w:t>
      </w:r>
      <w:r w:rsidR="00137A4D">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sidR="00137A4D">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6E631C">
        <w:rPr>
          <w:rFonts w:ascii="Times" w:eastAsia="Times New Roman" w:hAnsi="Times" w:cs="Times"/>
          <w:b/>
          <w:bCs/>
          <w:sz w:val="17"/>
          <w:szCs w:val="17"/>
          <w:lang w:val="en-US" w:eastAsia="de-DE"/>
        </w:rPr>
        <w:t>2</w:t>
      </w:r>
      <w:r w:rsidR="00137A4D">
        <w:rPr>
          <w:rFonts w:ascii="Times" w:eastAsia="Times New Roman" w:hAnsi="Times" w:cs="Times"/>
          <w:b/>
          <w:bCs/>
          <w:sz w:val="17"/>
          <w:szCs w:val="17"/>
          <w:lang w:val="en-US" w:eastAsia="de-DE"/>
        </w:rPr>
        <w:t>: Illustration of a requirement</w:t>
      </w:r>
      <w:r w:rsidR="00137A4D">
        <w:rPr>
          <w:rFonts w:ascii="Times" w:eastAsia="Times New Roman" w:hAnsi="Times" w:cs="Times"/>
          <w:b/>
          <w:bCs/>
          <w:sz w:val="16"/>
          <w:szCs w:val="16"/>
          <w:lang w:val="en-US" w:eastAsia="de-DE"/>
        </w:rPr>
        <w:t>.</w:t>
      </w:r>
    </w:p>
    <w:tbl>
      <w:tblPr>
        <w:tblW w:w="0" w:type="auto"/>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3"/>
      </w:tblGrid>
      <w:tr w:rsidR="00137A4D" w14:paraId="4EB68221" w14:textId="77777777" w:rsidTr="005D2032">
        <w:tc>
          <w:tcPr>
            <w:tcW w:w="6663" w:type="dxa"/>
            <w:tcBorders>
              <w:top w:val="single" w:sz="4" w:space="0" w:color="auto"/>
              <w:left w:val="single" w:sz="4" w:space="0" w:color="auto"/>
              <w:bottom w:val="single" w:sz="4" w:space="0" w:color="auto"/>
              <w:right w:val="single" w:sz="4" w:space="0" w:color="auto"/>
            </w:tcBorders>
            <w:hideMark/>
          </w:tcPr>
          <w:p w14:paraId="7CF7EFC6" w14:textId="77777777" w:rsidR="00137A4D" w:rsidRDefault="00137A4D">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bookmarkStart w:id="8" w:name="_Toc153378963"/>
            <w:r>
              <w:rPr>
                <w:rFonts w:ascii="Times" w:eastAsia="Times New Roman" w:hAnsi="Times" w:cs="Times"/>
                <w:b/>
                <w:bCs/>
                <w:sz w:val="16"/>
                <w:szCs w:val="16"/>
                <w:lang w:val="en-US" w:eastAsia="de-DE"/>
              </w:rPr>
              <w:t xml:space="preserve">PUID: </w:t>
            </w:r>
            <w:r>
              <w:rPr>
                <w:rFonts w:ascii="Times" w:eastAsia="Times New Roman" w:hAnsi="Times" w:cs="Times"/>
                <w:sz w:val="16"/>
                <w:szCs w:val="16"/>
                <w:lang w:val="en-US" w:eastAsia="de-DE"/>
              </w:rPr>
              <w:t>[SECM-CAT-ISU-016]</w:t>
            </w:r>
            <w:bookmarkEnd w:id="8"/>
          </w:p>
        </w:tc>
      </w:tr>
      <w:tr w:rsidR="00137A4D" w:rsidRPr="00692F75" w14:paraId="1E5BE412" w14:textId="77777777" w:rsidTr="005D2032">
        <w:tc>
          <w:tcPr>
            <w:tcW w:w="6663" w:type="dxa"/>
            <w:tcBorders>
              <w:top w:val="single" w:sz="4" w:space="0" w:color="auto"/>
              <w:left w:val="single" w:sz="4" w:space="0" w:color="auto"/>
              <w:bottom w:val="single" w:sz="4" w:space="0" w:color="auto"/>
              <w:right w:val="single" w:sz="4" w:space="0" w:color="auto"/>
            </w:tcBorders>
            <w:hideMark/>
          </w:tcPr>
          <w:p w14:paraId="4AAB07ED" w14:textId="77777777" w:rsidR="00137A4D" w:rsidRDefault="00137A4D">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Pr>
                <w:rFonts w:ascii="Times" w:eastAsia="Times New Roman" w:hAnsi="Times" w:cs="Times"/>
                <w:b/>
                <w:bCs/>
                <w:sz w:val="16"/>
                <w:szCs w:val="16"/>
                <w:lang w:val="en-US" w:eastAsia="de-DE"/>
              </w:rPr>
              <w:t>Requirement description:</w:t>
            </w:r>
            <w:r>
              <w:rPr>
                <w:rFonts w:ascii="Times" w:eastAsia="Times New Roman" w:hAnsi="Times" w:cs="Times"/>
                <w:sz w:val="16"/>
                <w:szCs w:val="16"/>
                <w:lang w:val="en-US" w:eastAsia="de-DE"/>
              </w:rPr>
              <w:t xml:space="preserve"> The application shall restrict the embedding of one data type within another through organization-defined limits to ensure the integrity of the data and to restrict unauthorized nesting of data.</w:t>
            </w:r>
          </w:p>
        </w:tc>
      </w:tr>
      <w:tr w:rsidR="00137A4D" w:rsidRPr="00692F75" w14:paraId="4B3F5BA7" w14:textId="77777777" w:rsidTr="005D2032">
        <w:tc>
          <w:tcPr>
            <w:tcW w:w="6663" w:type="dxa"/>
            <w:tcBorders>
              <w:top w:val="single" w:sz="4" w:space="0" w:color="auto"/>
              <w:left w:val="single" w:sz="4" w:space="0" w:color="auto"/>
              <w:bottom w:val="single" w:sz="4" w:space="0" w:color="auto"/>
              <w:right w:val="single" w:sz="4" w:space="0" w:color="auto"/>
            </w:tcBorders>
            <w:hideMark/>
          </w:tcPr>
          <w:p w14:paraId="46493944" w14:textId="77777777" w:rsidR="00137A4D" w:rsidRDefault="00137A4D">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Pr>
                <w:rFonts w:ascii="Times" w:eastAsia="Times New Roman" w:hAnsi="Times" w:cs="Times"/>
                <w:b/>
                <w:bCs/>
                <w:sz w:val="16"/>
                <w:szCs w:val="16"/>
                <w:lang w:val="en-US" w:eastAsia="de-DE"/>
              </w:rPr>
              <w:t>Source:</w:t>
            </w:r>
          </w:p>
          <w:p w14:paraId="0226BE6C" w14:textId="77777777" w:rsidR="00137A4D" w:rsidRDefault="00137A4D" w:rsidP="00137A4D">
            <w:pPr>
              <w:numPr>
                <w:ilvl w:val="0"/>
                <w:numId w:val="17"/>
              </w:num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Pr>
                <w:rFonts w:ascii="Times" w:eastAsia="Times New Roman" w:hAnsi="Times" w:cs="Times"/>
                <w:sz w:val="16"/>
                <w:szCs w:val="16"/>
                <w:lang w:val="en-US" w:eastAsia="de-DE"/>
              </w:rPr>
              <w:t>SRG-APP-000057-MAPP-000017:</w:t>
            </w:r>
            <w:r>
              <w:rPr>
                <w:rFonts w:ascii="Times" w:eastAsia="Times New Roman" w:hAnsi="Times" w:cs="Times"/>
                <w:b/>
                <w:bCs/>
                <w:sz w:val="16"/>
                <w:szCs w:val="16"/>
                <w:lang w:val="en-US" w:eastAsia="de-DE"/>
              </w:rPr>
              <w:t xml:space="preserve"> </w:t>
            </w:r>
            <w:r>
              <w:rPr>
                <w:rFonts w:ascii="Times" w:eastAsia="Times New Roman" w:hAnsi="Times" w:cs="Times"/>
                <w:sz w:val="16"/>
                <w:szCs w:val="16"/>
                <w:lang w:val="en-US" w:eastAsia="de-DE"/>
              </w:rPr>
              <w:t>The mobile app must enforce organization-defined limitations on the embedding of data types within other data types</w:t>
            </w:r>
            <w:r>
              <w:rPr>
                <w:rFonts w:ascii="Times" w:eastAsia="Times New Roman" w:hAnsi="Times" w:cs="Times"/>
                <w:b/>
                <w:bCs/>
                <w:sz w:val="16"/>
                <w:szCs w:val="16"/>
                <w:lang w:val="en-US" w:eastAsia="de-DE"/>
              </w:rPr>
              <w:t xml:space="preserve"> </w:t>
            </w:r>
            <w:r>
              <w:rPr>
                <w:rFonts w:ascii="Times" w:eastAsia="Times New Roman" w:hAnsi="Times" w:cs="Times"/>
                <w:sz w:val="16"/>
                <w:szCs w:val="16"/>
                <w:lang w:val="en-US" w:eastAsia="de-DE"/>
              </w:rPr>
              <w:t xml:space="preserve">[17]. </w:t>
            </w:r>
          </w:p>
          <w:p w14:paraId="2363EB1C" w14:textId="77777777" w:rsidR="00137A4D" w:rsidRDefault="00137A4D" w:rsidP="00137A4D">
            <w:pPr>
              <w:pStyle w:val="Prrafodelista"/>
              <w:numPr>
                <w:ilvl w:val="0"/>
                <w:numId w:val="17"/>
              </w:numPr>
              <w:spacing w:after="0" w:line="240" w:lineRule="exact"/>
              <w:jc w:val="both"/>
              <w:rPr>
                <w:rFonts w:ascii="Times" w:eastAsia="Times New Roman" w:hAnsi="Times" w:cs="Times"/>
                <w:b/>
                <w:bCs/>
                <w:sz w:val="16"/>
                <w:szCs w:val="16"/>
                <w:lang w:val="en-US" w:eastAsia="de-DE"/>
              </w:rPr>
            </w:pPr>
            <w:r>
              <w:rPr>
                <w:rFonts w:ascii="Times" w:eastAsia="Times New Roman" w:hAnsi="Times" w:cs="Times"/>
                <w:sz w:val="16"/>
                <w:szCs w:val="16"/>
                <w:lang w:val="en-US" w:eastAsia="de-DE"/>
              </w:rPr>
              <w:t>Easily adjustable security settings for different types of data [26].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57ED75F0" w14:textId="21C582D7" w:rsidR="00137A4D" w:rsidRDefault="002A6533"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E</w:t>
      </w:r>
      <w:r w:rsidR="00137A4D">
        <w:rPr>
          <w:rFonts w:ascii="Times" w:eastAsia="Times New Roman" w:hAnsi="Times" w:cs="Times"/>
          <w:sz w:val="20"/>
          <w:szCs w:val="20"/>
          <w:lang w:val="en-US" w:eastAsia="de-DE"/>
        </w:rPr>
        <w:t xml:space="preserve">ach security requirement is defined with attributes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75694206"/>
          <w:placeholder>
            <w:docPart w:val="B960BB29737F454FA87B4760737DEB07"/>
          </w:placeholder>
        </w:sdtPr>
        <w:sdtEndPr/>
        <w:sdtContent>
          <w:r w:rsidR="00F22296" w:rsidRPr="00F22296">
            <w:rPr>
              <w:rFonts w:ascii="Times" w:eastAsia="Times New Roman" w:hAnsi="Times" w:cs="Times"/>
              <w:color w:val="000000"/>
              <w:sz w:val="20"/>
              <w:szCs w:val="20"/>
              <w:lang w:val="en-US" w:eastAsia="de-DE"/>
            </w:rPr>
            <w:t>[5]</w:t>
          </w:r>
        </w:sdtContent>
      </w:sdt>
      <w:r w:rsidR="00137A4D">
        <w:rPr>
          <w:rFonts w:ascii="Times" w:eastAsia="Times New Roman" w:hAnsi="Times" w:cs="Times"/>
          <w:sz w:val="20"/>
          <w:szCs w:val="20"/>
          <w:lang w:val="en-US" w:eastAsia="de-DE"/>
        </w:rPr>
        <w:t xml:space="preserve"> to enable traceability and reuse across different applications. These attributes include the unique identifier (PUID), description, origin, justification, verification technique, validation standards, priority level, and rationale; however, for essential purposes, only the PUID, description, and justification are considered mandatory.</w:t>
      </w:r>
    </w:p>
    <w:p w14:paraId="7E745CC7" w14:textId="4CA62EE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E635D12" w14:textId="64F631A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D2EA94F" w14:textId="7221F41E"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9F25FD" w14:textId="7777777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B1AB5A8" w14:textId="4AB7D8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A024A97" w14:textId="14F42F5E"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6C9D893" w14:textId="38867EC8"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BA9068" w14:textId="02429FC8"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0F85F65" w14:textId="7777777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A30F2BB" w14:textId="77777777" w:rsidR="00F22296" w:rsidRPr="00F22296" w:rsidRDefault="00F22296">
          <w:pPr>
            <w:autoSpaceDE w:val="0"/>
            <w:autoSpaceDN w:val="0"/>
            <w:ind w:hanging="640"/>
            <w:divId w:val="2010984874"/>
            <w:rPr>
              <w:rFonts w:ascii="Times" w:eastAsia="Times New Roman" w:hAnsi="Times" w:cs="Times"/>
              <w:color w:val="000000"/>
              <w:sz w:val="20"/>
              <w:szCs w:val="24"/>
              <w:lang w:val="en-US"/>
            </w:rPr>
          </w:pPr>
          <w:r w:rsidRPr="00F22296">
            <w:rPr>
              <w:rFonts w:ascii="Times" w:eastAsia="Times New Roman" w:hAnsi="Times" w:cs="Times"/>
              <w:color w:val="000000"/>
              <w:sz w:val="20"/>
              <w:lang w:val="en-US"/>
            </w:rPr>
            <w:t>[1]</w:t>
          </w:r>
          <w:r w:rsidRPr="00F22296">
            <w:rPr>
              <w:rFonts w:ascii="Times" w:eastAsia="Times New Roman" w:hAnsi="Times" w:cs="Times"/>
              <w:color w:val="000000"/>
              <w:sz w:val="20"/>
              <w:lang w:val="en-US"/>
            </w:rPr>
            <w:tab/>
            <w:t>“IEEE SA - IEEE/ISO/IEC 29148-2018.” Accessed: May 11, 2024. [Online]. Available: https://standards.ieee.org/ieee/29148/6937/</w:t>
          </w:r>
        </w:p>
        <w:p w14:paraId="32DCC7AD" w14:textId="77777777" w:rsidR="00F22296" w:rsidRPr="00F22296" w:rsidRDefault="00F22296">
          <w:pPr>
            <w:autoSpaceDE w:val="0"/>
            <w:autoSpaceDN w:val="0"/>
            <w:ind w:hanging="640"/>
            <w:divId w:val="1862694515"/>
            <w:rPr>
              <w:rFonts w:ascii="Times" w:eastAsia="Times New Roman" w:hAnsi="Times" w:cs="Times"/>
              <w:color w:val="000000"/>
              <w:sz w:val="20"/>
              <w:lang w:val="en-US"/>
            </w:rPr>
          </w:pPr>
          <w:r w:rsidRPr="00F22296">
            <w:rPr>
              <w:rFonts w:ascii="Times" w:eastAsia="Times New Roman" w:hAnsi="Times" w:cs="Times"/>
              <w:color w:val="000000"/>
              <w:sz w:val="20"/>
              <w:lang w:val="en-US"/>
            </w:rPr>
            <w:t>[2]</w:t>
          </w:r>
          <w:r w:rsidRPr="00F22296">
            <w:rPr>
              <w:rFonts w:ascii="Times" w:eastAsia="Times New Roman" w:hAnsi="Times" w:cs="Times"/>
              <w:color w:val="000000"/>
              <w:sz w:val="20"/>
              <w:lang w:val="en-US"/>
            </w:rPr>
            <w:tab/>
            <w:t>OWASP Foundation, “OWASP Mobile Top 10.” Accessed: May 11, 2024. [Online]. Available: https://owasp.org/www-project-mobile-top-10/</w:t>
          </w:r>
        </w:p>
        <w:p w14:paraId="5AE50639" w14:textId="77777777" w:rsidR="00F22296" w:rsidRPr="00F22296" w:rsidRDefault="00F22296">
          <w:pPr>
            <w:autoSpaceDE w:val="0"/>
            <w:autoSpaceDN w:val="0"/>
            <w:ind w:hanging="640"/>
            <w:divId w:val="1228107490"/>
            <w:rPr>
              <w:rFonts w:ascii="Times" w:eastAsia="Times New Roman" w:hAnsi="Times" w:cs="Times"/>
              <w:color w:val="000000"/>
              <w:sz w:val="20"/>
              <w:lang w:val="en-US"/>
            </w:rPr>
          </w:pPr>
          <w:r w:rsidRPr="00F22296">
            <w:rPr>
              <w:rFonts w:ascii="Times" w:eastAsia="Times New Roman" w:hAnsi="Times" w:cs="Times"/>
              <w:color w:val="000000"/>
              <w:sz w:val="20"/>
              <w:lang w:val="en-US"/>
            </w:rPr>
            <w:t>[3]</w:t>
          </w:r>
          <w:r w:rsidRPr="00F22296">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r w:rsidRPr="00F22296">
            <w:rPr>
              <w:rFonts w:ascii="Times" w:eastAsia="Times New Roman" w:hAnsi="Times" w:cs="Times"/>
              <w:i/>
              <w:iCs/>
              <w:color w:val="000000"/>
              <w:sz w:val="20"/>
              <w:lang w:val="en-US"/>
            </w:rPr>
            <w:t>Requir. Eng.</w:t>
          </w:r>
          <w:r w:rsidRPr="00F22296">
            <w:rPr>
              <w:rFonts w:ascii="Times" w:eastAsia="Times New Roman" w:hAnsi="Times" w:cs="Times"/>
              <w:color w:val="000000"/>
              <w:sz w:val="20"/>
              <w:lang w:val="en-US"/>
            </w:rPr>
            <w:t>, vol. 6, pp. 205–219, Jan. 2002, doi: 10.1007/PL00010360.</w:t>
          </w:r>
        </w:p>
        <w:p w14:paraId="1F2C9266" w14:textId="77777777" w:rsidR="00F22296" w:rsidRPr="00F22296" w:rsidRDefault="00F22296">
          <w:pPr>
            <w:autoSpaceDE w:val="0"/>
            <w:autoSpaceDN w:val="0"/>
            <w:ind w:hanging="640"/>
            <w:divId w:val="131946095"/>
            <w:rPr>
              <w:rFonts w:ascii="Times" w:eastAsia="Times New Roman" w:hAnsi="Times" w:cs="Times"/>
              <w:color w:val="000000"/>
              <w:sz w:val="20"/>
              <w:lang w:val="en-US"/>
            </w:rPr>
          </w:pPr>
          <w:r w:rsidRPr="00F22296">
            <w:rPr>
              <w:rFonts w:ascii="Times" w:eastAsia="Times New Roman" w:hAnsi="Times" w:cs="Times"/>
              <w:color w:val="000000"/>
              <w:sz w:val="20"/>
              <w:lang w:val="en-US"/>
            </w:rPr>
            <w:t>[4]</w:t>
          </w:r>
          <w:r w:rsidRPr="00F22296">
            <w:rPr>
              <w:rFonts w:ascii="Times" w:eastAsia="Times New Roman" w:hAnsi="Times" w:cs="Times"/>
              <w:color w:val="000000"/>
              <w:sz w:val="20"/>
              <w:lang w:val="en-US"/>
            </w:rPr>
            <w:tab/>
            <w:t xml:space="preserve">G. Kotonya and I. Sommerville, </w:t>
          </w:r>
          <w:r w:rsidRPr="00F22296">
            <w:rPr>
              <w:rFonts w:ascii="Times" w:eastAsia="Times New Roman" w:hAnsi="Times" w:cs="Times"/>
              <w:i/>
              <w:iCs/>
              <w:color w:val="000000"/>
              <w:sz w:val="20"/>
              <w:lang w:val="en-US"/>
            </w:rPr>
            <w:t>Requirements Engineering: Processes and Techniques</w:t>
          </w:r>
          <w:r w:rsidRPr="00F22296">
            <w:rPr>
              <w:rFonts w:ascii="Times" w:eastAsia="Times New Roman" w:hAnsi="Times" w:cs="Times"/>
              <w:color w:val="000000"/>
              <w:sz w:val="20"/>
              <w:lang w:val="en-US"/>
            </w:rPr>
            <w:t>, 1st ed. Wiley Publishing, 1998.</w:t>
          </w:r>
        </w:p>
        <w:p w14:paraId="0BF916CB" w14:textId="77777777" w:rsidR="00F22296" w:rsidRPr="00F22296" w:rsidRDefault="00F22296">
          <w:pPr>
            <w:autoSpaceDE w:val="0"/>
            <w:autoSpaceDN w:val="0"/>
            <w:ind w:hanging="640"/>
            <w:divId w:val="101192413"/>
            <w:rPr>
              <w:rFonts w:ascii="Times" w:eastAsia="Times New Roman" w:hAnsi="Times" w:cs="Times"/>
              <w:color w:val="000000"/>
              <w:sz w:val="20"/>
              <w:lang w:val="en-US"/>
            </w:rPr>
          </w:pPr>
          <w:r w:rsidRPr="00F22296">
            <w:rPr>
              <w:rFonts w:ascii="Times" w:eastAsia="Times New Roman" w:hAnsi="Times" w:cs="Times"/>
              <w:color w:val="000000"/>
              <w:sz w:val="20"/>
              <w:lang w:val="en-US"/>
            </w:rPr>
            <w:t>[5]</w:t>
          </w:r>
          <w:r w:rsidRPr="00F22296">
            <w:rPr>
              <w:rFonts w:ascii="Times" w:eastAsia="Times New Roman" w:hAnsi="Times" w:cs="Times"/>
              <w:color w:val="000000"/>
              <w:sz w:val="20"/>
              <w:lang w:val="en-US"/>
            </w:rPr>
            <w:tab/>
            <w:t>“IEEE SA - IEEE 830-1998.” Accessed: Jul. 05, 2024. [Online]. Available: https://standards.ieee.org/ieee/830/1222/</w:t>
          </w:r>
        </w:p>
        <w:p w14:paraId="6DEC2503" w14:textId="77777777" w:rsidR="00F22296" w:rsidRPr="00F22296" w:rsidRDefault="00F22296">
          <w:pPr>
            <w:autoSpaceDE w:val="0"/>
            <w:autoSpaceDN w:val="0"/>
            <w:ind w:hanging="640"/>
            <w:divId w:val="931546102"/>
            <w:rPr>
              <w:rFonts w:ascii="Times" w:eastAsia="Times New Roman" w:hAnsi="Times" w:cs="Times"/>
              <w:color w:val="000000"/>
              <w:sz w:val="20"/>
              <w:lang w:val="en-US"/>
            </w:rPr>
          </w:pPr>
          <w:r w:rsidRPr="00F22296">
            <w:rPr>
              <w:rFonts w:ascii="Times" w:eastAsia="Times New Roman" w:hAnsi="Times" w:cs="Times"/>
              <w:color w:val="000000"/>
              <w:sz w:val="20"/>
              <w:lang w:val="en-US"/>
            </w:rPr>
            <w:t>[6]</w:t>
          </w:r>
          <w:r w:rsidRPr="00F22296">
            <w:rPr>
              <w:rFonts w:ascii="Times" w:eastAsia="Times New Roman" w:hAnsi="Times" w:cs="Times"/>
              <w:color w:val="000000"/>
              <w:sz w:val="20"/>
              <w:lang w:val="en-US"/>
            </w:rPr>
            <w:tab/>
            <w:t xml:space="preserve">S. Ouhbi, J. L. Fernández-Alemán, J. R. Pozo, M. El Bajta, A. Toval, and A. Idri, “Compliance of Blood Donation Apps with Mobile OS Usability Guidelines,” </w:t>
          </w:r>
          <w:r w:rsidRPr="00F22296">
            <w:rPr>
              <w:rFonts w:ascii="Times" w:eastAsia="Times New Roman" w:hAnsi="Times" w:cs="Times"/>
              <w:i/>
              <w:iCs/>
              <w:color w:val="000000"/>
              <w:sz w:val="20"/>
              <w:lang w:val="en-US"/>
            </w:rPr>
            <w:t>J. Med. Syst.</w:t>
          </w:r>
          <w:r w:rsidRPr="00F22296">
            <w:rPr>
              <w:rFonts w:ascii="Times" w:eastAsia="Times New Roman" w:hAnsi="Times" w:cs="Times"/>
              <w:color w:val="000000"/>
              <w:sz w:val="20"/>
              <w:lang w:val="en-US"/>
            </w:rPr>
            <w:t>, vol. 39, no. 6, p. 63, 2015, doi: 10.1007/s10916-015-0243-1.</w:t>
          </w:r>
        </w:p>
        <w:p w14:paraId="1754D7EF" w14:textId="77777777" w:rsidR="00F22296" w:rsidRPr="00F22296" w:rsidRDefault="00F22296">
          <w:pPr>
            <w:autoSpaceDE w:val="0"/>
            <w:autoSpaceDN w:val="0"/>
            <w:ind w:hanging="640"/>
            <w:divId w:val="1501314292"/>
            <w:rPr>
              <w:rFonts w:ascii="Times" w:eastAsia="Times New Roman" w:hAnsi="Times" w:cs="Times"/>
              <w:color w:val="000000"/>
              <w:sz w:val="20"/>
              <w:lang w:val="en-US"/>
            </w:rPr>
          </w:pPr>
          <w:r w:rsidRPr="00F22296">
            <w:rPr>
              <w:rFonts w:ascii="Times" w:eastAsia="Times New Roman" w:hAnsi="Times" w:cs="Times"/>
              <w:color w:val="000000"/>
              <w:sz w:val="20"/>
              <w:lang w:val="en-US"/>
            </w:rPr>
            <w:t>[7]</w:t>
          </w:r>
          <w:r w:rsidRPr="00F22296">
            <w:rPr>
              <w:rFonts w:ascii="Times" w:eastAsia="Times New Roman" w:hAnsi="Times" w:cs="Times"/>
              <w:color w:val="000000"/>
              <w:sz w:val="20"/>
              <w:lang w:val="en-US"/>
            </w:rPr>
            <w:tab/>
            <w:t xml:space="preserve">S. Ouhbi, J. L. Fernández-Alemán, J. M. Carrillo-de-Gea, A. Toval, and A. Idri, “E-health internationalization requirements for audit purposes,” </w:t>
          </w:r>
          <w:r w:rsidRPr="00F22296">
            <w:rPr>
              <w:rFonts w:ascii="Times" w:eastAsia="Times New Roman" w:hAnsi="Times" w:cs="Times"/>
              <w:i/>
              <w:iCs/>
              <w:color w:val="000000"/>
              <w:sz w:val="20"/>
              <w:lang w:val="en-US"/>
            </w:rPr>
            <w:t>Comput. Methods Programs Biomed.</w:t>
          </w:r>
          <w:r w:rsidRPr="00F22296">
            <w:rPr>
              <w:rFonts w:ascii="Times" w:eastAsia="Times New Roman" w:hAnsi="Times" w:cs="Times"/>
              <w:color w:val="000000"/>
              <w:sz w:val="20"/>
              <w:lang w:val="en-US"/>
            </w:rPr>
            <w:t>, vol. 144, pp. 49–60, 2017, doi: https://doi.org/10.1016/j.cmpb.2017.03.014.</w:t>
          </w:r>
        </w:p>
        <w:p w14:paraId="2CEC9868" w14:textId="77777777" w:rsidR="00F22296" w:rsidRPr="00F22296" w:rsidRDefault="00F22296">
          <w:pPr>
            <w:autoSpaceDE w:val="0"/>
            <w:autoSpaceDN w:val="0"/>
            <w:ind w:hanging="640"/>
            <w:divId w:val="76171223"/>
            <w:rPr>
              <w:rFonts w:ascii="Times" w:eastAsia="Times New Roman" w:hAnsi="Times" w:cs="Times"/>
              <w:color w:val="000000"/>
              <w:sz w:val="20"/>
              <w:lang w:val="en-US"/>
            </w:rPr>
          </w:pPr>
          <w:r w:rsidRPr="00F22296">
            <w:rPr>
              <w:rFonts w:ascii="Times" w:eastAsia="Times New Roman" w:hAnsi="Times" w:cs="Times"/>
              <w:color w:val="000000"/>
              <w:sz w:val="20"/>
              <w:lang w:val="en-US"/>
            </w:rPr>
            <w:lastRenderedPageBreak/>
            <w:t>[8]</w:t>
          </w:r>
          <w:r w:rsidRPr="00F22296">
            <w:rPr>
              <w:rFonts w:ascii="Times" w:eastAsia="Times New Roman" w:hAnsi="Times" w:cs="Times"/>
              <w:color w:val="000000"/>
              <w:sz w:val="20"/>
              <w:lang w:val="en-US"/>
            </w:rPr>
            <w:tab/>
            <w:t xml:space="preserve">J. A. García-Berná </w:t>
          </w:r>
          <w:r w:rsidRPr="00F22296">
            <w:rPr>
              <w:rFonts w:ascii="Times" w:eastAsia="Times New Roman" w:hAnsi="Times" w:cs="Times"/>
              <w:i/>
              <w:iCs/>
              <w:color w:val="000000"/>
              <w:sz w:val="20"/>
              <w:lang w:val="en-US"/>
            </w:rPr>
            <w:t>et al.</w:t>
          </w:r>
          <w:r w:rsidRPr="00F22296">
            <w:rPr>
              <w:rFonts w:ascii="Times" w:eastAsia="Times New Roman" w:hAnsi="Times" w:cs="Times"/>
              <w:color w:val="000000"/>
              <w:sz w:val="20"/>
              <w:lang w:val="en-US"/>
            </w:rPr>
            <w:t xml:space="preserve">, “Energy efficiency in software: A case study on sustainability in personal health records,” </w:t>
          </w:r>
          <w:r w:rsidRPr="00F22296">
            <w:rPr>
              <w:rFonts w:ascii="Times" w:eastAsia="Times New Roman" w:hAnsi="Times" w:cs="Times"/>
              <w:i/>
              <w:iCs/>
              <w:color w:val="000000"/>
              <w:sz w:val="20"/>
              <w:lang w:val="en-US"/>
            </w:rPr>
            <w:t>J. Clean. Prod.</w:t>
          </w:r>
          <w:r w:rsidRPr="00F22296">
            <w:rPr>
              <w:rFonts w:ascii="Times" w:eastAsia="Times New Roman" w:hAnsi="Times" w:cs="Times"/>
              <w:color w:val="000000"/>
              <w:sz w:val="20"/>
              <w:lang w:val="en-US"/>
            </w:rPr>
            <w:t>, vol. 282, p. 124262, 2021, doi: https://doi.org/10.1016/j.jclepro.2020.124262.</w:t>
          </w:r>
        </w:p>
        <w:p w14:paraId="0B9FAA8C" w14:textId="77777777" w:rsidR="00F22296" w:rsidRPr="00F22296" w:rsidRDefault="00F22296">
          <w:pPr>
            <w:autoSpaceDE w:val="0"/>
            <w:autoSpaceDN w:val="0"/>
            <w:ind w:hanging="640"/>
            <w:divId w:val="640962600"/>
            <w:rPr>
              <w:rFonts w:ascii="Times" w:eastAsia="Times New Roman" w:hAnsi="Times" w:cs="Times"/>
              <w:color w:val="000000"/>
              <w:sz w:val="20"/>
              <w:lang w:val="en-US"/>
            </w:rPr>
          </w:pPr>
          <w:r w:rsidRPr="00F22296">
            <w:rPr>
              <w:rFonts w:ascii="Times" w:eastAsia="Times New Roman" w:hAnsi="Times" w:cs="Times"/>
              <w:color w:val="000000"/>
              <w:sz w:val="20"/>
              <w:lang w:val="en-US"/>
            </w:rPr>
            <w:t>[9]</w:t>
          </w:r>
          <w:r w:rsidRPr="00F22296">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F22296">
            <w:rPr>
              <w:rFonts w:ascii="Times" w:eastAsia="Times New Roman" w:hAnsi="Times" w:cs="Times"/>
              <w:i/>
              <w:iCs/>
              <w:color w:val="000000"/>
              <w:sz w:val="20"/>
              <w:lang w:val="en-US"/>
            </w:rPr>
            <w:t>Int. J. Med. Inform.</w:t>
          </w:r>
          <w:r w:rsidRPr="00F22296">
            <w:rPr>
              <w:rFonts w:ascii="Times" w:eastAsia="Times New Roman" w:hAnsi="Times" w:cs="Times"/>
              <w:color w:val="000000"/>
              <w:sz w:val="20"/>
              <w:lang w:val="en-US"/>
            </w:rPr>
            <w:t>, vol. 194, p. 105699, 2025, doi: https://doi.org/10.1016/j.ijmedinf.2024.105699.</w:t>
          </w:r>
        </w:p>
        <w:p w14:paraId="075E6B65" w14:textId="77777777" w:rsidR="00F22296" w:rsidRPr="00F22296" w:rsidRDefault="00F22296">
          <w:pPr>
            <w:autoSpaceDE w:val="0"/>
            <w:autoSpaceDN w:val="0"/>
            <w:ind w:hanging="640"/>
            <w:divId w:val="966662980"/>
            <w:rPr>
              <w:rFonts w:ascii="Times" w:eastAsia="Times New Roman" w:hAnsi="Times" w:cs="Times"/>
              <w:color w:val="000000"/>
              <w:sz w:val="20"/>
              <w:lang w:val="en-US"/>
            </w:rPr>
          </w:pPr>
          <w:r w:rsidRPr="00F22296">
            <w:rPr>
              <w:rFonts w:ascii="Times" w:eastAsia="Times New Roman" w:hAnsi="Times" w:cs="Times"/>
              <w:color w:val="000000"/>
              <w:sz w:val="20"/>
              <w:lang w:val="en-US"/>
            </w:rPr>
            <w:t>[10]</w:t>
          </w:r>
          <w:r w:rsidRPr="00F22296">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F22296">
            <w:rPr>
              <w:rFonts w:ascii="Times" w:eastAsia="Times New Roman" w:hAnsi="Times" w:cs="Times"/>
              <w:i/>
              <w:iCs/>
              <w:color w:val="000000"/>
              <w:sz w:val="20"/>
              <w:lang w:val="en-US"/>
            </w:rPr>
            <w:t>Journal of Software: Evolution and Process</w:t>
          </w:r>
          <w:r w:rsidRPr="00F22296">
            <w:rPr>
              <w:rFonts w:ascii="Times" w:eastAsia="Times New Roman" w:hAnsi="Times" w:cs="Times"/>
              <w:color w:val="000000"/>
              <w:sz w:val="20"/>
              <w:lang w:val="en-US"/>
            </w:rPr>
            <w:t>, vol. 29, May 2017, doi: 10.1002/smr.1873.</w:t>
          </w:r>
        </w:p>
        <w:p w14:paraId="4C4AAD73" w14:textId="77777777" w:rsidR="00F22296" w:rsidRPr="00F22296" w:rsidRDefault="00F22296">
          <w:pPr>
            <w:autoSpaceDE w:val="0"/>
            <w:autoSpaceDN w:val="0"/>
            <w:ind w:hanging="640"/>
            <w:divId w:val="85659013"/>
            <w:rPr>
              <w:rFonts w:ascii="Times" w:eastAsia="Times New Roman" w:hAnsi="Times" w:cs="Times"/>
              <w:color w:val="000000"/>
              <w:sz w:val="20"/>
              <w:lang w:val="en-US"/>
            </w:rPr>
          </w:pPr>
          <w:r w:rsidRPr="00F22296">
            <w:rPr>
              <w:rFonts w:ascii="Times" w:eastAsia="Times New Roman" w:hAnsi="Times" w:cs="Times"/>
              <w:color w:val="000000"/>
              <w:sz w:val="20"/>
              <w:lang w:val="en-US"/>
            </w:rPr>
            <w:t>[11]</w:t>
          </w:r>
          <w:r w:rsidRPr="00F22296">
            <w:rPr>
              <w:rFonts w:ascii="Times" w:eastAsia="Times New Roman" w:hAnsi="Times" w:cs="Times"/>
              <w:color w:val="000000"/>
              <w:sz w:val="20"/>
              <w:lang w:val="en-US"/>
            </w:rPr>
            <w:tab/>
            <w:t xml:space="preserve">J. Nicolás, J. Lasheras, A. Toval, F. J. Ortiz, and B. Álvarez, “An integrated domain analysis approach for teleoperated systems,” </w:t>
          </w:r>
          <w:r w:rsidRPr="00F22296">
            <w:rPr>
              <w:rFonts w:ascii="Times" w:eastAsia="Times New Roman" w:hAnsi="Times" w:cs="Times"/>
              <w:i/>
              <w:iCs/>
              <w:color w:val="000000"/>
              <w:sz w:val="20"/>
              <w:lang w:val="en-US"/>
            </w:rPr>
            <w:t>Requir. Eng.</w:t>
          </w:r>
          <w:r w:rsidRPr="00F22296">
            <w:rPr>
              <w:rFonts w:ascii="Times" w:eastAsia="Times New Roman" w:hAnsi="Times" w:cs="Times"/>
              <w:color w:val="000000"/>
              <w:sz w:val="20"/>
              <w:lang w:val="en-US"/>
            </w:rPr>
            <w:t>, vol. 14, no. 1, pp. 27–46, 2009, doi: 10.1007/s00766-008-0072-6.</w:t>
          </w:r>
        </w:p>
        <w:p w14:paraId="67ECF19D" w14:textId="77777777" w:rsidR="00F22296" w:rsidRPr="00F22296" w:rsidRDefault="00F22296">
          <w:pPr>
            <w:autoSpaceDE w:val="0"/>
            <w:autoSpaceDN w:val="0"/>
            <w:ind w:hanging="640"/>
            <w:divId w:val="617564492"/>
            <w:rPr>
              <w:rFonts w:ascii="Times" w:eastAsia="Times New Roman" w:hAnsi="Times" w:cs="Times"/>
              <w:color w:val="000000"/>
              <w:sz w:val="20"/>
              <w:lang w:val="en-US"/>
            </w:rPr>
          </w:pPr>
          <w:r w:rsidRPr="00F22296">
            <w:rPr>
              <w:rFonts w:ascii="Times" w:eastAsia="Times New Roman" w:hAnsi="Times" w:cs="Times"/>
              <w:color w:val="000000"/>
              <w:sz w:val="20"/>
              <w:lang w:val="en-US"/>
            </w:rPr>
            <w:t>[12]</w:t>
          </w:r>
          <w:r w:rsidRPr="00F22296">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F22296">
            <w:rPr>
              <w:rFonts w:ascii="Times" w:eastAsia="Times New Roman" w:hAnsi="Times" w:cs="Times"/>
              <w:i/>
              <w:iCs/>
              <w:color w:val="000000"/>
              <w:sz w:val="20"/>
              <w:lang w:val="en-US"/>
            </w:rPr>
            <w:t>Computer Systems Science and Engineering</w:t>
          </w:r>
          <w:r w:rsidRPr="00F22296">
            <w:rPr>
              <w:rFonts w:ascii="Times" w:eastAsia="Times New Roman" w:hAnsi="Times" w:cs="Times"/>
              <w:color w:val="000000"/>
              <w:sz w:val="20"/>
              <w:lang w:val="en-US"/>
            </w:rPr>
            <w:t>, vol. 23, pp. 373–385, Nov. 2008.</w:t>
          </w:r>
        </w:p>
        <w:p w14:paraId="07FDEFE7" w14:textId="77777777" w:rsidR="00F22296" w:rsidRPr="00F22296" w:rsidRDefault="00F22296">
          <w:pPr>
            <w:autoSpaceDE w:val="0"/>
            <w:autoSpaceDN w:val="0"/>
            <w:ind w:hanging="640"/>
            <w:divId w:val="156311081"/>
            <w:rPr>
              <w:rFonts w:ascii="Times" w:eastAsia="Times New Roman" w:hAnsi="Times" w:cs="Times"/>
              <w:color w:val="000000"/>
              <w:sz w:val="20"/>
              <w:lang w:val="en-US"/>
            </w:rPr>
          </w:pPr>
          <w:r w:rsidRPr="00F22296">
            <w:rPr>
              <w:rFonts w:ascii="Times" w:eastAsia="Times New Roman" w:hAnsi="Times" w:cs="Times"/>
              <w:color w:val="000000"/>
              <w:sz w:val="20"/>
              <w:lang w:val="en-US"/>
            </w:rPr>
            <w:t>[13]</w:t>
          </w:r>
          <w:r w:rsidRPr="00F22296">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33E9188E" w14:textId="77777777" w:rsidR="00F22296" w:rsidRPr="00F22296" w:rsidRDefault="00F22296">
          <w:pPr>
            <w:autoSpaceDE w:val="0"/>
            <w:autoSpaceDN w:val="0"/>
            <w:ind w:hanging="640"/>
            <w:divId w:val="505437588"/>
            <w:rPr>
              <w:rFonts w:ascii="Times" w:eastAsia="Times New Roman" w:hAnsi="Times" w:cs="Times"/>
              <w:color w:val="000000"/>
              <w:sz w:val="20"/>
              <w:lang w:val="en-US"/>
            </w:rPr>
          </w:pPr>
          <w:r w:rsidRPr="00F22296">
            <w:rPr>
              <w:rFonts w:ascii="Times" w:eastAsia="Times New Roman" w:hAnsi="Times" w:cs="Times"/>
              <w:color w:val="000000"/>
              <w:sz w:val="20"/>
              <w:lang w:val="en-US"/>
            </w:rPr>
            <w:t>[14]</w:t>
          </w:r>
          <w:r w:rsidRPr="00F22296">
            <w:rPr>
              <w:rFonts w:ascii="Times" w:eastAsia="Times New Roman" w:hAnsi="Times" w:cs="Times"/>
              <w:color w:val="000000"/>
              <w:sz w:val="20"/>
              <w:lang w:val="en-US"/>
            </w:rPr>
            <w:tab/>
            <w:t>Android Open Source Project, “Improve your app’s security  |  App quality  |  Android Developers,” Apr. 18, 2024. [Online]. Available: https://developer.android.com/privacy-and-security/security-best-practices#java</w:t>
          </w:r>
        </w:p>
        <w:p w14:paraId="105FDCCD" w14:textId="77777777" w:rsidR="00F22296" w:rsidRPr="00F22296" w:rsidRDefault="00F22296">
          <w:pPr>
            <w:autoSpaceDE w:val="0"/>
            <w:autoSpaceDN w:val="0"/>
            <w:ind w:hanging="640"/>
            <w:divId w:val="730077199"/>
            <w:rPr>
              <w:rFonts w:ascii="Times" w:eastAsia="Times New Roman" w:hAnsi="Times" w:cs="Times"/>
              <w:color w:val="000000"/>
              <w:sz w:val="20"/>
              <w:lang w:val="en-US"/>
            </w:rPr>
          </w:pPr>
          <w:r w:rsidRPr="00F22296">
            <w:rPr>
              <w:rFonts w:ascii="Times" w:eastAsia="Times New Roman" w:hAnsi="Times" w:cs="Times"/>
              <w:color w:val="000000"/>
              <w:sz w:val="20"/>
              <w:lang w:val="en-US"/>
            </w:rPr>
            <w:t>[15]</w:t>
          </w:r>
          <w:r w:rsidRPr="00F22296">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48A65673" w14:textId="77777777" w:rsidR="00F22296" w:rsidRPr="00F22296" w:rsidRDefault="00F22296">
          <w:pPr>
            <w:autoSpaceDE w:val="0"/>
            <w:autoSpaceDN w:val="0"/>
            <w:ind w:hanging="640"/>
            <w:divId w:val="2086107433"/>
            <w:rPr>
              <w:rFonts w:ascii="Times" w:eastAsia="Times New Roman" w:hAnsi="Times" w:cs="Times"/>
              <w:color w:val="000000"/>
              <w:sz w:val="20"/>
              <w:lang w:val="en-US"/>
            </w:rPr>
          </w:pPr>
          <w:r w:rsidRPr="00F22296">
            <w:rPr>
              <w:rFonts w:ascii="Times" w:eastAsia="Times New Roman" w:hAnsi="Times" w:cs="Times"/>
              <w:color w:val="000000"/>
              <w:sz w:val="20"/>
              <w:lang w:val="en-US"/>
            </w:rPr>
            <w:t>[16]</w:t>
          </w:r>
          <w:r w:rsidRPr="00F22296">
            <w:rPr>
              <w:rFonts w:ascii="Times" w:eastAsia="Times New Roman" w:hAnsi="Times" w:cs="Times"/>
              <w:color w:val="000000"/>
              <w:sz w:val="20"/>
              <w:lang w:val="en-US"/>
            </w:rPr>
            <w:tab/>
            <w:t>owasp.org, “OWASP MAS Checklist.” Accessed: Jun. 11, 2024. [Online]. Available: https://wiki.owasp.org/images/1/1b/Mobile_App_Security_Checklist_0.9.3.xlsx</w:t>
          </w:r>
        </w:p>
        <w:p w14:paraId="304F5989" w14:textId="77777777" w:rsidR="00F22296" w:rsidRPr="00F22296" w:rsidRDefault="00F22296">
          <w:pPr>
            <w:autoSpaceDE w:val="0"/>
            <w:autoSpaceDN w:val="0"/>
            <w:ind w:hanging="640"/>
            <w:divId w:val="1401323151"/>
            <w:rPr>
              <w:rFonts w:ascii="Times" w:eastAsia="Times New Roman" w:hAnsi="Times" w:cs="Times"/>
              <w:color w:val="000000"/>
              <w:sz w:val="20"/>
              <w:lang w:val="en-US"/>
            </w:rPr>
          </w:pPr>
          <w:r w:rsidRPr="00F22296">
            <w:rPr>
              <w:rFonts w:ascii="Times" w:eastAsia="Times New Roman" w:hAnsi="Times" w:cs="Times"/>
              <w:color w:val="000000"/>
              <w:sz w:val="20"/>
              <w:lang w:val="en-US"/>
            </w:rPr>
            <w:t>[17]</w:t>
          </w:r>
          <w:r w:rsidRPr="00F22296">
            <w:rPr>
              <w:rFonts w:ascii="Times" w:eastAsia="Times New Roman" w:hAnsi="Times" w:cs="Times"/>
              <w:color w:val="000000"/>
              <w:sz w:val="20"/>
              <w:lang w:val="en-US"/>
            </w:rPr>
            <w:tab/>
            <w:t>owasp.org, “OWASP MASVS - OWASP Mobile Application Security.” Accessed: Sep. 26, 2024. [Online]. Available: https://mas.owasp.org/MASVS/</w:t>
          </w:r>
        </w:p>
        <w:p w14:paraId="6F2ABBDA" w14:textId="77777777" w:rsidR="00F22296" w:rsidRPr="00F22296" w:rsidRDefault="00F22296">
          <w:pPr>
            <w:autoSpaceDE w:val="0"/>
            <w:autoSpaceDN w:val="0"/>
            <w:ind w:hanging="640"/>
            <w:divId w:val="1473326363"/>
            <w:rPr>
              <w:rFonts w:ascii="Times" w:eastAsia="Times New Roman" w:hAnsi="Times" w:cs="Times"/>
              <w:color w:val="000000"/>
              <w:sz w:val="20"/>
              <w:lang w:val="en-US"/>
            </w:rPr>
          </w:pPr>
          <w:r w:rsidRPr="00F22296">
            <w:rPr>
              <w:rFonts w:ascii="Times" w:eastAsia="Times New Roman" w:hAnsi="Times" w:cs="Times"/>
              <w:color w:val="000000"/>
              <w:sz w:val="20"/>
              <w:lang w:val="en-US"/>
            </w:rPr>
            <w:t>[18]</w:t>
          </w:r>
          <w:r w:rsidRPr="00F22296">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5575874A" w14:textId="77777777" w:rsidR="00F22296" w:rsidRPr="00F22296" w:rsidRDefault="00F22296">
          <w:pPr>
            <w:autoSpaceDE w:val="0"/>
            <w:autoSpaceDN w:val="0"/>
            <w:ind w:hanging="640"/>
            <w:divId w:val="2142843413"/>
            <w:rPr>
              <w:rFonts w:ascii="Times" w:eastAsia="Times New Roman" w:hAnsi="Times" w:cs="Times"/>
              <w:color w:val="000000"/>
              <w:sz w:val="20"/>
              <w:lang w:val="en-US"/>
            </w:rPr>
          </w:pPr>
          <w:r w:rsidRPr="00F22296">
            <w:rPr>
              <w:rFonts w:ascii="Times" w:eastAsia="Times New Roman" w:hAnsi="Times" w:cs="Times"/>
              <w:color w:val="000000"/>
              <w:sz w:val="20"/>
              <w:lang w:val="en-US"/>
            </w:rPr>
            <w:t>[19]</w:t>
          </w:r>
          <w:r w:rsidRPr="00F22296">
            <w:rPr>
              <w:rFonts w:ascii="Times" w:eastAsia="Times New Roman" w:hAnsi="Times" w:cs="Times"/>
              <w:color w:val="000000"/>
              <w:sz w:val="20"/>
              <w:lang w:val="en-US"/>
            </w:rPr>
            <w:tab/>
            <w:t>J. T. Force, “Security and Privacy Controls for Information Systems and Organizations,” Jul. 2020, doi: 10.6028/NIST.SP.800-53R5.</w:t>
          </w:r>
        </w:p>
        <w:p w14:paraId="18D40DB5" w14:textId="77777777" w:rsidR="00F22296" w:rsidRPr="00F22296" w:rsidRDefault="00F22296">
          <w:pPr>
            <w:autoSpaceDE w:val="0"/>
            <w:autoSpaceDN w:val="0"/>
            <w:ind w:hanging="640"/>
            <w:divId w:val="1468739429"/>
            <w:rPr>
              <w:rFonts w:ascii="Times" w:eastAsia="Times New Roman" w:hAnsi="Times" w:cs="Times"/>
              <w:color w:val="000000"/>
              <w:sz w:val="20"/>
              <w:lang w:val="en-US"/>
            </w:rPr>
          </w:pPr>
          <w:r w:rsidRPr="00F22296">
            <w:rPr>
              <w:rFonts w:ascii="Times" w:eastAsia="Times New Roman" w:hAnsi="Times" w:cs="Times"/>
              <w:color w:val="000000"/>
              <w:sz w:val="20"/>
              <w:lang w:val="en-US"/>
            </w:rPr>
            <w:t>[20]</w:t>
          </w:r>
          <w:r w:rsidRPr="00F22296">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1A1E9AD8" w14:textId="77777777" w:rsidR="00F22296" w:rsidRPr="00F22296" w:rsidRDefault="00F22296">
          <w:pPr>
            <w:autoSpaceDE w:val="0"/>
            <w:autoSpaceDN w:val="0"/>
            <w:ind w:hanging="640"/>
            <w:divId w:val="1583755968"/>
            <w:rPr>
              <w:rFonts w:ascii="Times" w:eastAsia="Times New Roman" w:hAnsi="Times" w:cs="Times"/>
              <w:color w:val="000000"/>
              <w:sz w:val="20"/>
              <w:lang w:val="en-US"/>
            </w:rPr>
          </w:pPr>
          <w:r w:rsidRPr="00F22296">
            <w:rPr>
              <w:rFonts w:ascii="Times" w:eastAsia="Times New Roman" w:hAnsi="Times" w:cs="Times"/>
              <w:color w:val="000000"/>
              <w:sz w:val="20"/>
              <w:lang w:val="en-US"/>
            </w:rPr>
            <w:t>[21]</w:t>
          </w:r>
          <w:r w:rsidRPr="00F22296">
            <w:rPr>
              <w:rFonts w:ascii="Times" w:eastAsia="Times New Roman" w:hAnsi="Times" w:cs="Times"/>
              <w:color w:val="000000"/>
              <w:sz w:val="20"/>
              <w:lang w:val="en-US"/>
            </w:rPr>
            <w:tab/>
            <w:t>“eCFR :: 45 CFR Part 164 Subpart C -- Security Standards for the Protection of Electronic Protected Health Information.” Accessed: Sep. 27, 2023. [Online]. Available: https://www.ecfr.gov/current/title-45/subtitle-A/subchapter-C/part-164/subpart-C</w:t>
          </w:r>
        </w:p>
        <w:p w14:paraId="23270BE4" w14:textId="77777777" w:rsidR="00F22296" w:rsidRPr="00F22296" w:rsidRDefault="00F22296">
          <w:pPr>
            <w:autoSpaceDE w:val="0"/>
            <w:autoSpaceDN w:val="0"/>
            <w:ind w:hanging="640"/>
            <w:divId w:val="312874198"/>
            <w:rPr>
              <w:rFonts w:ascii="Times" w:eastAsia="Times New Roman" w:hAnsi="Times" w:cs="Times"/>
              <w:color w:val="000000"/>
              <w:sz w:val="20"/>
              <w:lang w:val="en-US"/>
            </w:rPr>
          </w:pPr>
          <w:r w:rsidRPr="00F22296">
            <w:rPr>
              <w:rFonts w:ascii="Times" w:eastAsia="Times New Roman" w:hAnsi="Times" w:cs="Times"/>
              <w:color w:val="000000"/>
              <w:sz w:val="20"/>
              <w:lang w:val="en-US"/>
            </w:rPr>
            <w:t>[22]</w:t>
          </w:r>
          <w:r w:rsidRPr="00F22296">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2BFFDEE1" w14:textId="77777777" w:rsidR="00F22296" w:rsidRPr="00F22296" w:rsidRDefault="00F22296">
          <w:pPr>
            <w:autoSpaceDE w:val="0"/>
            <w:autoSpaceDN w:val="0"/>
            <w:ind w:hanging="640"/>
            <w:divId w:val="1661807263"/>
            <w:rPr>
              <w:rFonts w:ascii="Times" w:eastAsia="Times New Roman" w:hAnsi="Times" w:cs="Times"/>
              <w:color w:val="000000"/>
              <w:sz w:val="20"/>
              <w:lang w:val="en-US"/>
            </w:rPr>
          </w:pPr>
          <w:r w:rsidRPr="00F22296">
            <w:rPr>
              <w:rFonts w:ascii="Times" w:eastAsia="Times New Roman" w:hAnsi="Times" w:cs="Times"/>
              <w:color w:val="000000"/>
              <w:sz w:val="20"/>
              <w:lang w:val="en-US"/>
            </w:rPr>
            <w:t>[23]</w:t>
          </w:r>
          <w:r w:rsidRPr="00F22296">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w:t>
          </w:r>
          <w:r w:rsidRPr="00F22296">
            <w:rPr>
              <w:rFonts w:ascii="Times" w:eastAsia="Times New Roman" w:hAnsi="Times" w:cs="Times"/>
              <w:color w:val="000000"/>
              <w:sz w:val="20"/>
              <w:lang w:val="en-US"/>
            </w:rPr>
            <w:lastRenderedPageBreak/>
            <w:t>inforoute.ca/en/component/edocman/resources/technical-documents/architecture/2154-privacy-and-security-requirements-and-considerations-for-digital-health-solutions</w:t>
          </w:r>
        </w:p>
        <w:p w14:paraId="1216284C" w14:textId="77777777" w:rsidR="00F22296" w:rsidRPr="00F22296" w:rsidRDefault="00F22296">
          <w:pPr>
            <w:autoSpaceDE w:val="0"/>
            <w:autoSpaceDN w:val="0"/>
            <w:ind w:hanging="640"/>
            <w:divId w:val="794180827"/>
            <w:rPr>
              <w:rFonts w:ascii="Times" w:eastAsia="Times New Roman" w:hAnsi="Times" w:cs="Times"/>
              <w:color w:val="000000"/>
              <w:sz w:val="20"/>
              <w:lang w:val="en-US"/>
            </w:rPr>
          </w:pPr>
          <w:r w:rsidRPr="00F22296">
            <w:rPr>
              <w:rFonts w:ascii="Times" w:eastAsia="Times New Roman" w:hAnsi="Times" w:cs="Times"/>
              <w:color w:val="000000"/>
              <w:sz w:val="20"/>
              <w:lang w:val="en-US"/>
            </w:rPr>
            <w:t>[24]</w:t>
          </w:r>
          <w:r w:rsidRPr="00F22296">
            <w:rPr>
              <w:rFonts w:ascii="Times" w:eastAsia="Times New Roman" w:hAnsi="Times" w:cs="Times"/>
              <w:color w:val="000000"/>
              <w:sz w:val="20"/>
              <w:lang w:val="en-US"/>
            </w:rPr>
            <w:tab/>
            <w:t xml:space="preserve">G. O’Brien </w:t>
          </w:r>
          <w:r w:rsidRPr="00F22296">
            <w:rPr>
              <w:rFonts w:ascii="Times" w:eastAsia="Times New Roman" w:hAnsi="Times" w:cs="Times"/>
              <w:i/>
              <w:iCs/>
              <w:color w:val="000000"/>
              <w:sz w:val="20"/>
              <w:lang w:val="en-US"/>
            </w:rPr>
            <w:t>et al.</w:t>
          </w:r>
          <w:r w:rsidRPr="00F22296">
            <w:rPr>
              <w:rFonts w:ascii="Times" w:eastAsia="Times New Roman" w:hAnsi="Times" w:cs="Times"/>
              <w:color w:val="000000"/>
              <w:sz w:val="20"/>
              <w:lang w:val="en-US"/>
            </w:rPr>
            <w:t xml:space="preserve">, “Securing Electronic Health Records on Mobile Devices,” </w:t>
          </w:r>
          <w:r w:rsidRPr="00F22296">
            <w:rPr>
              <w:rFonts w:ascii="Times" w:eastAsia="Times New Roman" w:hAnsi="Times" w:cs="Times"/>
              <w:i/>
              <w:iCs/>
              <w:color w:val="000000"/>
              <w:sz w:val="20"/>
              <w:lang w:val="en-US"/>
            </w:rPr>
            <w:t>NIST SPECIAL PUBLICATION</w:t>
          </w:r>
          <w:r w:rsidRPr="00F22296">
            <w:rPr>
              <w:rFonts w:ascii="Times" w:eastAsia="Times New Roman" w:hAnsi="Times" w:cs="Times"/>
              <w:color w:val="000000"/>
              <w:sz w:val="20"/>
              <w:lang w:val="en-US"/>
            </w:rPr>
            <w:t>, pp. 1800–1801, Jul. 2018, doi: 10.6028/NIST.SP.1800-1.</w:t>
          </w:r>
        </w:p>
        <w:p w14:paraId="771494D1" w14:textId="77777777" w:rsidR="00F22296" w:rsidRPr="00F22296" w:rsidRDefault="00F22296">
          <w:pPr>
            <w:autoSpaceDE w:val="0"/>
            <w:autoSpaceDN w:val="0"/>
            <w:ind w:hanging="640"/>
            <w:divId w:val="839779288"/>
            <w:rPr>
              <w:rFonts w:ascii="Times" w:eastAsia="Times New Roman" w:hAnsi="Times" w:cs="Times"/>
              <w:color w:val="000000"/>
              <w:sz w:val="20"/>
              <w:lang w:val="en-US"/>
            </w:rPr>
          </w:pPr>
          <w:r w:rsidRPr="00F22296">
            <w:rPr>
              <w:rFonts w:ascii="Times" w:eastAsia="Times New Roman" w:hAnsi="Times" w:cs="Times"/>
              <w:color w:val="000000"/>
              <w:sz w:val="20"/>
              <w:lang w:val="en-US"/>
            </w:rPr>
            <w:t>[25]</w:t>
          </w:r>
          <w:r w:rsidRPr="00F22296">
            <w:rPr>
              <w:rFonts w:ascii="Times" w:eastAsia="Times New Roman" w:hAnsi="Times" w:cs="Times"/>
              <w:color w:val="000000"/>
              <w:sz w:val="20"/>
              <w:lang w:val="en-US"/>
            </w:rPr>
            <w:tab/>
            <w:t xml:space="preserve">E. P. Morera, I. de la Torre Díez, B. Garcia-Zapirain, M. López-Coronado, and J. Arambarri, “Security Recommendations for mHealth Apps: Elaboration of a Developer’s Guide,” </w:t>
          </w:r>
          <w:r w:rsidRPr="00F22296">
            <w:rPr>
              <w:rFonts w:ascii="Times" w:eastAsia="Times New Roman" w:hAnsi="Times" w:cs="Times"/>
              <w:i/>
              <w:iCs/>
              <w:color w:val="000000"/>
              <w:sz w:val="20"/>
              <w:lang w:val="en-US"/>
            </w:rPr>
            <w:t>J. Med. Syst.</w:t>
          </w:r>
          <w:r w:rsidRPr="00F22296">
            <w:rPr>
              <w:rFonts w:ascii="Times" w:eastAsia="Times New Roman" w:hAnsi="Times" w:cs="Times"/>
              <w:color w:val="000000"/>
              <w:sz w:val="20"/>
              <w:lang w:val="en-US"/>
            </w:rPr>
            <w:t>, vol. 40, no. 6, 2016, doi: 10.1007/s10916-016-0513-6.</w:t>
          </w:r>
        </w:p>
        <w:p w14:paraId="6B9E1261" w14:textId="77777777" w:rsidR="00F22296" w:rsidRPr="00F22296" w:rsidRDefault="00F22296">
          <w:pPr>
            <w:autoSpaceDE w:val="0"/>
            <w:autoSpaceDN w:val="0"/>
            <w:ind w:hanging="640"/>
            <w:divId w:val="43257745"/>
            <w:rPr>
              <w:rFonts w:ascii="Times" w:eastAsia="Times New Roman" w:hAnsi="Times" w:cs="Times"/>
              <w:color w:val="000000"/>
              <w:sz w:val="20"/>
              <w:lang w:val="en-US"/>
            </w:rPr>
          </w:pPr>
          <w:r w:rsidRPr="00F22296">
            <w:rPr>
              <w:rFonts w:ascii="Times" w:eastAsia="Times New Roman" w:hAnsi="Times" w:cs="Times"/>
              <w:color w:val="000000"/>
              <w:sz w:val="20"/>
              <w:lang w:val="en-US"/>
            </w:rPr>
            <w:t>[26]</w:t>
          </w:r>
          <w:r w:rsidRPr="00F22296">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2A340834" w14:textId="77777777" w:rsidR="00F22296" w:rsidRPr="00F22296" w:rsidRDefault="00F22296">
          <w:pPr>
            <w:autoSpaceDE w:val="0"/>
            <w:autoSpaceDN w:val="0"/>
            <w:ind w:hanging="640"/>
            <w:divId w:val="812450923"/>
            <w:rPr>
              <w:rFonts w:ascii="Times" w:eastAsia="Times New Roman" w:hAnsi="Times" w:cs="Times"/>
              <w:color w:val="000000"/>
              <w:sz w:val="20"/>
              <w:lang w:val="en-US"/>
            </w:rPr>
          </w:pPr>
          <w:r w:rsidRPr="00F22296">
            <w:rPr>
              <w:rFonts w:ascii="Times" w:eastAsia="Times New Roman" w:hAnsi="Times" w:cs="Times"/>
              <w:color w:val="000000"/>
              <w:sz w:val="20"/>
              <w:lang w:val="en-US"/>
            </w:rPr>
            <w:t>[27]</w:t>
          </w:r>
          <w:r w:rsidRPr="00F22296">
            <w:rPr>
              <w:rFonts w:ascii="Times" w:eastAsia="Times New Roman" w:hAnsi="Times" w:cs="Times"/>
              <w:color w:val="000000"/>
              <w:sz w:val="20"/>
              <w:lang w:val="en-US"/>
            </w:rPr>
            <w:tab/>
            <w:t xml:space="preserve">D. Sethia, D. Gupta, and H. Saran, “Smart health record management with secure NFC-enabled mobile devices,” </w:t>
          </w:r>
          <w:r w:rsidRPr="00F22296">
            <w:rPr>
              <w:rFonts w:ascii="Times" w:eastAsia="Times New Roman" w:hAnsi="Times" w:cs="Times"/>
              <w:i/>
              <w:iCs/>
              <w:color w:val="000000"/>
              <w:sz w:val="20"/>
              <w:lang w:val="en-US"/>
            </w:rPr>
            <w:t>Smart Health</w:t>
          </w:r>
          <w:r w:rsidRPr="00F22296">
            <w:rPr>
              <w:rFonts w:ascii="Times" w:eastAsia="Times New Roman" w:hAnsi="Times" w:cs="Times"/>
              <w:color w:val="000000"/>
              <w:sz w:val="20"/>
              <w:lang w:val="en-US"/>
            </w:rPr>
            <w:t>, vol. 13, p. 100063, 2019, doi: https://doi.org/10.1016/j.smhl.2018.11.001.</w:t>
          </w:r>
        </w:p>
        <w:p w14:paraId="292B7B33" w14:textId="77777777" w:rsidR="00F22296" w:rsidRPr="00F22296" w:rsidRDefault="00F22296">
          <w:pPr>
            <w:autoSpaceDE w:val="0"/>
            <w:autoSpaceDN w:val="0"/>
            <w:ind w:hanging="640"/>
            <w:divId w:val="86198338"/>
            <w:rPr>
              <w:rFonts w:ascii="Times" w:eastAsia="Times New Roman" w:hAnsi="Times" w:cs="Times"/>
              <w:color w:val="000000"/>
              <w:sz w:val="20"/>
              <w:lang w:val="en-US"/>
            </w:rPr>
          </w:pPr>
          <w:r w:rsidRPr="00F22296">
            <w:rPr>
              <w:rFonts w:ascii="Times" w:eastAsia="Times New Roman" w:hAnsi="Times" w:cs="Times"/>
              <w:color w:val="000000"/>
              <w:sz w:val="20"/>
              <w:lang w:val="en-US"/>
            </w:rPr>
            <w:t>[28]</w:t>
          </w:r>
          <w:r w:rsidRPr="00F22296">
            <w:rPr>
              <w:rFonts w:ascii="Times" w:eastAsia="Times New Roman" w:hAnsi="Times" w:cs="Times"/>
              <w:color w:val="000000"/>
              <w:sz w:val="20"/>
              <w:lang w:val="en-US"/>
            </w:rPr>
            <w:tab/>
            <w:t xml:space="preserve">L. Zhou, J. Bao, V. Watzlaf, and B. Parmanto, “Barriers to and Facilitators of the Use of Mobile Health Apps From a Security Perspective: Mixed-Methods Study,” </w:t>
          </w:r>
          <w:r w:rsidRPr="00F22296">
            <w:rPr>
              <w:rFonts w:ascii="Times" w:eastAsia="Times New Roman" w:hAnsi="Times" w:cs="Times"/>
              <w:i/>
              <w:iCs/>
              <w:color w:val="000000"/>
              <w:sz w:val="20"/>
              <w:lang w:val="en-US"/>
            </w:rPr>
            <w:t>JMIR Mhealth Uhealth</w:t>
          </w:r>
          <w:r w:rsidRPr="00F22296">
            <w:rPr>
              <w:rFonts w:ascii="Times" w:eastAsia="Times New Roman" w:hAnsi="Times" w:cs="Times"/>
              <w:color w:val="000000"/>
              <w:sz w:val="20"/>
              <w:lang w:val="en-US"/>
            </w:rPr>
            <w:t>, vol. 7, no. 4, p. e11223, 2019, doi: 10.2196/11223.</w:t>
          </w:r>
        </w:p>
        <w:p w14:paraId="042211DF" w14:textId="77777777" w:rsidR="00F22296" w:rsidRPr="00F22296" w:rsidRDefault="00F22296">
          <w:pPr>
            <w:autoSpaceDE w:val="0"/>
            <w:autoSpaceDN w:val="0"/>
            <w:ind w:hanging="640"/>
            <w:divId w:val="958797389"/>
            <w:rPr>
              <w:rFonts w:ascii="Times" w:eastAsia="Times New Roman" w:hAnsi="Times" w:cs="Times"/>
              <w:color w:val="000000"/>
              <w:sz w:val="20"/>
              <w:lang w:val="en-US"/>
            </w:rPr>
          </w:pPr>
          <w:r w:rsidRPr="00F22296">
            <w:rPr>
              <w:rFonts w:ascii="Times" w:eastAsia="Times New Roman" w:hAnsi="Times" w:cs="Times"/>
              <w:color w:val="000000"/>
              <w:sz w:val="20"/>
              <w:lang w:val="en-US"/>
            </w:rPr>
            <w:t>[29]</w:t>
          </w:r>
          <w:r w:rsidRPr="00F22296">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2A145049" w14:textId="77777777" w:rsidR="00F22296" w:rsidRPr="00F22296" w:rsidRDefault="00F22296">
          <w:pPr>
            <w:autoSpaceDE w:val="0"/>
            <w:autoSpaceDN w:val="0"/>
            <w:ind w:hanging="640"/>
            <w:divId w:val="218054823"/>
            <w:rPr>
              <w:rFonts w:ascii="Times" w:eastAsia="Times New Roman" w:hAnsi="Times" w:cs="Times"/>
              <w:color w:val="000000"/>
              <w:sz w:val="20"/>
              <w:lang w:val="en-US"/>
            </w:rPr>
          </w:pPr>
          <w:r w:rsidRPr="00F22296">
            <w:rPr>
              <w:rFonts w:ascii="Times" w:eastAsia="Times New Roman" w:hAnsi="Times" w:cs="Times"/>
              <w:color w:val="000000"/>
              <w:sz w:val="20"/>
              <w:lang w:val="en-US"/>
            </w:rPr>
            <w:t>[30]</w:t>
          </w:r>
          <w:r w:rsidRPr="00F22296">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F22296">
            <w:rPr>
              <w:rFonts w:ascii="Times" w:eastAsia="Times New Roman" w:hAnsi="Times" w:cs="Times"/>
              <w:i/>
              <w:iCs/>
              <w:color w:val="000000"/>
              <w:sz w:val="20"/>
              <w:lang w:val="en-US"/>
            </w:rPr>
            <w:t>JMIR Mhealth Uhealth</w:t>
          </w:r>
          <w:r w:rsidRPr="00F22296">
            <w:rPr>
              <w:rFonts w:ascii="Times" w:eastAsia="Times New Roman" w:hAnsi="Times" w:cs="Times"/>
              <w:color w:val="000000"/>
              <w:sz w:val="20"/>
              <w:lang w:val="en-US"/>
            </w:rPr>
            <w:t>, vol. 10, no. 1, 2022, doi: 10.2196/32104.</w:t>
          </w:r>
        </w:p>
        <w:p w14:paraId="6858C3CE" w14:textId="77777777" w:rsidR="00F22296" w:rsidRPr="00F22296" w:rsidRDefault="00F22296">
          <w:pPr>
            <w:autoSpaceDE w:val="0"/>
            <w:autoSpaceDN w:val="0"/>
            <w:ind w:hanging="640"/>
            <w:divId w:val="1653679150"/>
            <w:rPr>
              <w:rFonts w:ascii="Times" w:eastAsia="Times New Roman" w:hAnsi="Times" w:cs="Times"/>
              <w:color w:val="000000"/>
              <w:sz w:val="20"/>
              <w:lang w:val="en-US"/>
            </w:rPr>
          </w:pPr>
          <w:r w:rsidRPr="00F22296">
            <w:rPr>
              <w:rFonts w:ascii="Times" w:eastAsia="Times New Roman" w:hAnsi="Times" w:cs="Times"/>
              <w:color w:val="000000"/>
              <w:sz w:val="20"/>
              <w:lang w:val="en-US"/>
            </w:rPr>
            <w:t>[31]</w:t>
          </w:r>
          <w:r w:rsidRPr="00F22296">
            <w:rPr>
              <w:rFonts w:ascii="Times" w:eastAsia="Times New Roman" w:hAnsi="Times" w:cs="Times"/>
              <w:color w:val="000000"/>
              <w:sz w:val="20"/>
              <w:lang w:val="en-US"/>
            </w:rPr>
            <w:tab/>
            <w:t xml:space="preserve">P. Llorens-Vernet and J. Miró, “The mobile app development and assessment guide (MAG): Delphi-Based validity study,” </w:t>
          </w:r>
          <w:r w:rsidRPr="00F22296">
            <w:rPr>
              <w:rFonts w:ascii="Times" w:eastAsia="Times New Roman" w:hAnsi="Times" w:cs="Times"/>
              <w:i/>
              <w:iCs/>
              <w:color w:val="000000"/>
              <w:sz w:val="20"/>
              <w:lang w:val="en-US"/>
            </w:rPr>
            <w:t>JMIR Mhealth Uhealth</w:t>
          </w:r>
          <w:r w:rsidRPr="00F22296">
            <w:rPr>
              <w:rFonts w:ascii="Times" w:eastAsia="Times New Roman" w:hAnsi="Times" w:cs="Times"/>
              <w:color w:val="000000"/>
              <w:sz w:val="20"/>
              <w:lang w:val="en-US"/>
            </w:rPr>
            <w:t>, vol. 8, no. 7, 2020, doi: 10.2196/17760.</w:t>
          </w:r>
        </w:p>
        <w:p w14:paraId="305C9406" w14:textId="77777777" w:rsidR="00F22296" w:rsidRPr="00F22296" w:rsidRDefault="00F22296">
          <w:pPr>
            <w:autoSpaceDE w:val="0"/>
            <w:autoSpaceDN w:val="0"/>
            <w:ind w:hanging="640"/>
            <w:divId w:val="226648488"/>
            <w:rPr>
              <w:rFonts w:ascii="Times" w:eastAsia="Times New Roman" w:hAnsi="Times" w:cs="Times"/>
              <w:color w:val="000000"/>
              <w:sz w:val="20"/>
              <w:lang w:val="en-US"/>
            </w:rPr>
          </w:pPr>
          <w:r w:rsidRPr="00F22296">
            <w:rPr>
              <w:rFonts w:ascii="Times" w:eastAsia="Times New Roman" w:hAnsi="Times" w:cs="Times"/>
              <w:color w:val="000000"/>
              <w:sz w:val="20"/>
              <w:lang w:val="en-US"/>
            </w:rPr>
            <w:t>[32]</w:t>
          </w:r>
          <w:r w:rsidRPr="00F22296">
            <w:rPr>
              <w:rFonts w:ascii="Times" w:eastAsia="Times New Roman" w:hAnsi="Times" w:cs="Times"/>
              <w:color w:val="000000"/>
              <w:sz w:val="20"/>
              <w:lang w:val="en-US"/>
            </w:rPr>
            <w:tab/>
            <w:t xml:space="preserve">P. Llorens-Vernet and J. Miró, “Standards for Mobile Health–Related Apps: Systematic Review and Development of a Guide,” </w:t>
          </w:r>
          <w:r w:rsidRPr="00F22296">
            <w:rPr>
              <w:rFonts w:ascii="Times" w:eastAsia="Times New Roman" w:hAnsi="Times" w:cs="Times"/>
              <w:i/>
              <w:iCs/>
              <w:color w:val="000000"/>
              <w:sz w:val="20"/>
              <w:lang w:val="en-US"/>
            </w:rPr>
            <w:t>JMIR Mhealth Uhealth</w:t>
          </w:r>
          <w:r w:rsidRPr="00F22296">
            <w:rPr>
              <w:rFonts w:ascii="Times" w:eastAsia="Times New Roman" w:hAnsi="Times" w:cs="Times"/>
              <w:color w:val="000000"/>
              <w:sz w:val="20"/>
              <w:lang w:val="en-US"/>
            </w:rPr>
            <w:t>, vol. 8, no. 3, p. e13057, 2020, doi: 10.2196/13057.</w:t>
          </w:r>
        </w:p>
        <w:p w14:paraId="6AA76A04" w14:textId="77777777" w:rsidR="00F22296" w:rsidRPr="00F22296" w:rsidRDefault="00F22296">
          <w:pPr>
            <w:autoSpaceDE w:val="0"/>
            <w:autoSpaceDN w:val="0"/>
            <w:ind w:hanging="640"/>
            <w:divId w:val="72051848"/>
            <w:rPr>
              <w:rFonts w:ascii="Times" w:eastAsia="Times New Roman" w:hAnsi="Times" w:cs="Times"/>
              <w:color w:val="000000"/>
              <w:sz w:val="20"/>
              <w:lang w:val="en-US"/>
            </w:rPr>
          </w:pPr>
          <w:r w:rsidRPr="00F22296">
            <w:rPr>
              <w:rFonts w:ascii="Times" w:eastAsia="Times New Roman" w:hAnsi="Times" w:cs="Times"/>
              <w:color w:val="000000"/>
              <w:sz w:val="20"/>
              <w:lang w:val="en-US"/>
            </w:rPr>
            <w:t>[33]</w:t>
          </w:r>
          <w:r w:rsidRPr="00F22296">
            <w:rPr>
              <w:rFonts w:ascii="Times" w:eastAsia="Times New Roman" w:hAnsi="Times" w:cs="Times"/>
              <w:color w:val="000000"/>
              <w:sz w:val="20"/>
              <w:lang w:val="en-US"/>
            </w:rPr>
            <w:tab/>
            <w:t xml:space="preserve">B. Martínez-Pérez, I. de la Torre-Díez, and M. López-Coronado, “Privacy and Security in Mobile Health Apps: A Review and Recommendations,” </w:t>
          </w:r>
          <w:r w:rsidRPr="00F22296">
            <w:rPr>
              <w:rFonts w:ascii="Times" w:eastAsia="Times New Roman" w:hAnsi="Times" w:cs="Times"/>
              <w:i/>
              <w:iCs/>
              <w:color w:val="000000"/>
              <w:sz w:val="20"/>
              <w:lang w:val="en-US"/>
            </w:rPr>
            <w:t>J. Med. Syst.</w:t>
          </w:r>
          <w:r w:rsidRPr="00F22296">
            <w:rPr>
              <w:rFonts w:ascii="Times" w:eastAsia="Times New Roman" w:hAnsi="Times" w:cs="Times"/>
              <w:color w:val="000000"/>
              <w:sz w:val="20"/>
              <w:lang w:val="en-US"/>
            </w:rPr>
            <w:t>, vol. 39, no. 1, 2015, doi: 10.1007/s10916-014-0181-3.</w:t>
          </w:r>
        </w:p>
        <w:p w14:paraId="339B125E" w14:textId="77777777" w:rsidR="00F22296" w:rsidRPr="00F22296" w:rsidRDefault="00F22296">
          <w:pPr>
            <w:autoSpaceDE w:val="0"/>
            <w:autoSpaceDN w:val="0"/>
            <w:ind w:hanging="640"/>
            <w:divId w:val="1229456582"/>
            <w:rPr>
              <w:rFonts w:ascii="Times" w:eastAsia="Times New Roman" w:hAnsi="Times" w:cs="Times"/>
              <w:color w:val="000000"/>
              <w:sz w:val="20"/>
              <w:lang w:val="en-US"/>
            </w:rPr>
          </w:pPr>
          <w:r w:rsidRPr="00F22296">
            <w:rPr>
              <w:rFonts w:ascii="Times" w:eastAsia="Times New Roman" w:hAnsi="Times" w:cs="Times"/>
              <w:color w:val="000000"/>
              <w:sz w:val="20"/>
              <w:lang w:val="en-US"/>
            </w:rPr>
            <w:t>[34]</w:t>
          </w:r>
          <w:r w:rsidRPr="00F22296">
            <w:rPr>
              <w:rFonts w:ascii="Times" w:eastAsia="Times New Roman" w:hAnsi="Times" w:cs="Times"/>
              <w:color w:val="000000"/>
              <w:sz w:val="20"/>
              <w:lang w:val="en-US"/>
            </w:rPr>
            <w:tab/>
            <w:t xml:space="preserve">M. A. Ferrag, L. Shu, and K.-K. R. Choo, “Fighting COVID-19 and Future Pandemics with the Internet of Things: Security and Privacy Perspectives,” </w:t>
          </w:r>
          <w:r w:rsidRPr="00F22296">
            <w:rPr>
              <w:rFonts w:ascii="Times" w:eastAsia="Times New Roman" w:hAnsi="Times" w:cs="Times"/>
              <w:i/>
              <w:iCs/>
              <w:color w:val="000000"/>
              <w:sz w:val="20"/>
              <w:lang w:val="en-US"/>
            </w:rPr>
            <w:t>IEEE/CAA Journal of Automatica Sinica</w:t>
          </w:r>
          <w:r w:rsidRPr="00F22296">
            <w:rPr>
              <w:rFonts w:ascii="Times" w:eastAsia="Times New Roman" w:hAnsi="Times" w:cs="Times"/>
              <w:color w:val="000000"/>
              <w:sz w:val="20"/>
              <w:lang w:val="en-US"/>
            </w:rPr>
            <w:t>, vol. 8, no. 9, pp. 1477–1499, 2021, doi: 10.1109/JAS.2021.1004087.</w:t>
          </w:r>
        </w:p>
        <w:p w14:paraId="5F1C5DBD" w14:textId="77777777" w:rsidR="00F22296" w:rsidRPr="00F22296" w:rsidRDefault="00F22296">
          <w:pPr>
            <w:autoSpaceDE w:val="0"/>
            <w:autoSpaceDN w:val="0"/>
            <w:ind w:hanging="640"/>
            <w:divId w:val="944996229"/>
            <w:rPr>
              <w:rFonts w:ascii="Times" w:eastAsia="Times New Roman" w:hAnsi="Times" w:cs="Times"/>
              <w:color w:val="000000"/>
              <w:sz w:val="20"/>
              <w:lang w:val="en-US"/>
            </w:rPr>
          </w:pPr>
          <w:r w:rsidRPr="00F22296">
            <w:rPr>
              <w:rFonts w:ascii="Times" w:eastAsia="Times New Roman" w:hAnsi="Times" w:cs="Times"/>
              <w:color w:val="000000"/>
              <w:sz w:val="20"/>
              <w:lang w:val="en-US"/>
            </w:rPr>
            <w:t>[35]</w:t>
          </w:r>
          <w:r w:rsidRPr="00F22296">
            <w:rPr>
              <w:rFonts w:ascii="Times" w:eastAsia="Times New Roman" w:hAnsi="Times" w:cs="Times"/>
              <w:color w:val="000000"/>
              <w:sz w:val="20"/>
              <w:lang w:val="en-US"/>
            </w:rPr>
            <w:tab/>
            <w:t xml:space="preserve">A. Papageorgiou, M. Strigkos, E. Politou, E. Alepis, A. Solanas, and C. Patsakis, “Security and Privacy Analysis of Mobile Health Applications: The Alarming State of Practice,” </w:t>
          </w:r>
          <w:r w:rsidRPr="00F22296">
            <w:rPr>
              <w:rFonts w:ascii="Times" w:eastAsia="Times New Roman" w:hAnsi="Times" w:cs="Times"/>
              <w:i/>
              <w:iCs/>
              <w:color w:val="000000"/>
              <w:sz w:val="20"/>
              <w:lang w:val="en-US"/>
            </w:rPr>
            <w:t>IEEE Access</w:t>
          </w:r>
          <w:r w:rsidRPr="00F22296">
            <w:rPr>
              <w:rFonts w:ascii="Times" w:eastAsia="Times New Roman" w:hAnsi="Times" w:cs="Times"/>
              <w:color w:val="000000"/>
              <w:sz w:val="20"/>
              <w:lang w:val="en-US"/>
            </w:rPr>
            <w:t>, vol. 6, pp. 9390–9403, 2018, doi: 10.1109/ACCESS.2018.2799522.</w:t>
          </w:r>
        </w:p>
        <w:p w14:paraId="5E450156" w14:textId="77777777" w:rsidR="00F22296" w:rsidRPr="00F22296" w:rsidRDefault="00F22296">
          <w:pPr>
            <w:autoSpaceDE w:val="0"/>
            <w:autoSpaceDN w:val="0"/>
            <w:ind w:hanging="640"/>
            <w:divId w:val="834880166"/>
            <w:rPr>
              <w:rFonts w:ascii="Times" w:eastAsia="Times New Roman" w:hAnsi="Times" w:cs="Times"/>
              <w:color w:val="000000"/>
              <w:sz w:val="20"/>
              <w:lang w:val="en-US"/>
            </w:rPr>
          </w:pPr>
          <w:r w:rsidRPr="00F22296">
            <w:rPr>
              <w:rFonts w:ascii="Times" w:eastAsia="Times New Roman" w:hAnsi="Times" w:cs="Times"/>
              <w:color w:val="000000"/>
              <w:sz w:val="20"/>
              <w:lang w:val="en-US"/>
            </w:rPr>
            <w:t>[36]</w:t>
          </w:r>
          <w:r w:rsidRPr="00F22296">
            <w:rPr>
              <w:rFonts w:ascii="Times" w:eastAsia="Times New Roman" w:hAnsi="Times" w:cs="Times"/>
              <w:color w:val="000000"/>
              <w:sz w:val="20"/>
              <w:lang w:val="en-US"/>
            </w:rPr>
            <w:tab/>
            <w:t xml:space="preserve">R. Rezaee, M. Khashayar, S. Saeedinezhad, M. Nasiri, and S. Zare, “Critical Criteria and Countermeasures for Mobile Health Developers to Ensure Mobile Health Privacy and Security: Mixed Methods Study,” </w:t>
          </w:r>
          <w:r w:rsidRPr="00F22296">
            <w:rPr>
              <w:rFonts w:ascii="Times" w:eastAsia="Times New Roman" w:hAnsi="Times" w:cs="Times"/>
              <w:i/>
              <w:iCs/>
              <w:color w:val="000000"/>
              <w:sz w:val="20"/>
              <w:lang w:val="en-US"/>
            </w:rPr>
            <w:t>JMIR Mhealth Uhealth</w:t>
          </w:r>
          <w:r w:rsidRPr="00F22296">
            <w:rPr>
              <w:rFonts w:ascii="Times" w:eastAsia="Times New Roman" w:hAnsi="Times" w:cs="Times"/>
              <w:color w:val="000000"/>
              <w:sz w:val="20"/>
              <w:lang w:val="en-US"/>
            </w:rPr>
            <w:t>, vol. 11, 2023, doi: 10.2196/39055.</w:t>
          </w:r>
        </w:p>
        <w:p w14:paraId="18512CBE" w14:textId="77777777" w:rsidR="00F22296" w:rsidRPr="00F22296" w:rsidRDefault="00F22296">
          <w:pPr>
            <w:autoSpaceDE w:val="0"/>
            <w:autoSpaceDN w:val="0"/>
            <w:ind w:hanging="640"/>
            <w:divId w:val="59183239"/>
            <w:rPr>
              <w:rFonts w:ascii="Times" w:eastAsia="Times New Roman" w:hAnsi="Times" w:cs="Times"/>
              <w:color w:val="000000"/>
              <w:sz w:val="20"/>
              <w:lang w:val="en-US"/>
            </w:rPr>
          </w:pPr>
          <w:r w:rsidRPr="00F22296">
            <w:rPr>
              <w:rFonts w:ascii="Times" w:eastAsia="Times New Roman" w:hAnsi="Times" w:cs="Times"/>
              <w:color w:val="000000"/>
              <w:sz w:val="20"/>
              <w:lang w:val="en-US"/>
            </w:rPr>
            <w:t>[37]</w:t>
          </w:r>
          <w:r w:rsidRPr="00F22296">
            <w:rPr>
              <w:rFonts w:ascii="Times" w:eastAsia="Times New Roman" w:hAnsi="Times" w:cs="Times"/>
              <w:color w:val="000000"/>
              <w:sz w:val="20"/>
              <w:lang w:val="en-US"/>
            </w:rPr>
            <w:tab/>
            <w:t xml:space="preserve">C. Esposito, R. Horne, L. Robaldo, B. Buelens, and E. Goesaert, “Assessing the Solid Protocol in Relation to Security and Privacy Obligations,” </w:t>
          </w:r>
          <w:r w:rsidRPr="00F22296">
            <w:rPr>
              <w:rFonts w:ascii="Times" w:eastAsia="Times New Roman" w:hAnsi="Times" w:cs="Times"/>
              <w:i/>
              <w:iCs/>
              <w:color w:val="000000"/>
              <w:sz w:val="20"/>
              <w:lang w:val="en-US"/>
            </w:rPr>
            <w:t>Information (Switzerland)</w:t>
          </w:r>
          <w:r w:rsidRPr="00F22296">
            <w:rPr>
              <w:rFonts w:ascii="Times" w:eastAsia="Times New Roman" w:hAnsi="Times" w:cs="Times"/>
              <w:color w:val="000000"/>
              <w:sz w:val="20"/>
              <w:lang w:val="en-US"/>
            </w:rPr>
            <w:t>, vol. 14, no. 7, 2023, doi: 10.3390/info14070411.</w:t>
          </w:r>
        </w:p>
        <w:p w14:paraId="7D2E2918" w14:textId="77777777" w:rsidR="00F22296" w:rsidRPr="00F22296" w:rsidRDefault="00F22296">
          <w:pPr>
            <w:autoSpaceDE w:val="0"/>
            <w:autoSpaceDN w:val="0"/>
            <w:ind w:hanging="640"/>
            <w:divId w:val="467086965"/>
            <w:rPr>
              <w:rFonts w:ascii="Times" w:eastAsia="Times New Roman" w:hAnsi="Times" w:cs="Times"/>
              <w:color w:val="000000"/>
              <w:sz w:val="20"/>
              <w:lang w:val="en-US"/>
            </w:rPr>
          </w:pPr>
          <w:r w:rsidRPr="00F22296">
            <w:rPr>
              <w:rFonts w:ascii="Times" w:eastAsia="Times New Roman" w:hAnsi="Times" w:cs="Times"/>
              <w:color w:val="000000"/>
              <w:sz w:val="20"/>
              <w:lang w:val="en-US"/>
            </w:rPr>
            <w:t>[38]</w:t>
          </w:r>
          <w:r w:rsidRPr="00F22296">
            <w:rPr>
              <w:rFonts w:ascii="Times" w:eastAsia="Times New Roman" w:hAnsi="Times" w:cs="Times"/>
              <w:color w:val="000000"/>
              <w:sz w:val="20"/>
              <w:lang w:val="en-US"/>
            </w:rPr>
            <w:tab/>
            <w:t xml:space="preserve">M. Wazid, S. Zeadally, A. K. Das, and V. Odelu, “Analysis of Security Protocols for Mobile Healthcare,” </w:t>
          </w:r>
          <w:r w:rsidRPr="00F22296">
            <w:rPr>
              <w:rFonts w:ascii="Times" w:eastAsia="Times New Roman" w:hAnsi="Times" w:cs="Times"/>
              <w:i/>
              <w:iCs/>
              <w:color w:val="000000"/>
              <w:sz w:val="20"/>
              <w:lang w:val="en-US"/>
            </w:rPr>
            <w:t>J. Med. Syst.</w:t>
          </w:r>
          <w:r w:rsidRPr="00F22296">
            <w:rPr>
              <w:rFonts w:ascii="Times" w:eastAsia="Times New Roman" w:hAnsi="Times" w:cs="Times"/>
              <w:color w:val="000000"/>
              <w:sz w:val="20"/>
              <w:lang w:val="en-US"/>
            </w:rPr>
            <w:t>, vol. 40, no. 11, 2016, doi: 10.1007/s10916-016-0596-0.</w:t>
          </w:r>
        </w:p>
        <w:p w14:paraId="6EEB8722" w14:textId="77777777" w:rsidR="00F22296" w:rsidRPr="00F22296" w:rsidRDefault="00F22296">
          <w:pPr>
            <w:autoSpaceDE w:val="0"/>
            <w:autoSpaceDN w:val="0"/>
            <w:ind w:hanging="640"/>
            <w:divId w:val="1613173445"/>
            <w:rPr>
              <w:rFonts w:ascii="Times" w:eastAsia="Times New Roman" w:hAnsi="Times" w:cs="Times"/>
              <w:color w:val="000000"/>
              <w:sz w:val="20"/>
              <w:lang w:val="en-US"/>
            </w:rPr>
          </w:pPr>
          <w:r w:rsidRPr="00F22296">
            <w:rPr>
              <w:rFonts w:ascii="Times" w:eastAsia="Times New Roman" w:hAnsi="Times" w:cs="Times"/>
              <w:color w:val="000000"/>
              <w:sz w:val="20"/>
              <w:lang w:val="en-US"/>
            </w:rPr>
            <w:lastRenderedPageBreak/>
            <w:t>[39]</w:t>
          </w:r>
          <w:r w:rsidRPr="00F22296">
            <w:rPr>
              <w:rFonts w:ascii="Times" w:eastAsia="Times New Roman" w:hAnsi="Times" w:cs="Times"/>
              <w:color w:val="000000"/>
              <w:sz w:val="20"/>
              <w:lang w:val="en-US"/>
            </w:rPr>
            <w:tab/>
            <w:t xml:space="preserve">D. D. Luxton, R. A. Kayl, and M. C. Mishkind, “MHealth data security: The need for HIPAA-compliant standardization,” </w:t>
          </w:r>
          <w:r w:rsidRPr="00F22296">
            <w:rPr>
              <w:rFonts w:ascii="Times" w:eastAsia="Times New Roman" w:hAnsi="Times" w:cs="Times"/>
              <w:i/>
              <w:iCs/>
              <w:color w:val="000000"/>
              <w:sz w:val="20"/>
              <w:lang w:val="en-US"/>
            </w:rPr>
            <w:t>Telemedicine and e-Health</w:t>
          </w:r>
          <w:r w:rsidRPr="00F22296">
            <w:rPr>
              <w:rFonts w:ascii="Times" w:eastAsia="Times New Roman" w:hAnsi="Times" w:cs="Times"/>
              <w:color w:val="000000"/>
              <w:sz w:val="20"/>
              <w:lang w:val="en-US"/>
            </w:rPr>
            <w:t>, vol. 18, no. 4, pp. 284–288, 2012, doi: 10.1089/tmj.2011.0180.</w:t>
          </w:r>
        </w:p>
        <w:p w14:paraId="5CAC28A6" w14:textId="77777777" w:rsidR="00F22296" w:rsidRPr="00F22296" w:rsidRDefault="00F22296">
          <w:pPr>
            <w:autoSpaceDE w:val="0"/>
            <w:autoSpaceDN w:val="0"/>
            <w:ind w:hanging="640"/>
            <w:divId w:val="504252559"/>
            <w:rPr>
              <w:rFonts w:ascii="Times" w:eastAsia="Times New Roman" w:hAnsi="Times" w:cs="Times"/>
              <w:color w:val="000000"/>
              <w:sz w:val="20"/>
              <w:lang w:val="en-US"/>
            </w:rPr>
          </w:pPr>
          <w:r w:rsidRPr="00F22296">
            <w:rPr>
              <w:rFonts w:ascii="Times" w:eastAsia="Times New Roman" w:hAnsi="Times" w:cs="Times"/>
              <w:color w:val="000000"/>
              <w:sz w:val="20"/>
              <w:lang w:val="en-US"/>
            </w:rPr>
            <w:t>[40]</w:t>
          </w:r>
          <w:r w:rsidRPr="00F22296">
            <w:rPr>
              <w:rFonts w:ascii="Times" w:eastAsia="Times New Roman" w:hAnsi="Times" w:cs="Times"/>
              <w:color w:val="000000"/>
              <w:sz w:val="20"/>
              <w:lang w:val="en-US"/>
            </w:rPr>
            <w:tab/>
            <w:t xml:space="preserve">K. Escarfullet, C. Moore, S. Tucker, and J. Wei, “An object-oriented mobile health system with usability features,” </w:t>
          </w:r>
          <w:r w:rsidRPr="00F22296">
            <w:rPr>
              <w:rFonts w:ascii="Times" w:eastAsia="Times New Roman" w:hAnsi="Times" w:cs="Times"/>
              <w:i/>
              <w:iCs/>
              <w:color w:val="000000"/>
              <w:sz w:val="20"/>
              <w:lang w:val="en-US"/>
            </w:rPr>
            <w:t>Int. J. Electron. Healthc.</w:t>
          </w:r>
          <w:r w:rsidRPr="00F22296">
            <w:rPr>
              <w:rFonts w:ascii="Times" w:eastAsia="Times New Roman" w:hAnsi="Times" w:cs="Times"/>
              <w:color w:val="000000"/>
              <w:sz w:val="20"/>
              <w:lang w:val="en-US"/>
            </w:rPr>
            <w:t>, vol. 7, no. 1, pp. 53–67, 2012, doi: 10.1504/IJEH.2012.048669.</w:t>
          </w:r>
        </w:p>
        <w:p w14:paraId="53A0478A" w14:textId="77777777" w:rsidR="00F22296" w:rsidRPr="00F22296" w:rsidRDefault="00F22296">
          <w:pPr>
            <w:autoSpaceDE w:val="0"/>
            <w:autoSpaceDN w:val="0"/>
            <w:ind w:hanging="640"/>
            <w:divId w:val="950934256"/>
            <w:rPr>
              <w:rFonts w:ascii="Times" w:eastAsia="Times New Roman" w:hAnsi="Times" w:cs="Times"/>
              <w:color w:val="000000"/>
              <w:sz w:val="20"/>
              <w:lang w:val="en-US"/>
            </w:rPr>
          </w:pPr>
          <w:r w:rsidRPr="00F22296">
            <w:rPr>
              <w:rFonts w:ascii="Times" w:eastAsia="Times New Roman" w:hAnsi="Times" w:cs="Times"/>
              <w:color w:val="000000"/>
              <w:sz w:val="20"/>
              <w:lang w:val="en-US"/>
            </w:rPr>
            <w:t>[41]</w:t>
          </w:r>
          <w:r w:rsidRPr="00F22296">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46E54DCD" w14:textId="77777777" w:rsidR="00F22296" w:rsidRPr="00F22296" w:rsidRDefault="00F22296">
          <w:pPr>
            <w:autoSpaceDE w:val="0"/>
            <w:autoSpaceDN w:val="0"/>
            <w:ind w:hanging="640"/>
            <w:divId w:val="71663552"/>
            <w:rPr>
              <w:rFonts w:ascii="Times" w:eastAsia="Times New Roman" w:hAnsi="Times" w:cs="Times"/>
              <w:color w:val="000000"/>
              <w:sz w:val="20"/>
              <w:lang w:val="en-US"/>
            </w:rPr>
          </w:pPr>
          <w:r w:rsidRPr="00F22296">
            <w:rPr>
              <w:rFonts w:ascii="Times" w:eastAsia="Times New Roman" w:hAnsi="Times" w:cs="Times"/>
              <w:color w:val="000000"/>
              <w:sz w:val="20"/>
            </w:rPr>
            <w:t>[42]</w:t>
          </w:r>
          <w:r w:rsidRPr="00F22296">
            <w:rPr>
              <w:rFonts w:ascii="Times" w:eastAsia="Times New Roman" w:hAnsi="Times" w:cs="Times"/>
              <w:color w:val="000000"/>
              <w:sz w:val="20"/>
            </w:rPr>
            <w:tab/>
            <w:t xml:space="preserve">C. Pardo, F. Pino, F. Garcia, M. Piattini, and J. Rosado, </w:t>
          </w:r>
          <w:r w:rsidRPr="00F22296">
            <w:rPr>
              <w:rFonts w:ascii="Times" w:eastAsia="Times New Roman" w:hAnsi="Times" w:cs="Times"/>
              <w:i/>
              <w:iCs/>
              <w:color w:val="000000"/>
              <w:sz w:val="20"/>
            </w:rPr>
            <w:t>Armonizando ISO/IEC 20000 e ISO/IEC 27001 para integrar la gestión de servicios y la seguridad de la información.</w:t>
          </w:r>
          <w:r w:rsidRPr="00F22296">
            <w:rPr>
              <w:rFonts w:ascii="Times" w:eastAsia="Times New Roman" w:hAnsi="Times" w:cs="Times"/>
              <w:color w:val="000000"/>
              <w:sz w:val="20"/>
            </w:rPr>
            <w:t xml:space="preserve"> </w:t>
          </w:r>
          <w:r w:rsidRPr="00F22296">
            <w:rPr>
              <w:rFonts w:ascii="Times" w:eastAsia="Times New Roman" w:hAnsi="Times" w:cs="Times"/>
              <w:color w:val="000000"/>
              <w:sz w:val="20"/>
              <w:lang w:val="en-US"/>
            </w:rPr>
            <w:t>2010.</w:t>
          </w:r>
        </w:p>
        <w:p w14:paraId="65E6950D" w14:textId="77777777" w:rsidR="00F22296" w:rsidRPr="00F22296" w:rsidRDefault="00F22296">
          <w:pPr>
            <w:autoSpaceDE w:val="0"/>
            <w:autoSpaceDN w:val="0"/>
            <w:ind w:hanging="640"/>
            <w:divId w:val="80949500"/>
            <w:rPr>
              <w:rFonts w:ascii="Times" w:eastAsia="Times New Roman" w:hAnsi="Times" w:cs="Times"/>
              <w:color w:val="000000"/>
              <w:sz w:val="20"/>
              <w:lang w:val="en-US"/>
            </w:rPr>
          </w:pPr>
          <w:r w:rsidRPr="00F22296">
            <w:rPr>
              <w:rFonts w:ascii="Times" w:eastAsia="Times New Roman" w:hAnsi="Times" w:cs="Times"/>
              <w:color w:val="000000"/>
              <w:sz w:val="20"/>
              <w:lang w:val="en-US"/>
            </w:rPr>
            <w:t>[43]</w:t>
          </w:r>
          <w:r w:rsidRPr="00F22296">
            <w:rPr>
              <w:rFonts w:ascii="Times" w:eastAsia="Times New Roman" w:hAnsi="Times" w:cs="Times"/>
              <w:color w:val="000000"/>
              <w:sz w:val="20"/>
              <w:lang w:val="en-US"/>
            </w:rPr>
            <w:tab/>
            <w:t xml:space="preserve">C. Pardo, F. Pino, F. Garcia, and M. Piattini, </w:t>
          </w:r>
          <w:r w:rsidRPr="00F22296">
            <w:rPr>
              <w:rFonts w:ascii="Times" w:eastAsia="Times New Roman" w:hAnsi="Times" w:cs="Times"/>
              <w:i/>
              <w:iCs/>
              <w:color w:val="000000"/>
              <w:sz w:val="20"/>
              <w:lang w:val="en-US"/>
            </w:rPr>
            <w:t>Homogenization of Models to Support Multi-model Processes in Improvement Environments.</w:t>
          </w:r>
          <w:r w:rsidRPr="00F22296">
            <w:rPr>
              <w:rFonts w:ascii="Times" w:eastAsia="Times New Roman" w:hAnsi="Times" w:cs="Times"/>
              <w:color w:val="000000"/>
              <w:sz w:val="20"/>
              <w:lang w:val="en-US"/>
            </w:rPr>
            <w:t>, vol. 1. 2009.</w:t>
          </w:r>
        </w:p>
        <w:p w14:paraId="59F0FCEC" w14:textId="77777777" w:rsidR="00F22296" w:rsidRPr="00F22296" w:rsidRDefault="00F22296">
          <w:pPr>
            <w:autoSpaceDE w:val="0"/>
            <w:autoSpaceDN w:val="0"/>
            <w:ind w:hanging="640"/>
            <w:divId w:val="1563174666"/>
            <w:rPr>
              <w:rFonts w:ascii="Times" w:eastAsia="Times New Roman" w:hAnsi="Times" w:cs="Times"/>
              <w:color w:val="000000"/>
              <w:sz w:val="20"/>
              <w:lang w:val="en-US"/>
            </w:rPr>
          </w:pPr>
          <w:r w:rsidRPr="00F22296">
            <w:rPr>
              <w:rFonts w:ascii="Times" w:eastAsia="Times New Roman" w:hAnsi="Times" w:cs="Times"/>
              <w:color w:val="000000"/>
              <w:sz w:val="20"/>
              <w:lang w:val="en-US"/>
            </w:rPr>
            <w:t>[44]</w:t>
          </w:r>
          <w:r w:rsidRPr="00F22296">
            <w:rPr>
              <w:rFonts w:ascii="Times" w:eastAsia="Times New Roman" w:hAnsi="Times" w:cs="Times"/>
              <w:color w:val="000000"/>
              <w:sz w:val="20"/>
              <w:lang w:val="en-US"/>
            </w:rPr>
            <w:tab/>
            <w:t xml:space="preserve">F. J. Pino, M. T. Baldassarre, M. Piattini, and G. Visaggio, “Harmonizing maturity levels from CMMI-DEV and ISO/IEC 15504,” </w:t>
          </w:r>
          <w:r w:rsidRPr="00F22296">
            <w:rPr>
              <w:rFonts w:ascii="Times" w:eastAsia="Times New Roman" w:hAnsi="Times" w:cs="Times"/>
              <w:i/>
              <w:iCs/>
              <w:color w:val="000000"/>
              <w:sz w:val="20"/>
              <w:lang w:val="en-US"/>
            </w:rPr>
            <w:t>Journal of Software Maintenance and Evolution: Research and Practice</w:t>
          </w:r>
          <w:r w:rsidRPr="00F22296">
            <w:rPr>
              <w:rFonts w:ascii="Times" w:eastAsia="Times New Roman" w:hAnsi="Times" w:cs="Times"/>
              <w:color w:val="000000"/>
              <w:sz w:val="20"/>
              <w:lang w:val="en-US"/>
            </w:rPr>
            <w:t>, vol. 22, no. 4, pp. 279–296, Jun. 2010, doi: https://doi.org/10.1002/spip.437.</w:t>
          </w:r>
        </w:p>
        <w:p w14:paraId="1D848F19" w14:textId="0D23C47A" w:rsidR="00A965E1" w:rsidRPr="00543D4F" w:rsidRDefault="00F22296" w:rsidP="001C025D">
          <w:pPr>
            <w:jc w:val="both"/>
            <w:rPr>
              <w:rFonts w:ascii="Times" w:hAnsi="Times" w:cs="Times"/>
              <w:sz w:val="20"/>
              <w:szCs w:val="20"/>
              <w:lang w:val="en-US"/>
            </w:rPr>
          </w:pPr>
          <w:r w:rsidRPr="00F22296">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6BEB4C" w14:textId="77777777" w:rsidR="00B15C21" w:rsidRDefault="00B15C21" w:rsidP="007A2CB8">
      <w:pPr>
        <w:spacing w:after="0" w:line="240" w:lineRule="auto"/>
      </w:pPr>
      <w:r>
        <w:separator/>
      </w:r>
    </w:p>
  </w:endnote>
  <w:endnote w:type="continuationSeparator" w:id="0">
    <w:p w14:paraId="1E87EA31" w14:textId="77777777" w:rsidR="00B15C21" w:rsidRDefault="00B15C21"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F5D8D6" w14:textId="77777777" w:rsidR="00B15C21" w:rsidRDefault="00B15C21" w:rsidP="007A2CB8">
      <w:pPr>
        <w:spacing w:after="0" w:line="240" w:lineRule="auto"/>
      </w:pPr>
      <w:r>
        <w:separator/>
      </w:r>
    </w:p>
  </w:footnote>
  <w:footnote w:type="continuationSeparator" w:id="0">
    <w:p w14:paraId="04B90C23" w14:textId="77777777" w:rsidR="00B15C21" w:rsidRDefault="00B15C21" w:rsidP="007A2CB8">
      <w:pPr>
        <w:spacing w:after="0" w:line="240" w:lineRule="auto"/>
      </w:pPr>
      <w:r>
        <w:continuationSeparator/>
      </w:r>
    </w:p>
  </w:footnote>
  <w:footnote w:id="1">
    <w:p w14:paraId="4BD26D86" w14:textId="77777777" w:rsidR="00137A4D" w:rsidRDefault="00137A4D" w:rsidP="00137A4D">
      <w:pPr>
        <w:pStyle w:val="Textonotapie"/>
        <w:ind w:firstLine="0"/>
      </w:pPr>
      <w:r>
        <w:rPr>
          <w:rStyle w:val="Refdenotaalpie"/>
        </w:rPr>
        <w:footnoteRef/>
      </w:r>
      <w:r>
        <w:t xml:space="preserve"> http://bit.ly/4fMJhLV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0"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1" w15:restartNumberingAfterBreak="0">
    <w:nsid w:val="43F05254"/>
    <w:multiLevelType w:val="hybridMultilevel"/>
    <w:tmpl w:val="D0D285F6"/>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7186B568">
      <w:start w:val="1"/>
      <w:numFmt w:val="decimal"/>
      <w:lvlText w:val="%4."/>
      <w:lvlJc w:val="left"/>
      <w:pPr>
        <w:ind w:left="2880" w:hanging="360"/>
      </w:p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2"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3"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4"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6"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abstractNumId w:val="14"/>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3"/>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9"/>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gFAC1IdjstAAAA"/>
  </w:docVars>
  <w:rsids>
    <w:rsidRoot w:val="00D21311"/>
    <w:rsid w:val="0006525D"/>
    <w:rsid w:val="00091619"/>
    <w:rsid w:val="000A1D1A"/>
    <w:rsid w:val="0011548D"/>
    <w:rsid w:val="00122C79"/>
    <w:rsid w:val="00137A4D"/>
    <w:rsid w:val="0017658C"/>
    <w:rsid w:val="001C025D"/>
    <w:rsid w:val="001F533E"/>
    <w:rsid w:val="002604F9"/>
    <w:rsid w:val="002654FF"/>
    <w:rsid w:val="0029265A"/>
    <w:rsid w:val="002A6533"/>
    <w:rsid w:val="003270D8"/>
    <w:rsid w:val="003A14B5"/>
    <w:rsid w:val="003A5E3A"/>
    <w:rsid w:val="003B72E0"/>
    <w:rsid w:val="003E3574"/>
    <w:rsid w:val="004079C3"/>
    <w:rsid w:val="00411AD9"/>
    <w:rsid w:val="0046789E"/>
    <w:rsid w:val="00477D25"/>
    <w:rsid w:val="00494C86"/>
    <w:rsid w:val="004D1B72"/>
    <w:rsid w:val="00543D4F"/>
    <w:rsid w:val="00595DDD"/>
    <w:rsid w:val="005C7A15"/>
    <w:rsid w:val="005D2032"/>
    <w:rsid w:val="005D3FAE"/>
    <w:rsid w:val="005E06D5"/>
    <w:rsid w:val="00635281"/>
    <w:rsid w:val="00692F75"/>
    <w:rsid w:val="006E631C"/>
    <w:rsid w:val="006F6FFA"/>
    <w:rsid w:val="00763F11"/>
    <w:rsid w:val="00774444"/>
    <w:rsid w:val="00775918"/>
    <w:rsid w:val="00784C39"/>
    <w:rsid w:val="007A2CB8"/>
    <w:rsid w:val="007C6252"/>
    <w:rsid w:val="007D1758"/>
    <w:rsid w:val="00833D70"/>
    <w:rsid w:val="0085342F"/>
    <w:rsid w:val="00854FDF"/>
    <w:rsid w:val="0089486C"/>
    <w:rsid w:val="008B035B"/>
    <w:rsid w:val="008B155F"/>
    <w:rsid w:val="008D2AED"/>
    <w:rsid w:val="008D7C41"/>
    <w:rsid w:val="008E2228"/>
    <w:rsid w:val="009211DA"/>
    <w:rsid w:val="00946525"/>
    <w:rsid w:val="0097627B"/>
    <w:rsid w:val="0099590F"/>
    <w:rsid w:val="009C6055"/>
    <w:rsid w:val="00A07FA8"/>
    <w:rsid w:val="00A66610"/>
    <w:rsid w:val="00A74CA7"/>
    <w:rsid w:val="00A9123C"/>
    <w:rsid w:val="00A91A48"/>
    <w:rsid w:val="00A965E1"/>
    <w:rsid w:val="00AF64E7"/>
    <w:rsid w:val="00B15C21"/>
    <w:rsid w:val="00B24A3A"/>
    <w:rsid w:val="00B441BA"/>
    <w:rsid w:val="00B95711"/>
    <w:rsid w:val="00BD1D92"/>
    <w:rsid w:val="00BF790B"/>
    <w:rsid w:val="00C07051"/>
    <w:rsid w:val="00C10D17"/>
    <w:rsid w:val="00C33BDC"/>
    <w:rsid w:val="00C86346"/>
    <w:rsid w:val="00C90123"/>
    <w:rsid w:val="00C920A0"/>
    <w:rsid w:val="00CA5DE6"/>
    <w:rsid w:val="00CE7B32"/>
    <w:rsid w:val="00D120D5"/>
    <w:rsid w:val="00D21311"/>
    <w:rsid w:val="00D356C8"/>
    <w:rsid w:val="00D668EC"/>
    <w:rsid w:val="00D83F87"/>
    <w:rsid w:val="00D937DD"/>
    <w:rsid w:val="00DA07BA"/>
    <w:rsid w:val="00DE46FB"/>
    <w:rsid w:val="00DE76AF"/>
    <w:rsid w:val="00E45549"/>
    <w:rsid w:val="00E66759"/>
    <w:rsid w:val="00E75486"/>
    <w:rsid w:val="00E90DFF"/>
    <w:rsid w:val="00EA5CED"/>
    <w:rsid w:val="00EB0E6E"/>
    <w:rsid w:val="00EB17C8"/>
    <w:rsid w:val="00EB6383"/>
    <w:rsid w:val="00F1388A"/>
    <w:rsid w:val="00F22296"/>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rs/tree/main/SEC-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D43B341C9F194ED18E9D624AA454E2EA"/>
        <w:category>
          <w:name w:val="General"/>
          <w:gallery w:val="placeholder"/>
        </w:category>
        <w:types>
          <w:type w:val="bbPlcHdr"/>
        </w:types>
        <w:behaviors>
          <w:behavior w:val="content"/>
        </w:behaviors>
        <w:guid w:val="{2C0D5F1C-E31C-43EC-8E3D-D6A0681D5697}"/>
      </w:docPartPr>
      <w:docPartBody>
        <w:p w:rsidR="002521E5" w:rsidRDefault="00643779" w:rsidP="00643779">
          <w:pPr>
            <w:pStyle w:val="D43B341C9F194ED18E9D624AA454E2EA"/>
          </w:pPr>
          <w:r>
            <w:rPr>
              <w:rStyle w:val="Textodelmarcadordeposicin"/>
            </w:rPr>
            <w:t>Haga clic o pulse aquí para escribir texto.</w:t>
          </w:r>
        </w:p>
      </w:docPartBody>
    </w:docPart>
    <w:docPart>
      <w:docPartPr>
        <w:name w:val="FD42443D7A5D4AC7899871CE4D4A4FFE"/>
        <w:category>
          <w:name w:val="General"/>
          <w:gallery w:val="placeholder"/>
        </w:category>
        <w:types>
          <w:type w:val="bbPlcHdr"/>
        </w:types>
        <w:behaviors>
          <w:behavior w:val="content"/>
        </w:behaviors>
        <w:guid w:val="{09F02E36-747E-4E39-90BF-4AFD3C471650}"/>
      </w:docPartPr>
      <w:docPartBody>
        <w:p w:rsidR="002521E5" w:rsidRDefault="00643779" w:rsidP="00643779">
          <w:pPr>
            <w:pStyle w:val="FD42443D7A5D4AC7899871CE4D4A4FFE"/>
          </w:pPr>
          <w:r>
            <w:rPr>
              <w:rStyle w:val="Textodelmarcadordeposicin"/>
            </w:rPr>
            <w:t>Haga clic o pulse aquí para escribir texto.</w:t>
          </w:r>
        </w:p>
      </w:docPartBody>
    </w:docPart>
    <w:docPart>
      <w:docPartPr>
        <w:name w:val="BDF8214B1A144821B1D4E0F644D7698B"/>
        <w:category>
          <w:name w:val="General"/>
          <w:gallery w:val="placeholder"/>
        </w:category>
        <w:types>
          <w:type w:val="bbPlcHdr"/>
        </w:types>
        <w:behaviors>
          <w:behavior w:val="content"/>
        </w:behaviors>
        <w:guid w:val="{8D8DB674-937C-4FEA-AAD4-A122966DC657}"/>
      </w:docPartPr>
      <w:docPartBody>
        <w:p w:rsidR="002521E5" w:rsidRDefault="00643779" w:rsidP="00643779">
          <w:pPr>
            <w:pStyle w:val="BDF8214B1A144821B1D4E0F644D7698B"/>
          </w:pPr>
          <w:r>
            <w:rPr>
              <w:rStyle w:val="Textodelmarcadordeposicin"/>
            </w:rPr>
            <w:t>Haga clic o pulse aquí para escribir texto.</w:t>
          </w:r>
        </w:p>
      </w:docPartBody>
    </w:docPart>
    <w:docPart>
      <w:docPartPr>
        <w:name w:val="89E78F1BDDB64D0FBFD564712734D5DF"/>
        <w:category>
          <w:name w:val="General"/>
          <w:gallery w:val="placeholder"/>
        </w:category>
        <w:types>
          <w:type w:val="bbPlcHdr"/>
        </w:types>
        <w:behaviors>
          <w:behavior w:val="content"/>
        </w:behaviors>
        <w:guid w:val="{6398402C-B471-474B-956C-18A91837F418}"/>
      </w:docPartPr>
      <w:docPartBody>
        <w:p w:rsidR="002521E5" w:rsidRDefault="00643779" w:rsidP="00643779">
          <w:pPr>
            <w:pStyle w:val="89E78F1BDDB64D0FBFD564712734D5DF"/>
          </w:pPr>
          <w:r>
            <w:rPr>
              <w:rStyle w:val="Textodelmarcadordeposicin"/>
            </w:rPr>
            <w:t>Haga clic o pulse aquí para escribir texto.</w:t>
          </w:r>
        </w:p>
      </w:docPartBody>
    </w:docPart>
    <w:docPart>
      <w:docPartPr>
        <w:name w:val="A55772FBFD414EADB7893C4848AB5A00"/>
        <w:category>
          <w:name w:val="General"/>
          <w:gallery w:val="placeholder"/>
        </w:category>
        <w:types>
          <w:type w:val="bbPlcHdr"/>
        </w:types>
        <w:behaviors>
          <w:behavior w:val="content"/>
        </w:behaviors>
        <w:guid w:val="{FBC917F9-C2CC-4E26-AA4D-3DDE916C348B}"/>
      </w:docPartPr>
      <w:docPartBody>
        <w:p w:rsidR="002521E5" w:rsidRDefault="00643779" w:rsidP="00643779">
          <w:pPr>
            <w:pStyle w:val="A55772FBFD414EADB7893C4848AB5A00"/>
          </w:pPr>
          <w:r>
            <w:rPr>
              <w:rStyle w:val="Textodelmarcadordeposicin"/>
            </w:rPr>
            <w:t>Haga clic o pulse aquí para escribir texto.</w:t>
          </w:r>
        </w:p>
      </w:docPartBody>
    </w:docPart>
    <w:docPart>
      <w:docPartPr>
        <w:name w:val="B960BB29737F454FA87B4760737DEB07"/>
        <w:category>
          <w:name w:val="General"/>
          <w:gallery w:val="placeholder"/>
        </w:category>
        <w:types>
          <w:type w:val="bbPlcHdr"/>
        </w:types>
        <w:behaviors>
          <w:behavior w:val="content"/>
        </w:behaviors>
        <w:guid w:val="{5912E91D-A639-4293-B841-A7FC0CF09B78}"/>
      </w:docPartPr>
      <w:docPartBody>
        <w:p w:rsidR="002521E5" w:rsidRDefault="00643779" w:rsidP="00643779">
          <w:pPr>
            <w:pStyle w:val="B960BB29737F454FA87B4760737DEB07"/>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2057EA"/>
    <w:rsid w:val="002521E5"/>
    <w:rsid w:val="003E2785"/>
    <w:rsid w:val="00454357"/>
    <w:rsid w:val="00643779"/>
    <w:rsid w:val="0066596B"/>
    <w:rsid w:val="007366EE"/>
    <w:rsid w:val="00791B7E"/>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43779"/>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69977471601"/>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9</Pages>
  <Words>2906</Words>
  <Characters>16974</Characters>
  <Application>Microsoft Office Word</Application>
  <DocSecurity>0</DocSecurity>
  <Lines>339</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96</cp:revision>
  <dcterms:created xsi:type="dcterms:W3CDTF">2026-02-01T03:12:00Z</dcterms:created>
  <dcterms:modified xsi:type="dcterms:W3CDTF">2026-02-01T20:37:00Z</dcterms:modified>
</cp:coreProperties>
</file>