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6"/>
        </w:rPr>
        <w:t>mSEC-AM Audit Summary</w:t>
      </w:r>
    </w:p>
    <w:p>
      <w:pPr>
        <w:jc w:val="center"/>
      </w:pPr>
      <w:r>
        <w:rPr>
          <w:b/>
          <w:sz w:val="32"/>
        </w:rPr>
        <w:t>OpenMRS Android Client - v3.1.1</w:t>
      </w:r>
    </w:p>
    <w:p/>
    <w:p>
      <w:pPr>
        <w:jc w:val="center"/>
      </w:pPr>
      <w:r>
        <w:rPr>
          <w:sz w:val="22"/>
        </w:rPr>
        <w:t>Audit Date: 08 Apr 2026</w:t>
        <w:br/>
        <w:t>Auditor: Carlos Michael Mejia Granda</w:t>
        <w:br/>
        <w:t>Classification: Confidential / Internal Use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App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96"/>
          </w:tcPr>
          <w:p>
            <w:r>
              <w:t>OpenMRS Android Client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Developer</w:t>
            </w:r>
          </w:p>
        </w:tc>
        <w:tc>
          <w:tcPr>
            <w:tcW w:type="dxa" w:w="4896"/>
          </w:tcPr>
          <w:p>
            <w:r>
              <w:t>Openmrs.org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896"/>
          </w:tcPr>
          <w:p>
            <w:r>
              <w:t>Mobile Health (mHealth) / EMR Client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Supported platforms</w:t>
            </w:r>
          </w:p>
        </w:tc>
        <w:tc>
          <w:tcPr>
            <w:tcW w:type="dxa" w:w="4896"/>
          </w:tcPr>
          <w:p>
            <w:r>
              <w:t>Android (SDK 19-33+)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96"/>
          </w:tcPr>
          <w:p>
            <w:r>
              <w:t>3.1.1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Last update</w:t>
            </w:r>
          </w:p>
        </w:tc>
        <w:tc>
          <w:tcPr>
            <w:tcW w:type="dxa" w:w="4896"/>
          </w:tcPr>
          <w:p>
            <w:r>
              <w:t>28/08/2023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Compatible idioms</w:t>
            </w:r>
          </w:p>
        </w:tc>
        <w:tc>
          <w:tcPr>
            <w:tcW w:type="dxa" w:w="4896"/>
          </w:tcPr>
          <w:p>
            <w:r>
              <w:t>English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896"/>
          </w:tcPr>
          <w:p>
            <w:r>
              <w:t>Open source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896"/>
          </w:tcPr>
          <w:p>
            <w:r>
              <w:t>MPL-2.0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Main language</w:t>
            </w:r>
          </w:p>
        </w:tc>
        <w:tc>
          <w:tcPr>
            <w:tcW w:type="dxa" w:w="4896"/>
          </w:tcPr>
          <w:p>
            <w:r>
              <w:t>Java + Kotlin + XML + Groovy</w:t>
            </w:r>
          </w:p>
        </w:tc>
      </w:tr>
    </w:tbl>
    <w:p/>
    <w:p>
      <w:pPr>
        <w:pStyle w:val="Heading1"/>
      </w:pPr>
      <w:r>
        <w:t>2.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Auditor</w:t>
            </w:r>
          </w:p>
        </w:tc>
        <w:tc>
          <w:tcPr>
            <w:tcW w:type="dxa" w:w="4896"/>
          </w:tcPr>
          <w:p>
            <w:r>
              <w:t>Carlos Michael Mejia Granda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Requirement Engineering team</w:t>
            </w:r>
          </w:p>
        </w:tc>
        <w:tc>
          <w:tcPr>
            <w:tcW w:type="dxa" w:w="4896"/>
          </w:tcPr>
          <w:p>
            <w:r>
              <w:t>Carlos M. Mejía-Granda</w:t>
              <w:br/>
              <w:t>José L Fernández-Alemán</w:t>
              <w:br/>
              <w:t>Juan Manuel Carrillo-de-Gea</w:t>
              <w:br/>
              <w:t>Joaquín Nicolás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Engineering Group (EN)</w:t>
            </w:r>
          </w:p>
        </w:tc>
        <w:tc>
          <w:tcPr>
            <w:tcW w:type="dxa" w:w="4896"/>
          </w:tcPr>
          <w:p>
            <w:r>
              <w:t>Carlos M. Mejía-Granda</w:t>
              <w:br/>
              <w:t>José L Fernández-Alemán</w:t>
              <w:br/>
              <w:t>Juan Manuel Carrillo-de-Gea</w:t>
              <w:br/>
              <w:t>Joaquín Nicolás</w:t>
            </w:r>
          </w:p>
        </w:tc>
      </w:tr>
    </w:tbl>
    <w:p/>
    <w:p>
      <w:pPr>
        <w:pStyle w:val="Heading1"/>
      </w:pPr>
      <w:r>
        <w:t>3. Scope and limitations</w:t>
      </w:r>
    </w:p>
    <w:p>
      <w:r>
        <w:t>This Audit Summary consolidates the compliance determinations recorded in the audit workbook. The results reflect the assessed application version and the workbook-defined scope. Controls not evidenced as implemented in the workbook are reported as non-compliant for summary purposes.</w:t>
      </w:r>
    </w:p>
    <w:p>
      <w:pPr>
        <w:pStyle w:val="Heading1"/>
      </w:pPr>
      <w:r>
        <w:t>4. Evidence criteria</w:t>
      </w:r>
    </w:p>
    <w:p>
      <w:r>
        <w:t>- Compliant: the workbook provides sufficient evidence that the control is implemented and effective for the assessed scope.</w:t>
        <w:br/>
        <w:t>- Non-compliant: the workbook indicates the control is missing, insufficient, or not evidenced.</w:t>
        <w:br/>
        <w:t>- Not applicable: the control is recorded as out of scope or not relevant for the assessed context.</w:t>
      </w:r>
    </w:p>
    <w:p>
      <w:pPr>
        <w:pStyle w:val="Heading1"/>
      </w:pPr>
      <w:r>
        <w:t>5. Audit summary</w:t>
      </w:r>
    </w:p>
    <w:p>
      <w:r>
        <w:t>The audit was carried out using the mSEC-AM (mobile SECurity Audit Method).</w:t>
      </w:r>
    </w:p>
    <w:p>
      <w:r>
        <w:t>Overall, 469 requirements were assessed. 404 were applicable controls and 65 were recorded as not applicable. Of the applicable controls, 28 were compliant and 376 were non-compliant, resulting in an overall compliance rate of 6.93% (applicable controls only).</w:t>
      </w:r>
    </w:p>
    <w:p>
      <w:r>
        <w:t>This report summarizes the dominant weakness patterns evidenced by non-compliant requirements and proposes actionable remediations suitable for mHealth/EMR environments handling sensitive health information.</w:t>
      </w:r>
    </w:p>
    <w:p>
      <w:pPr>
        <w:pStyle w:val="Heading2"/>
      </w:pPr>
      <w:r>
        <w:t>5.1 Key takeaways (Top findings)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DEDED"/>
          </w:tcPr>
          <w:p>
            <w:r>
              <w:rPr>
                <w:b/>
                <w:sz w:val="22"/>
              </w:rPr>
              <w:t>Key takeaways (Top findings)</w:t>
            </w:r>
          </w:p>
          <w:p>
            <w:pPr>
              <w:pStyle w:val="ListBullet"/>
            </w:pPr>
            <w:r>
              <w:t>Hardcoded credentials / embedded secrets - High severity; 65 related non-compliant control(s) in the workbook.</w:t>
            </w:r>
          </w:p>
          <w:p>
            <w:pPr>
              <w:pStyle w:val="ListBullet"/>
            </w:pPr>
            <w:r>
              <w:t>Authorization / RBAC / least privilege gaps - High severity; 50 related non-compliant control(s) in the workbook.</w:t>
            </w:r>
          </w:p>
          <w:p>
            <w:pPr>
              <w:pStyle w:val="ListBullet"/>
            </w:pPr>
            <w:r>
              <w:t>Insecure local storage / key management gaps - High severity; 49 related non-compliant control(s) in the workbook.</w:t>
            </w:r>
          </w:p>
          <w:p>
            <w:pPr>
              <w:pStyle w:val="ListBullet"/>
            </w:pPr>
            <w:r>
              <w:t>Weak authentication lifecycle / brute-force protections - High severity; 44 related non-compliant control(s) in the workbook.</w:t>
            </w:r>
          </w:p>
          <w:p>
            <w:pPr>
              <w:pStyle w:val="ListBullet"/>
            </w:pPr>
            <w:r>
              <w:t>Transport security / certificate validation weaknesses - High severity; 22 related non-compliant control(s) in the workbook.</w:t>
            </w:r>
          </w:p>
          <w:p>
            <w:pPr>
              <w:pStyle w:val="ListBullet"/>
            </w:pPr>
            <w:r>
              <w:t>Supply chain governance &amp; outdated components - High severity; 20 related non-compliant control(s) in the workbook.</w:t>
            </w:r>
          </w:p>
          <w:p>
            <w:pPr>
              <w:pStyle w:val="ListBullet"/>
            </w:pPr>
            <w:r>
              <w:t>Input validation &amp; injection weaknesses (XSS/SQLi/command/log injection) - High severity; 10 related non-compliant control(s) in the workbook.</w:t>
            </w:r>
          </w:p>
        </w:tc>
      </w:tr>
    </w:tbl>
    <w:p/>
    <w:p>
      <w:pPr>
        <w:pStyle w:val="Heading2"/>
      </w:pPr>
      <w:r>
        <w:t>5.2 Positive controls observed</w:t>
      </w:r>
    </w:p>
    <w:p>
      <w:r>
        <w:t>All statements below are derived exclusively from controls recorded as Compliant in the audit workbook and include supporting signals (flags and/or evidence). Verification traceability is provided in Appendix B.</w:t>
      </w:r>
    </w:p>
    <w:p>
      <w:pPr>
        <w:pStyle w:val="ListBullet"/>
      </w:pPr>
      <w:r>
        <w:t>The application applications not change the SSL verification method that can allow self-signed certificates. Self-signed certificates or a local Certificate Authority (CA) be used during development to keep with good SSL practices.</w:t>
      </w:r>
    </w:p>
    <w:p>
      <w:pPr>
        <w:pStyle w:val="ListBullet"/>
      </w:pPr>
      <w:r>
        <w:t>The application remove all code that seems to accept every SSL/TLS certificate, e.g., org.apache.http.conn.ssl.AllowAllHostnameVerifier, SSLSocketFactory.ALLOW_ALL_HOSTNAME_VERIFIER, post-development cycle for secure certificate validation.</w:t>
      </w:r>
    </w:p>
    <w:p>
      <w:pPr>
        <w:pStyle w:val="ListBullet"/>
      </w:pPr>
      <w:r>
        <w:t>The application be free of adware and known malware (via virus-checking against some established library of viruses), and prevents the execution of malicious code, as well as disallowing the uploading of malicious or dangerous-looking scripts or files.</w:t>
      </w:r>
    </w:p>
    <w:p>
      <w:pPr>
        <w:pStyle w:val="ListBullet"/>
      </w:pPr>
      <w:r>
        <w:t>The application request the READ_SMS permission only when absolutely necessary, minimize its usage, and securely handle SMS data to prevent misuse or exploitation by malicious third parties.</w:t>
      </w:r>
    </w:p>
    <w:p>
      <w:pPr>
        <w:pStyle w:val="ListBullet"/>
      </w:pPr>
      <w:r>
        <w:t>The application encrypt passwords during transmission to ensure that no passwords are sent in clear text over the network.</w:t>
      </w:r>
    </w:p>
    <w:p>
      <w:pPr>
        <w:pStyle w:val="ListBullet"/>
      </w:pPr>
      <w:r>
        <w:t>The application provide all users with the capability to manually terminate their communication session to ensure user-initiated logoff functionality.</w:t>
      </w:r>
    </w:p>
    <w:p>
      <w:pPr>
        <w:pStyle w:val="ListBullet"/>
      </w:pPr>
      <w:r>
        <w:t>The application prioritize secure and authenticated communication methods, such as Firebase Cloud Messaging (FCM) or encrypted IP-based networking protocols, instead of relying on SMS for app-server interactions.</w:t>
      </w:r>
    </w:p>
    <w:p>
      <w:pPr>
        <w:pStyle w:val="Heading2"/>
      </w:pPr>
      <w:r>
        <w:t>5.3 Risk scoring approach</w:t>
      </w:r>
    </w:p>
    <w:p>
      <w:r>
        <w:t>Severity and likelihood ratings in this report follow a qualitative rubric grounded in the audit workbook:</w:t>
        <w:br/>
        <w:t>- Severity reflects potential impact on confidentiality, integrity, and availability of health information, including regulatory exposure.</w:t>
        <w:br/>
        <w:t>- Likelihood is derived from workbook prevalence: the count of non-compliant controls mapped to a weakness pattern as a proxy for exposure.</w:t>
        <w:br/>
        <w:t>Likelihood mapping: High (&gt;=50), Medium-High (20-49), Medium (10-19), Low-Medium (&lt;10).</w:t>
      </w:r>
    </w:p>
    <w:p>
      <w:pPr>
        <w:pStyle w:val="Heading2"/>
      </w:pPr>
      <w:r>
        <w:t>5.4 Risk triage (prioritized)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Weakness pattern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Severity (rubric)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Likelihood (workbook prevalence)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Workbook basis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Recommended owner</w:t>
            </w:r>
          </w:p>
        </w:tc>
        <w:tc>
          <w:tcPr>
            <w:tcW w:type="dxa" w:w="1399"/>
            <w:shd w:val="clear" w:color="auto" w:fill="D9E1F2"/>
          </w:tcPr>
          <w:p>
            <w:r>
              <w:rPr>
                <w:b/>
              </w:rPr>
              <w:t>Target timeline</w:t>
            </w:r>
          </w:p>
        </w:tc>
      </w:tr>
      <w:tr>
        <w:tc>
          <w:tcPr>
            <w:tcW w:type="dxa" w:w="1399"/>
          </w:tcPr>
          <w:p>
            <w:r>
              <w:t>Hardcoded credentials / embedded secrets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65 mapped non-compliant control(s) in the workbook.</w:t>
            </w:r>
          </w:p>
        </w:tc>
        <w:tc>
          <w:tcPr>
            <w:tcW w:type="dxa" w:w="1399"/>
          </w:tcPr>
          <w:p>
            <w:r>
              <w:t>Mobile Engineering / Security Engineering</w:t>
            </w:r>
          </w:p>
        </w:tc>
        <w:tc>
          <w:tcPr>
            <w:tcW w:type="dxa" w:w="1399"/>
          </w:tcPr>
          <w:p>
            <w:r>
              <w:t>0-90 days</w:t>
            </w:r>
          </w:p>
        </w:tc>
      </w:tr>
      <w:tr>
        <w:tc>
          <w:tcPr>
            <w:tcW w:type="dxa" w:w="1399"/>
          </w:tcPr>
          <w:p>
            <w:r>
              <w:t>Authorization / RBAC / least privilege gaps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50 mapped non-compliant control(s) in the workbook.</w:t>
            </w:r>
          </w:p>
        </w:tc>
        <w:tc>
          <w:tcPr>
            <w:tcW w:type="dxa" w:w="1399"/>
          </w:tcPr>
          <w:p>
            <w:r>
              <w:t>Mobile Engineering / Governance</w:t>
            </w:r>
          </w:p>
        </w:tc>
        <w:tc>
          <w:tcPr>
            <w:tcW w:type="dxa" w:w="1399"/>
          </w:tcPr>
          <w:p>
            <w:r>
              <w:t>0-90 days</w:t>
            </w:r>
          </w:p>
        </w:tc>
      </w:tr>
      <w:tr>
        <w:tc>
          <w:tcPr>
            <w:tcW w:type="dxa" w:w="1399"/>
          </w:tcPr>
          <w:p>
            <w:r>
              <w:t>Insecure local storage / key management gaps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Medium-High</w:t>
            </w:r>
          </w:p>
        </w:tc>
        <w:tc>
          <w:tcPr>
            <w:tcW w:type="dxa" w:w="1399"/>
          </w:tcPr>
          <w:p>
            <w:r>
              <w:t>49 mapped non-compliant control(s) in the workbook.</w:t>
            </w:r>
          </w:p>
        </w:tc>
        <w:tc>
          <w:tcPr>
            <w:tcW w:type="dxa" w:w="1399"/>
          </w:tcPr>
          <w:p>
            <w:r>
              <w:t>Mobile Engineering</w:t>
            </w:r>
          </w:p>
        </w:tc>
        <w:tc>
          <w:tcPr>
            <w:tcW w:type="dxa" w:w="1399"/>
          </w:tcPr>
          <w:p>
            <w:r>
              <w:t>0-90 days</w:t>
            </w:r>
          </w:p>
        </w:tc>
      </w:tr>
      <w:tr>
        <w:tc>
          <w:tcPr>
            <w:tcW w:type="dxa" w:w="1399"/>
          </w:tcPr>
          <w:p>
            <w:r>
              <w:t>Weak authentication lifecycle / brute-force protections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Medium-High</w:t>
            </w:r>
          </w:p>
        </w:tc>
        <w:tc>
          <w:tcPr>
            <w:tcW w:type="dxa" w:w="1399"/>
          </w:tcPr>
          <w:p>
            <w:r>
              <w:t>44 mapped non-compliant control(s) in the workbook.</w:t>
            </w:r>
          </w:p>
        </w:tc>
        <w:tc>
          <w:tcPr>
            <w:tcW w:type="dxa" w:w="1399"/>
          </w:tcPr>
          <w:p>
            <w:r>
              <w:t>Mobile Engineering</w:t>
            </w:r>
          </w:p>
        </w:tc>
        <w:tc>
          <w:tcPr>
            <w:tcW w:type="dxa" w:w="1399"/>
          </w:tcPr>
          <w:p>
            <w:r>
              <w:t>0-90 days</w:t>
            </w:r>
          </w:p>
        </w:tc>
      </w:tr>
      <w:tr>
        <w:tc>
          <w:tcPr>
            <w:tcW w:type="dxa" w:w="1399"/>
          </w:tcPr>
          <w:p>
            <w:r>
              <w:t>Transport security / certificate validation weaknesses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Medium-High</w:t>
            </w:r>
          </w:p>
        </w:tc>
        <w:tc>
          <w:tcPr>
            <w:tcW w:type="dxa" w:w="1399"/>
          </w:tcPr>
          <w:p>
            <w:r>
              <w:t>22 mapped non-compliant control(s) in the workbook.</w:t>
            </w:r>
          </w:p>
        </w:tc>
        <w:tc>
          <w:tcPr>
            <w:tcW w:type="dxa" w:w="1399"/>
          </w:tcPr>
          <w:p>
            <w:r>
              <w:t>Mobile Engineering / DevOps</w:t>
            </w:r>
          </w:p>
        </w:tc>
        <w:tc>
          <w:tcPr>
            <w:tcW w:type="dxa" w:w="1399"/>
          </w:tcPr>
          <w:p>
            <w:r>
              <w:t>0-90 days</w:t>
            </w:r>
          </w:p>
        </w:tc>
      </w:tr>
      <w:tr>
        <w:tc>
          <w:tcPr>
            <w:tcW w:type="dxa" w:w="1399"/>
          </w:tcPr>
          <w:p>
            <w:r>
              <w:t>Supply chain governance &amp; outdated components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Medium-High</w:t>
            </w:r>
          </w:p>
        </w:tc>
        <w:tc>
          <w:tcPr>
            <w:tcW w:type="dxa" w:w="1399"/>
          </w:tcPr>
          <w:p>
            <w:r>
              <w:t>20 mapped non-compliant control(s) in the workbook.</w:t>
            </w:r>
          </w:p>
        </w:tc>
        <w:tc>
          <w:tcPr>
            <w:tcW w:type="dxa" w:w="1399"/>
          </w:tcPr>
          <w:p>
            <w:r>
              <w:t>DevOps / Security Engineering</w:t>
            </w:r>
          </w:p>
        </w:tc>
        <w:tc>
          <w:tcPr>
            <w:tcW w:type="dxa" w:w="1399"/>
          </w:tcPr>
          <w:p>
            <w:r>
              <w:t>0-90 days</w:t>
            </w:r>
          </w:p>
        </w:tc>
      </w:tr>
      <w:tr>
        <w:tc>
          <w:tcPr>
            <w:tcW w:type="dxa" w:w="1399"/>
          </w:tcPr>
          <w:p>
            <w:r>
              <w:t>Input validation &amp; injection weaknesses (XSS/SQLi/command/log injection)</w:t>
            </w:r>
          </w:p>
        </w:tc>
        <w:tc>
          <w:tcPr>
            <w:tcW w:type="dxa" w:w="1399"/>
          </w:tcPr>
          <w:p>
            <w:r>
              <w:t>High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10 mapped non-compliant control(s) in the workbook.</w:t>
            </w:r>
          </w:p>
        </w:tc>
        <w:tc>
          <w:tcPr>
            <w:tcW w:type="dxa" w:w="1399"/>
          </w:tcPr>
          <w:p>
            <w:r>
              <w:t>Mobile Engineering</w:t>
            </w:r>
          </w:p>
        </w:tc>
        <w:tc>
          <w:tcPr>
            <w:tcW w:type="dxa" w:w="1399"/>
          </w:tcPr>
          <w:p>
            <w:r>
              <w:t>0-90 days</w:t>
            </w:r>
          </w:p>
        </w:tc>
      </w:tr>
      <w:tr>
        <w:tc>
          <w:tcPr>
            <w:tcW w:type="dxa" w:w="1399"/>
          </w:tcPr>
          <w:p>
            <w:r>
              <w:t>Audit logging completeness / retention / alerting gaps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Medium-High</w:t>
            </w:r>
          </w:p>
        </w:tc>
        <w:tc>
          <w:tcPr>
            <w:tcW w:type="dxa" w:w="1399"/>
          </w:tcPr>
          <w:p>
            <w:r>
              <w:t>46 mapped non-compliant control(s) in the workbook.</w:t>
            </w:r>
          </w:p>
        </w:tc>
        <w:tc>
          <w:tcPr>
            <w:tcW w:type="dxa" w:w="1399"/>
          </w:tcPr>
          <w:p>
            <w:r>
              <w:t>Governance / DevOps</w:t>
            </w:r>
          </w:p>
        </w:tc>
        <w:tc>
          <w:tcPr>
            <w:tcW w:type="dxa" w:w="1399"/>
          </w:tcPr>
          <w:p>
            <w:r>
              <w:t>0-180 days</w:t>
            </w:r>
          </w:p>
        </w:tc>
      </w:tr>
      <w:tr>
        <w:tc>
          <w:tcPr>
            <w:tcW w:type="dxa" w:w="1399"/>
          </w:tcPr>
          <w:p>
            <w:r>
              <w:t>Tampering / reverse engineering protections missing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17 mapped non-compliant control(s) in the workbook.</w:t>
            </w:r>
          </w:p>
        </w:tc>
        <w:tc>
          <w:tcPr>
            <w:tcW w:type="dxa" w:w="1399"/>
          </w:tcPr>
          <w:p>
            <w:r>
              <w:t>Mobile Engineering</w:t>
            </w:r>
          </w:p>
        </w:tc>
        <w:tc>
          <w:tcPr>
            <w:tcW w:type="dxa" w:w="1399"/>
          </w:tcPr>
          <w:p>
            <w:r>
              <w:t>0-180 days</w:t>
            </w:r>
          </w:p>
        </w:tc>
      </w:tr>
      <w:tr>
        <w:tc>
          <w:tcPr>
            <w:tcW w:type="dxa" w:w="1399"/>
          </w:tcPr>
          <w:p>
            <w:r>
              <w:t>Privacy notice / consent / governance gaps</w:t>
            </w:r>
          </w:p>
        </w:tc>
        <w:tc>
          <w:tcPr>
            <w:tcW w:type="dxa" w:w="1399"/>
          </w:tcPr>
          <w:p>
            <w:r>
              <w:t>Medium</w:t>
            </w:r>
          </w:p>
        </w:tc>
        <w:tc>
          <w:tcPr>
            <w:tcW w:type="dxa" w:w="1399"/>
          </w:tcPr>
          <w:p>
            <w:r>
              <w:t>The weakness pattern can compromise confidentiality/integrity/availability of health information and increase regulatory exposure.</w:t>
            </w:r>
          </w:p>
        </w:tc>
        <w:tc>
          <w:tcPr>
            <w:tcW w:type="dxa" w:w="1399"/>
          </w:tcPr>
          <w:p>
            <w:r>
              <w:t>Low-Medium</w:t>
            </w:r>
          </w:p>
        </w:tc>
        <w:tc>
          <w:tcPr>
            <w:tcW w:type="dxa" w:w="1399"/>
          </w:tcPr>
          <w:p>
            <w:r>
              <w:t>6 mapped non-compliant control(s) in the workbook.</w:t>
            </w:r>
          </w:p>
        </w:tc>
        <w:tc>
          <w:tcPr>
            <w:tcW w:type="dxa" w:w="1399"/>
          </w:tcPr>
          <w:p>
            <w:r>
              <w:t>Governance / Product</w:t>
            </w:r>
          </w:p>
        </w:tc>
        <w:tc>
          <w:tcPr>
            <w:tcW w:type="dxa" w:w="1399"/>
          </w:tcPr>
          <w:p>
            <w:r>
              <w:t>0-180 days</w:t>
            </w:r>
          </w:p>
        </w:tc>
      </w:tr>
    </w:tbl>
    <w:p/>
    <w:p>
      <w:pPr>
        <w:pStyle w:val="Heading1"/>
      </w:pPr>
      <w:r>
        <w:t>6. Main deficiencies</w:t>
      </w:r>
    </w:p>
    <w:p>
      <w:r>
        <w:t>The following deficiencies are synthesized as common weakness patterns based on non-compliant requirements. They are not grouped by category; instead they represent cross-cutting gaps evidenced in the audit workbook.</w:t>
      </w:r>
    </w:p>
    <w:p>
      <w:pPr>
        <w:pStyle w:val="Heading2"/>
      </w:pPr>
      <w:r>
        <w:t>Hardcoded credentials / embedded secrets (High)</w:t>
      </w:r>
    </w:p>
    <w:p>
      <w:r>
        <w:t>Workbook basis: 65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 / Security Engineering</w:t>
      </w:r>
    </w:p>
    <w:p>
      <w:r>
        <w:t>Traceability (examples, non-exhaustive): SECM-CAT-ICU-001, SECM-CAT-ICU-002, SECM-CAT-ICU-003, SECM-CAT-ICU-004.</w:t>
      </w:r>
    </w:p>
    <w:p>
      <w:pPr>
        <w:pStyle w:val="ListBullet"/>
      </w:pPr>
      <w:r>
        <w:t>Evidence anchor (from workbook description): The mobile application should not contain hardcoded details of external resources, credentials, or API keys to prevent unauthorized access and secure the app from vulnerabilities.</w:t>
      </w:r>
    </w:p>
    <w:p>
      <w:pPr>
        <w:pStyle w:val="ListBullet"/>
      </w:pPr>
      <w:r>
        <w:t>Evidence anchor (from workbook description): Applications shall not store passwords or secrets in the application binary, nor inhibit backend integration by using generic shared secrets.</w:t>
      </w:r>
    </w:p>
    <w:p>
      <w:pPr>
        <w:pStyle w:val="Heading2"/>
      </w:pPr>
      <w:r>
        <w:t>Authorization / RBAC / least privilege gaps (High)</w:t>
      </w:r>
    </w:p>
    <w:p>
      <w:r>
        <w:t>Workbook basis: 50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 / Governance</w:t>
      </w:r>
    </w:p>
    <w:p>
      <w:r>
        <w:t>Traceability (examples, non-exhaustive): SECM-CAT-ISU-027, SECM-CAT-ISU-032, SECM-CAT-IAA-005, SECM-CAT-IAA-006.</w:t>
      </w:r>
    </w:p>
    <w:p>
      <w:pPr>
        <w:pStyle w:val="ListBullet"/>
      </w:pPr>
      <w:r>
        <w:t>Evidence anchor (from workbook description): The user-facing components of the application must be logically or physically separated from the data storage and management interfaces and security functions. And security-related functionality is to be isolated; you ca…</w:t>
      </w:r>
    </w:p>
    <w:p>
      <w:pPr>
        <w:pStyle w:val="ListBullet"/>
      </w:pPr>
      <w:r>
        <w:t>Evidence anchor (from workbook description): Modify and maintain privileges for software libraries must be controlled within application owners.</w:t>
      </w:r>
    </w:p>
    <w:p>
      <w:pPr>
        <w:pStyle w:val="Heading2"/>
      </w:pPr>
      <w:r>
        <w:t>Insecure local storage / key management gaps (High)</w:t>
      </w:r>
    </w:p>
    <w:p>
      <w:r>
        <w:t>Workbook basis: 49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</w:t>
      </w:r>
    </w:p>
    <w:p>
      <w:r>
        <w:t>Traceability (examples, non-exhaustive): SECM-CAT-ISU-019, SECM-CAT-ISU-036, SECM-CAT-IAA-040, SECM-CAT-IAA-112.</w:t>
      </w:r>
    </w:p>
    <w:p>
      <w:pPr>
        <w:pStyle w:val="ListBullet"/>
      </w:pPr>
      <w:r>
        <w:t>Evidence anchor (from workbook description): The app should not store any biometric data or private keys on the client device, thus would store and process sensitive data only on the server.</w:t>
      </w:r>
    </w:p>
    <w:p>
      <w:pPr>
        <w:pStyle w:val="ListBullet"/>
      </w:pPr>
      <w:r>
        <w:t>Evidence anchor (from workbook description): The application should be built to run in untrusted environments and should only retrieve the absolute minimum amount of information needed to function—limiting the potential for data leakage or corruption.</w:t>
      </w:r>
    </w:p>
    <w:p>
      <w:pPr>
        <w:pStyle w:val="Heading2"/>
      </w:pPr>
      <w:r>
        <w:t>Weak authentication lifecycle / brute-force protections (High)</w:t>
      </w:r>
    </w:p>
    <w:p>
      <w:r>
        <w:t>Workbook basis: 44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</w:t>
      </w:r>
    </w:p>
    <w:p>
      <w:r>
        <w:t>Traceability (examples, non-exhaustive): SECM-CAT-ISU-011, SECM-CAT-IAA-003, SECM-CAT-IAA-008, SECM-CAT-IAA-011.</w:t>
      </w:r>
    </w:p>
    <w:p>
      <w:pPr>
        <w:pStyle w:val="ListBullet"/>
      </w:pPr>
      <w:r>
        <w:t>Evidence anchor (from workbook description): The application must continue with strong access control, and local integrity checks applied to determine if the code has been modified without permission.</w:t>
      </w:r>
    </w:p>
    <w:p>
      <w:pPr>
        <w:pStyle w:val="ListBullet"/>
      </w:pPr>
      <w:r>
        <w:t>Evidence anchor (from workbook description): The application must prevent non-privileged users from executing privileged functions, including disabling, circumventing, or altering implemented security safeguards or countermeasures.</w:t>
      </w:r>
    </w:p>
    <w:p>
      <w:pPr>
        <w:pStyle w:val="Heading2"/>
      </w:pPr>
      <w:r>
        <w:t>Transport security / certificate validation weaknesses (High)</w:t>
      </w:r>
    </w:p>
    <w:p>
      <w:r>
        <w:t>Workbook basis: 22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 / DevOps</w:t>
      </w:r>
    </w:p>
    <w:p>
      <w:r>
        <w:t>Traceability (examples, non-exhaustive): SECM-CAT-ISU-003, SECM-CAT-ISU-004, SECM-CAT-ISU-007, SECM-CAT-ISU-010.</w:t>
      </w:r>
    </w:p>
    <w:p>
      <w:pPr>
        <w:pStyle w:val="ListBullet"/>
      </w:pPr>
      <w:r>
        <w:t>Evidence anchor (from workbook description): The application shall not contain any unmanaged and unsigned mobile code.</w:t>
      </w:r>
    </w:p>
    <w:p>
      <w:pPr>
        <w:pStyle w:val="ListBullet"/>
      </w:pPr>
      <w:r>
        <w:t>Evidence anchor (from workbook description): The application shall not contain any mobile code that is uncategorized or lacks a digital signature.</w:t>
      </w:r>
    </w:p>
    <w:p>
      <w:pPr>
        <w:pStyle w:val="Heading2"/>
      </w:pPr>
      <w:r>
        <w:t>Supply chain governance &amp; outdated components (High)</w:t>
      </w:r>
    </w:p>
    <w:p>
      <w:r>
        <w:t>Workbook basis: 20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DevOps / Security Engineering</w:t>
      </w:r>
    </w:p>
    <w:p>
      <w:r>
        <w:t>Traceability (examples, non-exhaustive): SECM-CAT-ISU-008, SECM-CAT-ISU-009, SECM-CAT-ISU-013, SECM-CAT-ISU-022.</w:t>
      </w:r>
    </w:p>
    <w:p>
      <w:pPr>
        <w:pStyle w:val="ListBullet"/>
      </w:pPr>
      <w:r>
        <w:t>Evidence anchor (from workbook description): Ensure that any resources used outside of standard app-store mechanisms are signed and also verify the signature before accepting updates.</w:t>
      </w:r>
    </w:p>
    <w:p>
      <w:pPr>
        <w:pStyle w:val="ListBullet"/>
      </w:pPr>
      <w:r>
        <w:t>Evidence anchor (from workbook description): The application shall be subject to periodic security assessments including code reviews, penetration tests, and cryptographic vulnerabilities assessments according to the results of which security holes must be remedied…</w:t>
      </w:r>
    </w:p>
    <w:p>
      <w:pPr>
        <w:pStyle w:val="Heading2"/>
      </w:pPr>
      <w:r>
        <w:t>Input validation &amp; injection weaknesses (XSS/SQLi/command/log injection) (High)</w:t>
      </w:r>
    </w:p>
    <w:p>
      <w:r>
        <w:t>Workbook basis: 10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</w:t>
      </w:r>
    </w:p>
    <w:p>
      <w:r>
        <w:t>Traceability (examples, non-exhaustive): SECM-CAT-ISU-037, SECM-CAT-IOV-001, SECM-CAT-IOV-004, SECM-CAT-IOV-011.</w:t>
      </w:r>
    </w:p>
    <w:p>
      <w:pPr>
        <w:pStyle w:val="ListBullet"/>
      </w:pPr>
      <w:r>
        <w:t>Evidence anchor (from workbook description): The application needs to implement protections against log injection by clients so that event histories in the backend system cannot be corrupted or forged.</w:t>
      </w:r>
    </w:p>
    <w:p>
      <w:pPr>
        <w:pStyle w:val="ListBullet"/>
      </w:pPr>
      <w:r>
        <w:t>Evidence anchor (from workbook description): The application must implement comprehensive input validation mechanisms to safeguard against vulnerabilities and insecure deserialization. All input from external sources, including files, network communications, and in…</w:t>
      </w:r>
    </w:p>
    <w:p>
      <w:pPr>
        <w:pStyle w:val="Heading2"/>
      </w:pPr>
      <w:r>
        <w:t>Audit logging completeness / retention / alerting gaps (Medium)</w:t>
      </w:r>
    </w:p>
    <w:p>
      <w:r>
        <w:t>Workbook basis: 46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Governance / DevOps</w:t>
      </w:r>
    </w:p>
    <w:p>
      <w:r>
        <w:t>Traceability (examples, non-exhaustive): SECM-CAT-IAA-004, SECM-CAT-IAA-010, SECM-CAT-IAA-014, SECM-CAT-IAA-019.</w:t>
      </w:r>
    </w:p>
    <w:p>
      <w:pPr>
        <w:pStyle w:val="ListBullet"/>
      </w:pPr>
      <w:r>
        <w:t>Evidence anchor (from workbook description): The application must terminate all existing user sessions immediately upon account deletion to prevent unauthorized access to application resources.</w:t>
      </w:r>
    </w:p>
    <w:p>
      <w:pPr>
        <w:pStyle w:val="ListBullet"/>
      </w:pPr>
      <w:r>
        <w:t>Evidence anchor (from workbook description): The application must validate log-on information only after all input data has been completed and must not indicate which specific part of the input is correct or incorrect in case of an error.</w:t>
      </w:r>
    </w:p>
    <w:p>
      <w:pPr>
        <w:pStyle w:val="Heading2"/>
      </w:pPr>
      <w:r>
        <w:t>Tampering / reverse engineering protections missing (Medium)</w:t>
      </w:r>
    </w:p>
    <w:p>
      <w:r>
        <w:t>Workbook basis: 17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Mobile Engineering</w:t>
      </w:r>
    </w:p>
    <w:p>
      <w:r>
        <w:t>Traceability (examples, non-exhaustive): SECM-CAT-ISU-006, SECM-CAT-ISU-012, SECM-CAT-ISU-017, SECM-CAT-ISU-026.</w:t>
      </w:r>
    </w:p>
    <w:p>
      <w:pPr>
        <w:pStyle w:val="ListBullet"/>
      </w:pPr>
      <w:r>
        <w:t>Evidence anchor (from workbook description): The application must incorporate look designs to distinguish unauthorized code changes and meddling with the binary.</w:t>
      </w:r>
    </w:p>
    <w:p>
      <w:pPr>
        <w:pStyle w:val="ListBullet"/>
      </w:pPr>
      <w:r>
        <w:t>Evidence anchor (from workbook description): The anti-tampering techniques to prevent code alterations and runtime inspections of your application must be implemented by the application.</w:t>
      </w:r>
    </w:p>
    <w:p>
      <w:pPr>
        <w:pStyle w:val="Heading2"/>
      </w:pPr>
      <w:r>
        <w:t>Privacy notice / consent / governance gaps (Medium)</w:t>
      </w:r>
    </w:p>
    <w:p>
      <w:r>
        <w:t>Workbook basis: 6 related non-compliant control(s) mapped to this pattern.</w:t>
      </w:r>
    </w:p>
    <w:p>
      <w:r>
        <w:t>Expected: Controls in this area should provide robust, consistently enforced safeguards appropriate to health data processing.</w:t>
      </w:r>
    </w:p>
    <w:p>
      <w:r>
        <w:t>Observed: The audit workbook indicates the related controls are missing, insufficient, or not evidenced for the assessed scope.</w:t>
      </w:r>
    </w:p>
    <w:p>
      <w:r>
        <w:t>Impact: Deficiencies can increase the likelihood and impact of security incidents affecting confidentiality, integrity, or availability.</w:t>
      </w:r>
    </w:p>
    <w:p>
      <w:r>
        <w:t>Recommended owner: Governance / Product</w:t>
      </w:r>
    </w:p>
    <w:p>
      <w:r>
        <w:t>Traceability (examples, non-exhaustive): SECM-CAT-ISU-033, SECM-CAT-ISU-040, SECM-CAT-IAA-013, SECM-CAT-IPC-004.</w:t>
      </w:r>
    </w:p>
    <w:p>
      <w:pPr>
        <w:pStyle w:val="ListBullet"/>
      </w:pPr>
      <w:r>
        <w:t>Evidence anchor (from workbook description): The application shall remove out-of-date components after update installation, disable the use of unsupported components, and be decommissioned when there is no maintenance or vendor support available.</w:t>
      </w:r>
    </w:p>
    <w:p>
      <w:pPr>
        <w:pStyle w:val="ListBullet"/>
      </w:pPr>
      <w:r>
        <w:t>Evidence anchor (from workbook description): The application shall implement procedures to notify the user upon the application being deprecated.</w:t>
      </w:r>
    </w:p>
    <w:p>
      <w:r>
        <w:br w:type="page"/>
      </w:r>
    </w:p>
    <w:p>
      <w:pPr>
        <w:pStyle w:val="Heading1"/>
      </w:pPr>
      <w:r>
        <w:t>7. Recommendations</w:t>
      </w:r>
    </w:p>
    <w:p>
      <w:r>
        <w:t>Recommendations are organized by the same weakness patterns presented in the Main deficiencies section. They target remediation of workbook-evidenced gaps and may include strengthening controls to improve security posture.</w:t>
      </w:r>
    </w:p>
    <w:p>
      <w:pPr>
        <w:pStyle w:val="Heading2"/>
      </w:pPr>
      <w:r>
        <w:t>Hardcoded credentials / embedded secrets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Authorization / RBAC / least privilege gaps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Insecure local storage / key management gaps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Weak authentication lifecycle / brute-force protections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Transport security / certificate validation weaknesses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Supply chain governance &amp; outdated components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Input validation &amp; injection weaknesses (XSS/SQLi/command/log injection)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Audit logging completeness / retention / alerting gaps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Tampering / reverse engineering protections missing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pPr>
        <w:pStyle w:val="Heading2"/>
      </w:pPr>
      <w:r>
        <w:t>Privacy notice / consent / governance gaps</w:t>
      </w:r>
    </w:p>
    <w:p>
      <w:pPr>
        <w:pStyle w:val="ListBullet"/>
      </w:pPr>
      <w:r>
        <w:t>Define and document secure-by-default requirements for this control area, and implement automated tests to prevent regressions.</w:t>
      </w:r>
    </w:p>
    <w:p>
      <w:pPr>
        <w:pStyle w:val="ListBullet"/>
      </w:pPr>
      <w:r>
        <w:t>Apply least-privilege, defense-in-depth, and secure configuration baselines aligned with mHealth/EMR risk profiles.</w:t>
      </w:r>
    </w:p>
    <w:p>
      <w:pPr>
        <w:pStyle w:val="ListBullet"/>
      </w:pPr>
      <w:r>
        <w:t>Introduce step-up authentication, such as MFA, TOTP, FIDO2, or Android BiometricPrompt, for sensitive actions where feasible.</w:t>
      </w:r>
    </w:p>
    <w:p>
      <w:pPr>
        <w:pStyle w:val="ListBullet"/>
      </w:pPr>
      <w:r>
        <w:t>Validate effectiveness through security testing and re-assessment of the mapped non-compliant controls.</w:t>
      </w:r>
    </w:p>
    <w:p>
      <w:r>
        <w:br w:type="page"/>
      </w:r>
    </w:p>
    <w:p>
      <w:pPr>
        <w:pStyle w:val="Heading1"/>
      </w:pPr>
      <w:r>
        <w:t>8. Visual Analytics</w:t>
      </w:r>
    </w:p>
    <w:p>
      <w:r>
        <w:t>Figures below summarize workbook-derived outcomes and distributions. All figures: source: audit workbook.</w:t>
      </w:r>
    </w:p>
    <w:p>
      <w:r>
        <w:drawing>
          <wp:inline xmlns:a="http://schemas.openxmlformats.org/drawingml/2006/main" xmlns:pic="http://schemas.openxmlformats.org/drawingml/2006/picture">
            <wp:extent cx="5943600" cy="3855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overall_don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Overall compliance distribution (donut chart; source: audit workbook).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17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noncompliance_share_h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Share of non-compliances by category (legible horizontal bars; source: audit workbook).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17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ompliance_rate_h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Compliance rate by category (applicable controls only; source: audit workbook).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178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ounts_stacked_h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Counts by category and status (horizontal stacked bars; source: audit workbook).</w:t>
      </w:r>
    </w:p>
    <w:p/>
    <w:p>
      <w:r>
        <w:br w:type="page"/>
      </w:r>
    </w:p>
    <w:p>
      <w:pPr>
        <w:pStyle w:val="Heading1"/>
      </w:pPr>
      <w:r>
        <w:t>9. Management Action Plan (MAP)</w:t>
      </w:r>
    </w:p>
    <w:p>
      <w:r>
        <w:t>Severity and likelihood nomenclature follow the rubric in Section 5.3. Likelihood is supported by workbook prevalence counts recorded in the Workbook basis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Finding / weakness pattern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Workbook basis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Management action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Target window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1088"/>
            <w:shd w:val="clear" w:color="auto" w:fill="D9E1F2"/>
          </w:tcPr>
          <w:p>
            <w:r>
              <w:rPr>
                <w:b/>
              </w:rPr>
              <w:t>Acceptance criteria / KPI</w:t>
            </w:r>
          </w:p>
        </w:tc>
      </w:tr>
      <w:tr>
        <w:tc>
          <w:tcPr>
            <w:tcW w:type="dxa" w:w="1088"/>
          </w:tcPr>
          <w:p>
            <w:r>
              <w:t>Hardcoded credentials / embedded secrets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65 mapped non-compliant control(s) in workbook.</w:t>
            </w:r>
          </w:p>
        </w:tc>
        <w:tc>
          <w:tcPr>
            <w:tcW w:type="dxa" w:w="1088"/>
          </w:tcPr>
          <w:p>
            <w:r>
              <w:t>Mobile Engineering / Security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0-90 days</w:t>
            </w:r>
          </w:p>
        </w:tc>
        <w:tc>
          <w:tcPr>
            <w:tcW w:type="dxa" w:w="1088"/>
          </w:tcPr>
          <w:p>
            <w:r>
              <w:t>07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Authorization / RBAC / least privilege gaps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50 mapped non-compliant control(s) in workbook.</w:t>
            </w:r>
          </w:p>
        </w:tc>
        <w:tc>
          <w:tcPr>
            <w:tcW w:type="dxa" w:w="1088"/>
          </w:tcPr>
          <w:p>
            <w:r>
              <w:t>Mobile Engineering / Governance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0-90 days</w:t>
            </w:r>
          </w:p>
        </w:tc>
        <w:tc>
          <w:tcPr>
            <w:tcW w:type="dxa" w:w="1088"/>
          </w:tcPr>
          <w:p>
            <w:r>
              <w:t>07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Insecure local storage / key management gaps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Medium-High</w:t>
            </w:r>
          </w:p>
        </w:tc>
        <w:tc>
          <w:tcPr>
            <w:tcW w:type="dxa" w:w="1088"/>
          </w:tcPr>
          <w:p>
            <w:r>
              <w:t>49 mapped non-compliant control(s) in workbook.</w:t>
            </w:r>
          </w:p>
        </w:tc>
        <w:tc>
          <w:tcPr>
            <w:tcW w:type="dxa" w:w="1088"/>
          </w:tcPr>
          <w:p>
            <w:r>
              <w:t>Mobile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0-90 days</w:t>
            </w:r>
          </w:p>
        </w:tc>
        <w:tc>
          <w:tcPr>
            <w:tcW w:type="dxa" w:w="1088"/>
          </w:tcPr>
          <w:p>
            <w:r>
              <w:t>07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Weak authentication lifecycle / brute-force protections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Medium-High</w:t>
            </w:r>
          </w:p>
        </w:tc>
        <w:tc>
          <w:tcPr>
            <w:tcW w:type="dxa" w:w="1088"/>
          </w:tcPr>
          <w:p>
            <w:r>
              <w:t>44 mapped non-compliant control(s) in workbook.</w:t>
            </w:r>
          </w:p>
        </w:tc>
        <w:tc>
          <w:tcPr>
            <w:tcW w:type="dxa" w:w="1088"/>
          </w:tcPr>
          <w:p>
            <w:r>
              <w:t>Mobile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0-90 days</w:t>
            </w:r>
          </w:p>
        </w:tc>
        <w:tc>
          <w:tcPr>
            <w:tcW w:type="dxa" w:w="1088"/>
          </w:tcPr>
          <w:p>
            <w:r>
              <w:t>07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Transport security / certificate validation weaknesses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Medium-High</w:t>
            </w:r>
          </w:p>
        </w:tc>
        <w:tc>
          <w:tcPr>
            <w:tcW w:type="dxa" w:w="1088"/>
          </w:tcPr>
          <w:p>
            <w:r>
              <w:t>22 mapped non-compliant control(s) in workbook.</w:t>
            </w:r>
          </w:p>
        </w:tc>
        <w:tc>
          <w:tcPr>
            <w:tcW w:type="dxa" w:w="1088"/>
          </w:tcPr>
          <w:p>
            <w:r>
              <w:t>Mobile Engineering / DevOps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0-90 days</w:t>
            </w:r>
          </w:p>
        </w:tc>
        <w:tc>
          <w:tcPr>
            <w:tcW w:type="dxa" w:w="1088"/>
          </w:tcPr>
          <w:p>
            <w:r>
              <w:t>07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Supply chain governance &amp; outdated components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Medium-High</w:t>
            </w:r>
          </w:p>
        </w:tc>
        <w:tc>
          <w:tcPr>
            <w:tcW w:type="dxa" w:w="1088"/>
          </w:tcPr>
          <w:p>
            <w:r>
              <w:t>20 mapped non-compliant control(s) in workbook.</w:t>
            </w:r>
          </w:p>
        </w:tc>
        <w:tc>
          <w:tcPr>
            <w:tcW w:type="dxa" w:w="1088"/>
          </w:tcPr>
          <w:p>
            <w:r>
              <w:t>DevOps / Security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0-90 days</w:t>
            </w:r>
          </w:p>
        </w:tc>
        <w:tc>
          <w:tcPr>
            <w:tcW w:type="dxa" w:w="1088"/>
          </w:tcPr>
          <w:p>
            <w:r>
              <w:t>07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Input validation &amp; injection weaknesses (XSS/SQLi/command/log injection)</w:t>
            </w:r>
          </w:p>
        </w:tc>
        <w:tc>
          <w:tcPr>
            <w:tcW w:type="dxa" w:w="1088"/>
          </w:tcPr>
          <w:p>
            <w:r>
              <w:t>High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10 mapped non-compliant control(s) in workbook.</w:t>
            </w:r>
          </w:p>
        </w:tc>
        <w:tc>
          <w:tcPr>
            <w:tcW w:type="dxa" w:w="1088"/>
          </w:tcPr>
          <w:p>
            <w:r>
              <w:t>Mobile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0-90 days</w:t>
            </w:r>
          </w:p>
        </w:tc>
        <w:tc>
          <w:tcPr>
            <w:tcW w:type="dxa" w:w="1088"/>
          </w:tcPr>
          <w:p>
            <w:r>
              <w:t>07 Jul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Audit logging completeness / retention / alerting gaps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Medium-High</w:t>
            </w:r>
          </w:p>
        </w:tc>
        <w:tc>
          <w:tcPr>
            <w:tcW w:type="dxa" w:w="1088"/>
          </w:tcPr>
          <w:p>
            <w:r>
              <w:t>46 mapped non-compliant control(s) in workbook.</w:t>
            </w:r>
          </w:p>
        </w:tc>
        <w:tc>
          <w:tcPr>
            <w:tcW w:type="dxa" w:w="1088"/>
          </w:tcPr>
          <w:p>
            <w:r>
              <w:t>Governance / DevOps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0-180 days</w:t>
            </w:r>
          </w:p>
        </w:tc>
        <w:tc>
          <w:tcPr>
            <w:tcW w:type="dxa" w:w="1088"/>
          </w:tcPr>
          <w:p>
            <w:r>
              <w:t>05 Oct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Tampering / reverse engineering protections missing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17 mapped non-compliant control(s) in workbook.</w:t>
            </w:r>
          </w:p>
        </w:tc>
        <w:tc>
          <w:tcPr>
            <w:tcW w:type="dxa" w:w="1088"/>
          </w:tcPr>
          <w:p>
            <w:r>
              <w:t>Mobile Engineering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0-180 days</w:t>
            </w:r>
          </w:p>
        </w:tc>
        <w:tc>
          <w:tcPr>
            <w:tcW w:type="dxa" w:w="1088"/>
          </w:tcPr>
          <w:p>
            <w:r>
              <w:t>05 Oct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  <w:tr>
        <w:tc>
          <w:tcPr>
            <w:tcW w:type="dxa" w:w="1088"/>
          </w:tcPr>
          <w:p>
            <w:r>
              <w:t>Privacy notice / consent / governance gaps</w:t>
            </w:r>
          </w:p>
        </w:tc>
        <w:tc>
          <w:tcPr>
            <w:tcW w:type="dxa" w:w="1088"/>
          </w:tcPr>
          <w:p>
            <w:r>
              <w:t>Medium</w:t>
            </w:r>
          </w:p>
        </w:tc>
        <w:tc>
          <w:tcPr>
            <w:tcW w:type="dxa" w:w="1088"/>
          </w:tcPr>
          <w:p>
            <w:r>
              <w:t>Low-Medium</w:t>
            </w:r>
          </w:p>
        </w:tc>
        <w:tc>
          <w:tcPr>
            <w:tcW w:type="dxa" w:w="1088"/>
          </w:tcPr>
          <w:p>
            <w:r>
              <w:t>6 mapped non-compliant control(s) in workbook.</w:t>
            </w:r>
          </w:p>
        </w:tc>
        <w:tc>
          <w:tcPr>
            <w:tcW w:type="dxa" w:w="1088"/>
          </w:tcPr>
          <w:p>
            <w:r>
              <w:t>Governance / Product</w:t>
            </w:r>
          </w:p>
        </w:tc>
        <w:tc>
          <w:tcPr>
            <w:tcW w:type="dxa" w:w="1088"/>
          </w:tcPr>
          <w:p>
            <w:r>
              <w:t>Implement remediation actions aligned to the weakness pattern and validate effectiveness.</w:t>
            </w:r>
          </w:p>
        </w:tc>
        <w:tc>
          <w:tcPr>
            <w:tcW w:type="dxa" w:w="1088"/>
          </w:tcPr>
          <w:p>
            <w:r>
              <w:t>0-180 days</w:t>
            </w:r>
          </w:p>
        </w:tc>
        <w:tc>
          <w:tcPr>
            <w:tcW w:type="dxa" w:w="1088"/>
          </w:tcPr>
          <w:p>
            <w:r>
              <w:t>05 Oct 2026</w:t>
            </w:r>
          </w:p>
        </w:tc>
        <w:tc>
          <w:tcPr>
            <w:tcW w:type="dxa" w:w="1088"/>
          </w:tcPr>
          <w:p>
            <w:r>
              <w:t>Evidence recorded (tests/configs/release refs); mapped controls can be re-tested and re-scored as compliant.</w:t>
            </w:r>
          </w:p>
        </w:tc>
      </w:tr>
    </w:tbl>
    <w:p>
      <w:r>
        <w:br w:type="page"/>
      </w:r>
    </w:p>
    <w:p>
      <w:pPr>
        <w:pStyle w:val="Heading1"/>
      </w:pPr>
      <w:r>
        <w:t>Appendix A - Traceability index (non-exhaustive)</w:t>
      </w:r>
    </w:p>
    <w:p>
      <w:r>
        <w:t>For complete traceability and evidence, refer to the audit workbook.</w:t>
      </w:r>
    </w:p>
    <w:p>
      <w:pPr>
        <w:pStyle w:val="ListBullet"/>
      </w:pPr>
      <w:r>
        <w:t>Hardcoded credentials / embedded secrets: SECM-CAT-ICU-001, SECM-CAT-ICU-002, SECM-CAT-ICU-003, SECM-CAT-ICU-004, SECM-CAT-ISU-001</w:t>
      </w:r>
    </w:p>
    <w:p>
      <w:pPr>
        <w:pStyle w:val="ListBullet"/>
      </w:pPr>
      <w:r>
        <w:t>Authorization / RBAC / least privilege gaps: SECM-CAT-ISU-027, SECM-CAT-ISU-032, SECM-CAT-IAA-005, SECM-CAT-IAA-006, SECM-CAT-IAA-025</w:t>
      </w:r>
    </w:p>
    <w:p>
      <w:pPr>
        <w:pStyle w:val="ListBullet"/>
      </w:pPr>
      <w:r>
        <w:t>Insecure local storage / key management gaps: SECM-CAT-ISU-019, SECM-CAT-ISU-036, SECM-CAT-IAA-040, SECM-CAT-IAA-112, SECM-CAT-IOV-020</w:t>
      </w:r>
    </w:p>
    <w:p>
      <w:pPr>
        <w:pStyle w:val="ListBullet"/>
      </w:pPr>
      <w:r>
        <w:t>Weak authentication lifecycle / brute-force protections: SECM-CAT-ISU-011, SECM-CAT-IAA-003, SECM-CAT-IAA-008, SECM-CAT-IAA-011, SECM-CAT-IAA-017</w:t>
      </w:r>
    </w:p>
    <w:p>
      <w:pPr>
        <w:pStyle w:val="ListBullet"/>
      </w:pPr>
      <w:r>
        <w:t>Transport security / certificate validation weaknesses: SECM-CAT-ISU-003, SECM-CAT-ISU-004, SECM-CAT-ISU-007, SECM-CAT-ISU-010, SECM-CAT-ISU-018</w:t>
      </w:r>
    </w:p>
    <w:p>
      <w:pPr>
        <w:pStyle w:val="ListBullet"/>
      </w:pPr>
      <w:r>
        <w:t>Supply chain governance &amp; outdated components: SECM-CAT-ISU-008, SECM-CAT-ISU-009, SECM-CAT-ISU-013, SECM-CAT-ISU-022, SECM-CAT-ISU-023</w:t>
      </w:r>
    </w:p>
    <w:p>
      <w:pPr>
        <w:pStyle w:val="ListBullet"/>
      </w:pPr>
      <w:r>
        <w:t>Input validation &amp; injection weaknesses (XSS/SQLi/command/log injection): SECM-CAT-ISU-037, SECM-CAT-IOV-001, SECM-CAT-IOV-004, SECM-CAT-IOV-011, SECM-CAT-IOV-015</w:t>
      </w:r>
    </w:p>
    <w:p>
      <w:pPr>
        <w:pStyle w:val="ListBullet"/>
      </w:pPr>
      <w:r>
        <w:t>Audit logging completeness / retention / alerting gaps: SECM-CAT-IAA-004, SECM-CAT-IAA-010, SECM-CAT-IAA-014, SECM-CAT-IAA-019, SECM-CAT-IAA-021</w:t>
      </w:r>
    </w:p>
    <w:p>
      <w:pPr>
        <w:pStyle w:val="ListBullet"/>
      </w:pPr>
      <w:r>
        <w:t>Tampering / reverse engineering protections missing: SECM-CAT-ISU-006, SECM-CAT-ISU-012, SECM-CAT-ISU-017, SECM-CAT-ISU-026, SECM-CAT-ISU-039</w:t>
      </w:r>
    </w:p>
    <w:p>
      <w:pPr>
        <w:pStyle w:val="ListBullet"/>
      </w:pPr>
      <w:r>
        <w:t>Privacy notice / consent / governance gaps: SECM-CAT-ISU-033, SECM-CAT-ISU-040, SECM-CAT-IAA-013, SECM-CAT-IPC-004, SECM-CAT-IPC-010</w:t>
      </w:r>
    </w:p>
    <w:p>
      <w:r>
        <w:br w:type="page"/>
      </w:r>
    </w:p>
    <w:p>
      <w:pPr>
        <w:pStyle w:val="Heading1"/>
      </w:pPr>
      <w:r>
        <w:t>Appendix B - Positive controls verification (workbook traceability)</w:t>
      </w:r>
    </w:p>
    <w:p>
      <w:r>
        <w:t>This appendix verifies each Positive controls observed statement by providing the originating PUID, flags used, and an evidence excerpt when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D9E1F2"/>
          </w:tcPr>
          <w:p>
            <w:r>
              <w:rPr>
                <w:b/>
              </w:rPr>
              <w:t>Positive control statement (as reported)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</w:rPr>
              <w:t>Workbook PUID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</w:rPr>
              <w:t>Flags used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</w:rPr>
              <w:t>Evidence / justification (excerpt)</w:t>
            </w:r>
          </w:p>
        </w:tc>
      </w:tr>
      <w:tr>
        <w:tc>
          <w:tcPr>
            <w:tcW w:type="dxa" w:w="2448"/>
          </w:tcPr>
          <w:p>
            <w:r>
              <w:t>The application applications not change the SSL verification method that can allow self-signed certificates. Self-signed certificates or a local Certificate Authority (CA) be used during development to keep with good SSL practices.</w:t>
            </w:r>
          </w:p>
        </w:tc>
        <w:tc>
          <w:tcPr>
            <w:tcW w:type="dxa" w:w="2448"/>
          </w:tcPr>
          <w:p>
            <w:r>
              <w:t>SECM-CAT-ISU-002</w:t>
            </w:r>
          </w:p>
        </w:tc>
        <w:tc>
          <w:tcPr>
            <w:tcW w:type="dxa" w:w="2448"/>
          </w:tcPr>
          <w:p>
            <w:r>
              <w:t>has_android_ssl_pinning_present, has_android_ssl_pinning_detected, has_manifest_allow_clear_text_traffic_true</w:t>
            </w:r>
          </w:p>
        </w:tc>
        <w:tc>
          <w:tcPr>
            <w:tcW w:type="dxa" w:w="2448"/>
          </w:tcPr>
          <w:p>
            <w:r>
              <w:t>Result: yes for requirement SECM-CAT-ISU-002.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remove all code that seems to accept every SSL/TLS certificate, e.g., org.apache.http.conn.ssl.AllowAllHostnameVerifier, SSLSocketFactory.ALLOW_ALL_HOSTNAME_VERIFIER, post-development cycle for secure certificate validation.</w:t>
            </w:r>
          </w:p>
        </w:tc>
        <w:tc>
          <w:tcPr>
            <w:tcW w:type="dxa" w:w="2448"/>
          </w:tcPr>
          <w:p>
            <w:r>
              <w:t>SECM-CAT-ISU-005</w:t>
            </w:r>
          </w:p>
        </w:tc>
        <w:tc>
          <w:tcPr>
            <w:tcW w:type="dxa" w:w="2448"/>
          </w:tcPr>
          <w:p>
            <w:r>
              <w:t>has_android_ssl_pinning_present, has_android_ssl_pinning_detected, has_manifest_allow_clear_text_traffic_true</w:t>
            </w:r>
          </w:p>
        </w:tc>
        <w:tc>
          <w:tcPr>
            <w:tcW w:type="dxa" w:w="2448"/>
          </w:tcPr>
          <w:p>
            <w:r>
              <w:t>Result: yes for requirement SECM-CAT-ISU-005.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be free of adware and known malware (via virus-checking against some established library of viruses), and prevents the execution of malicious code, as well as disallowing the uploading of malicious or dangerous-looking scripts or files.</w:t>
            </w:r>
          </w:p>
        </w:tc>
        <w:tc>
          <w:tcPr>
            <w:tcW w:type="dxa" w:w="2448"/>
          </w:tcPr>
          <w:p>
            <w:r>
              <w:t>SECM-CAT-ISU-035</w:t>
            </w:r>
          </w:p>
        </w:tc>
        <w:tc>
          <w:tcPr>
            <w:tcW w:type="dxa" w:w="2448"/>
          </w:tcPr>
          <w:p>
            <w:r>
              <w:t>has_malware_detections</w:t>
            </w:r>
          </w:p>
        </w:tc>
        <w:tc>
          <w:tcPr>
            <w:tcW w:type="dxa" w:w="2448"/>
          </w:tcPr>
          <w:p>
            <w:r>
              <w:t>Result: yes for requirement SECM-CAT-ISU-035.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request the READ_SMS permission only when absolutely necessary, minimize its usage, and securely handle SMS data to prevent misuse or exploitation by malicious third parties.</w:t>
            </w:r>
          </w:p>
        </w:tc>
        <w:tc>
          <w:tcPr>
            <w:tcW w:type="dxa" w:w="2448"/>
          </w:tcPr>
          <w:p>
            <w:r>
              <w:t>SECM-CAT-ISU-056</w:t>
            </w:r>
          </w:p>
        </w:tc>
        <w:tc>
          <w:tcPr>
            <w:tcW w:type="dxa" w:w="2448"/>
          </w:tcPr>
          <w:p>
            <w:r>
              <w:t>has_android_extra_risky_permissions_present, has_supports_runtime_permission_management</w:t>
            </w:r>
          </w:p>
        </w:tc>
        <w:tc>
          <w:tcPr>
            <w:tcW w:type="dxa" w:w="2448"/>
          </w:tcPr>
          <w:p>
            <w:r>
              <w:t>Result: yes for requirement SECM-CAT-ISU-056.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encrypt passwords during transmission to ensure that no passwords are sent in clear text over the network.</w:t>
            </w:r>
          </w:p>
        </w:tc>
        <w:tc>
          <w:tcPr>
            <w:tcW w:type="dxa" w:w="2448"/>
          </w:tcPr>
          <w:p>
            <w:r>
              <w:t>SECM-CAT-IAA-009</w:t>
            </w:r>
          </w:p>
        </w:tc>
        <w:tc>
          <w:tcPr>
            <w:tcW w:type="dxa" w:w="2448"/>
          </w:tcPr>
          <w:p>
            <w:r>
              <w:t>has_manifest_allow_clear_text_traffic_true, has_android_ssl_pinning_present, has_ssl_pinning_findings_severity_good</w:t>
            </w:r>
          </w:p>
        </w:tc>
        <w:tc>
          <w:tcPr>
            <w:tcW w:type="dxa" w:w="2448"/>
          </w:tcPr>
          <w:p>
            <w:r>
              <w:t>Result: yes for requirement SECM-CAT-IAA-009.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provide all users with the capability to manually terminate their communication session to ensure user-initiated logoff functionality.</w:t>
            </w:r>
          </w:p>
        </w:tc>
        <w:tc>
          <w:tcPr>
            <w:tcW w:type="dxa" w:w="2448"/>
          </w:tcPr>
          <w:p>
            <w:r>
              <w:t>SECM-CAT-IAA-114</w:t>
            </w:r>
          </w:p>
        </w:tc>
        <w:tc>
          <w:tcPr>
            <w:tcW w:type="dxa" w:w="2448"/>
          </w:tcPr>
          <w:p>
            <w:r>
              <w:t>has_supports_manual_logout</w:t>
            </w:r>
          </w:p>
        </w:tc>
        <w:tc>
          <w:tcPr>
            <w:tcW w:type="dxa" w:w="2448"/>
          </w:tcPr>
          <w:p>
            <w:r>
              <w:t>Result: yes for requirement SECM-CAT-IAA-114. Based on the fingerprint and the flags mapped to this requirement, the application is compliant because the evaluated signals support …</w:t>
            </w:r>
          </w:p>
        </w:tc>
      </w:tr>
      <w:tr>
        <w:tc>
          <w:tcPr>
            <w:tcW w:type="dxa" w:w="2448"/>
          </w:tcPr>
          <w:p>
            <w:r>
              <w:t>The application prioritize secure and authenticated communication methods, such as Firebase Cloud Messaging (FCM) or encrypted IP-based networking protocols, instead of relying on SMS for app-server interactions.</w:t>
            </w:r>
          </w:p>
        </w:tc>
        <w:tc>
          <w:tcPr>
            <w:tcW w:type="dxa" w:w="2448"/>
          </w:tcPr>
          <w:p>
            <w:r>
              <w:t>SECM-CAT-ICO-004</w:t>
            </w:r>
          </w:p>
        </w:tc>
        <w:tc>
          <w:tcPr>
            <w:tcW w:type="dxa" w:w="2448"/>
          </w:tcPr>
          <w:p>
            <w:r>
              <w:t>has_tls_ssl_pinning_implemented, has_ssl_cert_pinning_implemented</w:t>
            </w:r>
          </w:p>
        </w:tc>
        <w:tc>
          <w:tcPr>
            <w:tcW w:type="dxa" w:w="2448"/>
          </w:tcPr>
          <w:p>
            <w:r>
              <w:t>Result: yes for requirement SECM-CAT-ICO-004. Based on the fingerprint and the flags mapped to this requirement, the application is compliant because the evaluated signals support …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08 Apr 2026 | </w:t>
    </w:r>
    <w: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mSEC-AM Audit Summary - OpenMRS Android Client v3.1.1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