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3ECE1" w14:textId="77777777" w:rsidR="000D7561" w:rsidRPr="000D7561" w:rsidRDefault="000D7561" w:rsidP="000D7561">
      <w:pPr>
        <w:rPr>
          <w:b/>
          <w:bCs/>
        </w:rPr>
      </w:pPr>
      <w:r w:rsidRPr="000D7561">
        <w:rPr>
          <w:b/>
          <w:bCs/>
        </w:rPr>
        <w:t>Figure captions</w:t>
      </w:r>
    </w:p>
    <w:p w14:paraId="54D32950" w14:textId="77777777" w:rsidR="000D7561" w:rsidRPr="000D7561" w:rsidRDefault="000D7561" w:rsidP="000D7561">
      <w:r w:rsidRPr="000D7561">
        <w:rPr>
          <w:b/>
          <w:bCs/>
        </w:rPr>
        <w:t>Figure 1.</w:t>
      </w:r>
      <w:r w:rsidRPr="000D7561">
        <w:t xml:space="preserve"> Spatial and statistical representation of the diversity response variable. (A) Rao’s quadratic entropy (Q); (B) log-transformed taxonomic diversity per area [log₁₀(Q/A)]; (C) spatial map of Q; and (D) spatial map of log₁₀(Q/A). The panels illustrate the multimodality and noise of raw Q and the more interpretable spatial gradients captured by log-transformed Q per area.</w:t>
      </w:r>
    </w:p>
    <w:p w14:paraId="43E4B708" w14:textId="77777777" w:rsidR="000D7561" w:rsidRPr="000D7561" w:rsidRDefault="000D7561" w:rsidP="000D7561">
      <w:r w:rsidRPr="000D7561">
        <w:rPr>
          <w:b/>
          <w:bCs/>
        </w:rPr>
        <w:t>Figure 2.</w:t>
      </w:r>
      <w:r w:rsidRPr="000D7561">
        <w:t xml:space="preserve"> Spatial distribution of environmental covariates. (A–D) mean values of elevation (m), slope (°), land surface temperature (°C), and precipitation (mm); (E) dominant geological units; (F–I) temporal coefficient of variation (log-scale) for the same covariates. Panel (J) left blank for layout symmetry.</w:t>
      </w:r>
    </w:p>
    <w:p w14:paraId="384E86FF" w14:textId="77777777" w:rsidR="000D7561" w:rsidRPr="000D7561" w:rsidRDefault="000D7561" w:rsidP="000D7561">
      <w:r w:rsidRPr="000D7561">
        <w:rPr>
          <w:b/>
          <w:bCs/>
        </w:rPr>
        <w:t>Figure 3.</w:t>
      </w:r>
      <w:r w:rsidRPr="000D7561">
        <w:t xml:space="preserve"> Histogram and spatial map of Queen neighborhood degree. The histogram displays the frequency distribution of polygon neighbor counts, while the map highlights spatial patterns in degree values, revealing topological anomalies such as linear features or highly connected areas.</w:t>
      </w:r>
    </w:p>
    <w:p w14:paraId="379DBD5A" w14:textId="77777777" w:rsidR="000D7561" w:rsidRPr="000D7561" w:rsidRDefault="000D7561" w:rsidP="000D7561">
      <w:r w:rsidRPr="000D7561">
        <w:rPr>
          <w:b/>
          <w:bCs/>
        </w:rPr>
        <w:t>Figure 4.</w:t>
      </w:r>
      <w:r w:rsidRPr="000D7561">
        <w:t xml:space="preserve"> Local Moran’s I tripanel for standardized log₁₀(Q/area). (A) Moran scatterplot; (B) LISA cluster map; (C) map of local Ii statistics. The tripanel shows clustering patterns (Low-Low, High-High, outliers) and areas with no significant spatial structure.</w:t>
      </w:r>
    </w:p>
    <w:p w14:paraId="397601EF" w14:textId="77777777" w:rsidR="000D7561" w:rsidRPr="000D7561" w:rsidRDefault="000D7561" w:rsidP="000D7561">
      <w:r w:rsidRPr="000D7561">
        <w:rPr>
          <w:b/>
          <w:bCs/>
        </w:rPr>
        <w:t>Figure 5.</w:t>
      </w:r>
      <w:r w:rsidRPr="000D7561">
        <w:t xml:space="preserve"> Comparison of model performance metrics across spatial structures. Deviance Information Criterion (DIC), Watanabe-Akaike Information Criterion (WAIC), and marginal log-likelihood (logML) are shown for three models: full spatial (besag + iid + era), spatial without geological era, and non-spatial with only era effects.</w:t>
      </w:r>
    </w:p>
    <w:p w14:paraId="7F34F84D" w14:textId="77777777" w:rsidR="000D7561" w:rsidRPr="000D7561" w:rsidRDefault="000D7561" w:rsidP="000D7561">
      <w:r w:rsidRPr="000D7561">
        <w:rPr>
          <w:b/>
          <w:bCs/>
        </w:rPr>
        <w:t>Figure 6.</w:t>
      </w:r>
      <w:r w:rsidRPr="000D7561">
        <w:t xml:space="preserve"> Posterior summaries of fixed effects across models. Left panel shows posterior means and 95% credible intervals for each covariate under three model structures. Right panel shows posterior density functions under the full spatial model, highlighting uncertainty and effect size for each standardized covariate.</w:t>
      </w:r>
    </w:p>
    <w:p w14:paraId="0C20E01B" w14:textId="77777777" w:rsidR="00CF6717" w:rsidRDefault="00CF6717"/>
    <w:sectPr w:rsidR="00CF6717" w:rsidSect="00792B2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61"/>
    <w:rsid w:val="000D7561"/>
    <w:rsid w:val="00792B24"/>
    <w:rsid w:val="007D6FD4"/>
    <w:rsid w:val="00BD0F00"/>
    <w:rsid w:val="00CF6717"/>
    <w:rsid w:val="00E16AAC"/>
    <w:rsid w:val="00EF1FFD"/>
    <w:rsid w:val="00F36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10FDD"/>
  <w14:defaultImageDpi w14:val="32767"/>
  <w15:chartTrackingRefBased/>
  <w15:docId w15:val="{5C84BBD8-58E4-4061-9699-1C19A0A6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D7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D7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D756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D756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D756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D75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D75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D75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D75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D756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D756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D756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D756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D756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D75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D75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D75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D7561"/>
    <w:rPr>
      <w:rFonts w:eastAsiaTheme="majorEastAsia" w:cstheme="majorBidi"/>
      <w:color w:val="272727" w:themeColor="text1" w:themeTint="D8"/>
    </w:rPr>
  </w:style>
  <w:style w:type="paragraph" w:styleId="Titel">
    <w:name w:val="Title"/>
    <w:basedOn w:val="Standard"/>
    <w:next w:val="Standard"/>
    <w:link w:val="TitelZchn"/>
    <w:uiPriority w:val="10"/>
    <w:qFormat/>
    <w:rsid w:val="000D7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D75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D75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D75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D75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D7561"/>
    <w:rPr>
      <w:i/>
      <w:iCs/>
      <w:color w:val="404040" w:themeColor="text1" w:themeTint="BF"/>
    </w:rPr>
  </w:style>
  <w:style w:type="paragraph" w:styleId="Listenabsatz">
    <w:name w:val="List Paragraph"/>
    <w:basedOn w:val="Standard"/>
    <w:uiPriority w:val="34"/>
    <w:qFormat/>
    <w:rsid w:val="000D7561"/>
    <w:pPr>
      <w:ind w:left="720"/>
      <w:contextualSpacing/>
    </w:pPr>
  </w:style>
  <w:style w:type="character" w:styleId="IntensiveHervorhebung">
    <w:name w:val="Intense Emphasis"/>
    <w:basedOn w:val="Absatz-Standardschriftart"/>
    <w:uiPriority w:val="21"/>
    <w:qFormat/>
    <w:rsid w:val="000D7561"/>
    <w:rPr>
      <w:i/>
      <w:iCs/>
      <w:color w:val="2F5496" w:themeColor="accent1" w:themeShade="BF"/>
    </w:rPr>
  </w:style>
  <w:style w:type="paragraph" w:styleId="IntensivesZitat">
    <w:name w:val="Intense Quote"/>
    <w:basedOn w:val="Standard"/>
    <w:next w:val="Standard"/>
    <w:link w:val="IntensivesZitatZchn"/>
    <w:uiPriority w:val="30"/>
    <w:qFormat/>
    <w:rsid w:val="000D7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D7561"/>
    <w:rPr>
      <w:i/>
      <w:iCs/>
      <w:color w:val="2F5496" w:themeColor="accent1" w:themeShade="BF"/>
    </w:rPr>
  </w:style>
  <w:style w:type="character" w:styleId="IntensiverVerweis">
    <w:name w:val="Intense Reference"/>
    <w:basedOn w:val="Absatz-Standardschriftart"/>
    <w:uiPriority w:val="32"/>
    <w:qFormat/>
    <w:rsid w:val="000D75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08016">
      <w:bodyDiv w:val="1"/>
      <w:marLeft w:val="0"/>
      <w:marRight w:val="0"/>
      <w:marTop w:val="0"/>
      <w:marBottom w:val="0"/>
      <w:divBdr>
        <w:top w:val="none" w:sz="0" w:space="0" w:color="auto"/>
        <w:left w:val="none" w:sz="0" w:space="0" w:color="auto"/>
        <w:bottom w:val="none" w:sz="0" w:space="0" w:color="auto"/>
        <w:right w:val="none" w:sz="0" w:space="0" w:color="auto"/>
      </w:divBdr>
    </w:div>
    <w:div w:id="192429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1651</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Guio</dc:creator>
  <cp:keywords/>
  <dc:description/>
  <cp:lastModifiedBy>Carlos Guio</cp:lastModifiedBy>
  <cp:revision>1</cp:revision>
  <dcterms:created xsi:type="dcterms:W3CDTF">2025-07-26T05:30:00Z</dcterms:created>
  <dcterms:modified xsi:type="dcterms:W3CDTF">2025-07-26T05:32:00Z</dcterms:modified>
</cp:coreProperties>
</file>