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2E88" w14:textId="77777777" w:rsidR="00D54CB3" w:rsidRPr="00FF28FD" w:rsidRDefault="00D54CB3"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Asymptomatic testing strategies</w:t>
      </w:r>
      <w:r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congregate settings</w:t>
      </w:r>
    </w:p>
    <w:p w14:paraId="3C2710F1" w14:textId="3DAB3C3D"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 xml:space="preserve">Christopher M. Hoover, Nicholas K. Skaff </w:t>
      </w:r>
      <w:commentRangeStart w:id="0"/>
      <w:r>
        <w:rPr>
          <w:rFonts w:ascii="Times New Roman" w:eastAsia="Times New Roman" w:hAnsi="Times New Roman" w:cs="Times New Roman"/>
          <w:sz w:val="24"/>
          <w:szCs w:val="24"/>
          <w:shd w:val="clear" w:color="auto" w:fill="FFFFFF"/>
        </w:rPr>
        <w:t xml:space="preserve">… </w:t>
      </w:r>
      <w:commentRangeEnd w:id="0"/>
      <w:r>
        <w:rPr>
          <w:rStyle w:val="CommentReference"/>
          <w:rFonts w:ascii="Times New Roman" w:hAnsi="Times New Roman" w:cs="Times New Roman"/>
        </w:rPr>
        <w:commentReference w:id="0"/>
      </w:r>
      <w:r>
        <w:rPr>
          <w:rFonts w:ascii="Times New Roman" w:eastAsia="Times New Roman" w:hAnsi="Times New Roman" w:cs="Times New Roman"/>
          <w:sz w:val="24"/>
          <w:szCs w:val="24"/>
          <w:shd w:val="clear" w:color="auto" w:fill="FFFFFF"/>
        </w:rPr>
        <w:t>, Seth Blumberg, Rena Fukunaga</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09FB8363" w14:textId="77777777" w:rsidR="00D54CB3" w:rsidRPr="0061364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10EC19A0" w14:textId="77777777" w:rsidR="00D54CB3" w:rsidRPr="00BC161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7B3410">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California Department of Corrections and Rehabilitation </w:t>
      </w:r>
      <w:r>
        <w:rPr>
          <w:rFonts w:ascii="Times New Roman" w:eastAsia="Times New Roman" w:hAnsi="Times New Roman" w:cs="Times New Roman"/>
          <w:iCs/>
          <w:color w:val="000000"/>
          <w:sz w:val="24"/>
          <w:szCs w:val="24"/>
          <w:shd w:val="clear" w:color="auto" w:fill="FFFFFF"/>
        </w:rPr>
        <w:t>(David Sears, others?)</w:t>
      </w:r>
    </w:p>
    <w:p w14:paraId="4C9FCC7E" w14:textId="77777777" w:rsidR="00D54CB3" w:rsidRPr="00C330CF" w:rsidRDefault="00D54CB3" w:rsidP="00D54CB3">
      <w:pPr>
        <w:spacing w:after="0" w:line="240" w:lineRule="auto"/>
        <w:rPr>
          <w:rFonts w:ascii="Times New Roman" w:eastAsia="Times New Roman" w:hAnsi="Times New Roman" w:cs="Times New Roman"/>
          <w:i/>
          <w:color w:val="000000"/>
          <w:sz w:val="24"/>
          <w:szCs w:val="24"/>
          <w:shd w:val="clear" w:color="auto" w:fill="FFFFFF"/>
        </w:rPr>
      </w:pPr>
    </w:p>
    <w:p w14:paraId="2974CE8C" w14:textId="77777777" w:rsidR="00D54CB3" w:rsidRPr="00C330CF"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 xml:space="preserve">*Corresponding author </w:t>
      </w:r>
    </w:p>
    <w:p w14:paraId="480163AE" w14:textId="77777777" w:rsidR="00C678D7" w:rsidRDefault="00C678D7" w:rsidP="00D54CB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59BB35F" w14:textId="49471BC6" w:rsidR="00D54CB3" w:rsidRPr="00C330CF" w:rsidRDefault="00D54CB3" w:rsidP="00D54CB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[Address]</w:t>
      </w:r>
    </w:p>
    <w:p w14:paraId="713D3121" w14:textId="77777777" w:rsidR="00D54CB3" w:rsidRPr="00C330CF"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 xml:space="preserve">Phone </w:t>
      </w:r>
      <w:r>
        <w:rPr>
          <w:rFonts w:ascii="Times New Roman" w:eastAsia="Times New Roman" w:hAnsi="Times New Roman" w:cs="Times New Roman"/>
          <w:color w:val="000000"/>
          <w:sz w:val="24"/>
          <w:szCs w:val="24"/>
          <w:shd w:val="clear" w:color="auto" w:fill="FFFFFF"/>
        </w:rPr>
        <w:t>[]</w:t>
      </w:r>
    </w:p>
    <w:p w14:paraId="5392C0D7" w14:textId="77777777" w:rsidR="00D54CB3" w:rsidRPr="00C330CF" w:rsidRDefault="00D54CB3" w:rsidP="00D54CB3">
      <w:pPr>
        <w:spacing w:line="360" w:lineRule="auto"/>
        <w:rPr>
          <w:rFonts w:ascii="Times New Roman" w:eastAsia="Times New Roman" w:hAnsi="Times New Roman" w:cs="Times New Roman"/>
          <w:color w:val="000000"/>
          <w:sz w:val="24"/>
          <w:szCs w:val="24"/>
          <w:shd w:val="clear" w:color="auto" w:fill="FFFFFF"/>
        </w:rPr>
      </w:pPr>
      <w:r>
        <w:t>[email]</w:t>
      </w:r>
    </w:p>
    <w:p w14:paraId="3FFCC9B4" w14:textId="77777777"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p>
    <w:p w14:paraId="5FD2D0CF" w14:textId="77777777"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p>
    <w:p w14:paraId="35A18DE9" w14:textId="77777777"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p>
    <w:p w14:paraId="11CDEF07" w14:textId="77777777" w:rsidR="00D54CB3" w:rsidRPr="00C330CF" w:rsidRDefault="00D54CB3" w:rsidP="00D54CB3">
      <w:pPr>
        <w:spacing w:after="0" w:line="240" w:lineRule="auto"/>
        <w:rPr>
          <w:rFonts w:ascii="Times New Roman" w:eastAsia="Times New Roman" w:hAnsi="Times New Roman" w:cs="Times New Roman"/>
          <w:color w:val="000000"/>
          <w:sz w:val="24"/>
          <w:szCs w:val="24"/>
          <w:shd w:val="clear" w:color="auto" w:fill="FFFFFF"/>
        </w:rPr>
      </w:pPr>
    </w:p>
    <w:p w14:paraId="245788AE" w14:textId="77777777"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p>
    <w:p w14:paraId="4D234A56" w14:textId="77777777" w:rsidR="00D54CB3" w:rsidRDefault="00D54CB3" w:rsidP="00D54CB3">
      <w:pPr>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24AB3431" w:rsidR="00C93F3D" w:rsidRPr="00EB3D0F" w:rsidRDefault="00C93F3D" w:rsidP="00184FA9">
      <w:pPr>
        <w:rPr>
          <w:rFonts w:ascii="Times New Roman" w:hAnsi="Times New Roman" w:cs="Times New Roman"/>
          <w:b/>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p>
    <w:p w14:paraId="09D7F8B8" w14:textId="78365650" w:rsidR="00F87C72" w:rsidRPr="00EB3D0F" w:rsidRDefault="00F87C72" w:rsidP="00210731">
      <w:pPr>
        <w:spacing w:after="0" w:line="480" w:lineRule="auto"/>
        <w:ind w:firstLine="720"/>
        <w:rPr>
          <w:rFonts w:ascii="Times New Roman" w:hAnsi="Times New Roman" w:cs="Times New Roman"/>
          <w:color w:val="222222"/>
          <w:sz w:val="24"/>
          <w:szCs w:val="24"/>
        </w:rPr>
      </w:pPr>
    </w:p>
    <w:p w14:paraId="3D6D5421" w14:textId="096F70E6"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p>
    <w:p w14:paraId="174E9AA3" w14:textId="134AE586"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footerReference w:type="default" r:id="rId12"/>
          <w:pgSz w:w="12240" w:h="15840"/>
          <w:pgMar w:top="1080" w:right="1080" w:bottom="1080" w:left="1080" w:header="720" w:footer="720" w:gutter="0"/>
          <w:cols w:space="720"/>
          <w:docGrid w:linePitch="360"/>
        </w:sectPr>
      </w:pPr>
    </w:p>
    <w:p w14:paraId="655EE375" w14:textId="08393D4F" w:rsidR="00A43E70" w:rsidRPr="00EB3D0F" w:rsidRDefault="00184FA9" w:rsidP="0060041F">
      <w:pPr>
        <w:pStyle w:val="Heading2"/>
      </w:pPr>
      <w:r w:rsidRPr="00EB3D0F">
        <w:lastRenderedPageBreak/>
        <w:t xml:space="preserve">Introduction </w:t>
      </w:r>
      <w:r w:rsidR="00D54CB3">
        <w:t>(413 words)</w:t>
      </w:r>
    </w:p>
    <w:p w14:paraId="1CD42944" w14:textId="026424D6" w:rsidR="00AB1F38" w:rsidRDefault="000F07D2" w:rsidP="008C1FD0">
      <w:r>
        <w:t>Since the early stages of the COVID-19 pandemic, outbreaks in congregate settings such as skilled nursing facilities</w:t>
      </w:r>
      <w:r w:rsidR="00FD3C57">
        <w:t xml:space="preserve"> [CITE</w:t>
      </w:r>
      <w:r w:rsidR="006803D6">
        <w:t>s</w:t>
      </w:r>
      <w:r w:rsidR="00FD3C57">
        <w:t>]</w:t>
      </w:r>
      <w:r>
        <w:t>, homeless shelters</w:t>
      </w:r>
      <w:r w:rsidR="00FD3C57">
        <w:t xml:space="preserve"> </w:t>
      </w:r>
      <w:r w:rsidR="006803D6">
        <w:fldChar w:fldCharType="begin"/>
      </w:r>
      <w:r w:rsidR="00627F02">
        <w:instrText xml:space="preserve"> ADDIN ZOTERO_ITEM CSL_CITATION {"citationID":"uky08grm","properties":{"formattedCitation":"(1\\uc0\\u8211{}4)","plainCitation":"(1–4)","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fldChar w:fldCharType="separate"/>
      </w:r>
      <w:r w:rsidR="00627F02" w:rsidRPr="00627F02">
        <w:t>(1–4)</w:t>
      </w:r>
      <w:r w:rsidR="006803D6">
        <w:fldChar w:fldCharType="end"/>
      </w:r>
      <w:r>
        <w:t>, and carceral facilities</w:t>
      </w:r>
      <w:r w:rsidR="00FD3C57">
        <w:t xml:space="preserve"> </w:t>
      </w:r>
      <w:r w:rsidR="00FD3C57">
        <w:fldChar w:fldCharType="begin"/>
      </w:r>
      <w:r w:rsidR="00627F02">
        <w:instrText xml:space="preserve"> ADDIN ZOTERO_ITEM CSL_CITATION {"citationID":"P1gTs08q","properties":{"formattedCitation":"(5)","plainCitation":"(5)","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fldChar w:fldCharType="separate"/>
      </w:r>
      <w:r w:rsidR="00627F02">
        <w:rPr>
          <w:noProof/>
        </w:rPr>
        <w:t>(5)</w:t>
      </w:r>
      <w:r w:rsidR="00FD3C57">
        <w:fldChar w:fldCharType="end"/>
      </w:r>
      <w:r>
        <w:t xml:space="preserve"> have been particularly devastating. Individuals living </w:t>
      </w:r>
      <w:r w:rsidR="009D18B2">
        <w:t>in these settings</w:t>
      </w:r>
      <w:r>
        <w:t xml:space="preserve"> are limited in their ability to effectively isolate themselves from other potentially infected individuals, and certain facilities place </w:t>
      </w:r>
      <w:r w:rsidR="009D18B2">
        <w:t xml:space="preserve">many people </w:t>
      </w:r>
      <w:r>
        <w:t>in close proximity</w:t>
      </w:r>
      <w:r w:rsidR="00FD3C57">
        <w:t xml:space="preserve"> [CITE]</w:t>
      </w:r>
      <w:r>
        <w:t xml:space="preserve">. </w:t>
      </w:r>
      <w:r w:rsidR="00FD3C57">
        <w:t>These conditions are highly conducive to the spread of SARS-CoV2</w:t>
      </w:r>
      <w:r w:rsidR="00AB1F38">
        <w:t xml:space="preserve">, with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sidR="00AB1F38">
        <w:t xml:space="preserve"> estimated as high as 8.44 in one carceral facility </w:t>
      </w:r>
      <w:r w:rsidR="00AB1F38">
        <w:fldChar w:fldCharType="begin"/>
      </w:r>
      <w:r w:rsidR="00AB1F38">
        <w:instrText xml:space="preserve"> ADDIN ZOTERO_ITEM CSL_CITATION {"citationID":"sDkQ52uY","properties":{"formattedCitation":"(6)","plainCitation":"(6)","noteIndex":0},"citationItems":[{"id":426,"uris":["http://zotero.org/users/3463997/items/8NWA3JI6"],"uri":["http://zotero.org/users/3463997/items/8NWA3JI6"],"itemData":{"id":426,"type":"article-journal","abstract":"Purpose\nTo estimate the basic reproduction ratio () of SARS-CoV-2 inside a correctional facility early in the COVID-19 pandemic.\nMethods\nWe developed a dynamic transmission model for a large, urban jail in the United States. We used the next generation method to determine the basic reproduction ratio We included anonymized data of incarcerated individuals and correctional staff with confirmed COVID-19 infections in our estimation of the basic reproduction ratio () of SARS-CoV-2.\nResults\nThe estimated is 8.44 (95% Credible Interval (CrI): 5.00-13.13) for the entire jail.\nConclusions\nThe high of SARS-CoV-2 in a large urban jail highlights the importance of including correctional facilities in public health strategies for COVID-19. In the absence of more aggressive mitigation strategies, correctional facilities will continue to contribute to community infections.","container-title":"Annals of Epidemiology","DOI":"10.1016/j.annepidem.2020.09.002","ISSN":"1047-2797","journalAbbreviation":"Annals of Epidemiology","language":"en","page":"103-105","source":"ScienceDirect","title":"Estimation of COVID-19 basic reproduction ratio in a large urban jail in the United States","volume":"53","author":[{"family":"Puglisi","given":"Lisa B."},{"family":"Malloy","given":"Giovanni S. P."},{"family":"Harvey","given":"Tyler D."},{"family":"Brandeau","given":"Margaret L."},{"family":"Wang","given":"Emily A."}],"issued":{"date-parts":[["2021",1,1]]}}}],"schema":"https://github.com/citation-style-language/schema/raw/master/csl-citation.json"} </w:instrText>
      </w:r>
      <w:r w:rsidR="00AB1F38">
        <w:fldChar w:fldCharType="separate"/>
      </w:r>
      <w:r w:rsidR="00AB1F38">
        <w:rPr>
          <w:noProof/>
        </w:rPr>
        <w:t>(6)</w:t>
      </w:r>
      <w:r w:rsidR="00AB1F38">
        <w:fldChar w:fldCharType="end"/>
      </w:r>
      <w:r w:rsidR="00AB1F38">
        <w:t xml:space="preserve">, as high as 6.2 in homeless shelters </w:t>
      </w:r>
      <w:r w:rsidR="00AB1F38">
        <w:fldChar w:fldCharType="begin"/>
      </w:r>
      <w:r w:rsidR="00AB1F38">
        <w:instrText xml:space="preserve"> ADDIN ZOTERO_ITEM CSL_CITATION {"citationID":"jSW8r9wd","properties":{"formattedCitation":"(7)","plainCitation":"(7)","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AB1F38">
        <w:fldChar w:fldCharType="separate"/>
      </w:r>
      <w:r w:rsidR="00AB1F38">
        <w:rPr>
          <w:noProof/>
        </w:rPr>
        <w:t>(7)</w:t>
      </w:r>
      <w:r w:rsidR="00AB1F38">
        <w:fldChar w:fldCharType="end"/>
      </w:r>
      <w:r w:rsidR="00AB1F38">
        <w:t>,  [</w:t>
      </w:r>
      <w:r w:rsidR="00AB1F38" w:rsidRPr="000F07D2">
        <w:rPr>
          <w:highlight w:val="yellow"/>
        </w:rPr>
        <w:t>other examples</w:t>
      </w:r>
      <w:r w:rsidR="00AB1F38">
        <w:t>]</w:t>
      </w:r>
      <w:r w:rsidR="00FD3C57">
        <w:t xml:space="preserve">. </w:t>
      </w:r>
    </w:p>
    <w:p w14:paraId="7D7F41FB" w14:textId="639D44DC" w:rsidR="00C34B43" w:rsidRDefault="00FD3C57" w:rsidP="008C1FD0">
      <w:pPr>
        <w:rPr>
          <w:shd w:val="clear" w:color="auto" w:fill="FFFF00"/>
        </w:rPr>
      </w:pPr>
      <w:r>
        <w:t>P</w:t>
      </w:r>
      <w:r w:rsidR="000F07D2">
        <w:t>reventing the importation of primary cases into congregate settings may therefore be the most effective way to protect vulnerable populations within these facilities.</w:t>
      </w:r>
      <w:r w:rsidR="009D18B2">
        <w:t xml:space="preserve"> </w:t>
      </w:r>
      <w:r w:rsidR="00AB1F38">
        <w:t xml:space="preserve">The transfer of infected residents from one facility to another has been implicated as the impetus of large outbreaks in carceral facilities </w:t>
      </w:r>
      <w:r w:rsidR="00AB1F38">
        <w:fldChar w:fldCharType="begin"/>
      </w:r>
      <w:r w:rsidR="00C34B43">
        <w:instrText xml:space="preserve"> ADDIN ZOTERO_ITEM CSL_CITATION {"citationID":"cqYETVRf","properties":{"formattedCitation":"(8,9)","plainCitation":"(8,9)","noteIndex":0},"citationItems":[{"id":411,"uris":["http://zotero.org/users/3463997/items/3CSIDYSS"],"uri":["http://zotero.org/users/3463997/items/3CSIDYSS"],"itemData":{"id":411,"type":"article","title":"COVID–19 Review Series, Part Three: California Correctional Health Care Services and the California Department of Corrections and Rehabilitation Caused a Public Health Disaster at San Quentin State Prison When They Transferred Medically Vulnerable Incarcerated Persons From the California Institution for Men Without Taking Proper Safeguards","URL":"https://www.oig.ca.gov/wp-content/uploads/2021/02/OIG-COVID-19-Review-Series-Part-3-%E2%80%93-Transfer-of-Patients-from-CIM.pdf","author":[{"family":"Office of the Inspector General","given":""}],"accessed":{"date-parts":[["2021",6,30]]},"issued":{"date-parts":[["2021",2]]}},"label":"page"},{"id":442,"uris":["http://zotero.org/users/3463997/items/F3TMCGZ7"],"uri":["http://zotero.org/users/3463997/items/F3TMCGZ7"],"itemData":{"id":442,"type":"article-journal","container-title":"Morbidity and Mortality Weekly Report","DOI":"10.15585/mmwr.mm7013a4","ISSN":"0149-2195","issue":"13","journalAbbreviation":"MMWR Morb Mortal Wkly Rep","note":"PMID: 33793462\nPMCID: PMC8022877","page":"478-482","source":"PubMed Central","title":"Rapid Spread of SARS-CoV-2 in a State Prison After Introduction by Newly Transferred Incarcerated Persons — Wisconsin, August 14–October 22, 2020","volume":"70","author":[{"family":"Hershow","given":"Rebecca B."},{"family":"Segaloff","given":"Hannah E."},{"family":"Shockey","given":"Abigail C."},{"family":"Florek","given":"Kelsey R."},{"family":"Murphy","given":"Sabrina K."},{"family":"DuBose","given":"Weston"},{"family":"Schaeffer","given":"Tammy L."},{"family":"Powell, MPH","given":"Jo Anna"},{"family":"Gayle","given":"Krystal"},{"family":"Lambert","given":"Lauren"},{"family":"Schwitters","given":"Amee"},{"family":"Clarke","given":"Kristie E.N."},{"family":"Westergaard","given":"Ryan"}],"issued":{"date-parts":[["2021",4,2]]}}}],"schema":"https://github.com/citation-style-language/schema/raw/master/csl-citation.json"} </w:instrText>
      </w:r>
      <w:r w:rsidR="00AB1F38">
        <w:fldChar w:fldCharType="separate"/>
      </w:r>
      <w:r w:rsidR="00C34B43">
        <w:rPr>
          <w:noProof/>
        </w:rPr>
        <w:t>(8,9)</w:t>
      </w:r>
      <w:r w:rsidR="00AB1F38">
        <w:fldChar w:fldCharType="end"/>
      </w:r>
      <w:r w:rsidR="00AB1F38">
        <w:t xml:space="preserve">, but reformed policies </w:t>
      </w:r>
      <w:r w:rsidR="00AB1F38">
        <w:rPr>
          <w:shd w:val="clear" w:color="auto" w:fill="FFFF00"/>
        </w:rPr>
        <w:t>have now limited the frequency of such resident transfers. Furthermore, more effective testing and isolation procedures appear to have limited the SARS-CoV2 importation risk associated with such transfers [</w:t>
      </w:r>
      <w:commentRangeStart w:id="1"/>
      <w:r w:rsidR="00AB1F38">
        <w:rPr>
          <w:shd w:val="clear" w:color="auto" w:fill="FFFF00"/>
        </w:rPr>
        <w:t>CITEs</w:t>
      </w:r>
      <w:commentRangeEnd w:id="1"/>
      <w:r w:rsidR="00C650F7">
        <w:rPr>
          <w:rStyle w:val="CommentReference"/>
          <w:rFonts w:ascii="Times New Roman" w:hAnsi="Times New Roman" w:cs="Times New Roman"/>
        </w:rPr>
        <w:commentReference w:id="1"/>
      </w:r>
      <w:r w:rsidR="00AB1F38">
        <w:rPr>
          <w:shd w:val="clear" w:color="auto" w:fill="FFFF00"/>
        </w:rPr>
        <w:t>]. </w:t>
      </w:r>
    </w:p>
    <w:p w14:paraId="67D953C7" w14:textId="19D3364E" w:rsidR="00AB1F38" w:rsidRPr="00EF60E0" w:rsidRDefault="00AB1F38" w:rsidP="008C1FD0">
      <w:r>
        <w:t xml:space="preserve">Spillover from </w:t>
      </w:r>
      <w:r w:rsidR="00C34B43">
        <w:t xml:space="preserve">the community to </w:t>
      </w:r>
      <w:r>
        <w:t xml:space="preserve">facility staff </w:t>
      </w:r>
      <w:r w:rsidR="00C34B43">
        <w:t>and subsequent introduction into</w:t>
      </w:r>
      <w:r>
        <w:t xml:space="preserve"> resident populations </w:t>
      </w:r>
      <w:r w:rsidR="00C34B43">
        <w:t>remains</w:t>
      </w:r>
      <w:r>
        <w:t xml:space="preserve"> a major risk to the health of </w:t>
      </w:r>
      <w:r w:rsidR="00C34B43">
        <w:t>congregate</w:t>
      </w:r>
      <w:r>
        <w:t xml:space="preserve"> populations. </w:t>
      </w:r>
      <w:r w:rsidR="00C34B43">
        <w:t xml:space="preserve">Staff introductions have caused a number of outbreaks </w:t>
      </w:r>
      <w:r w:rsidR="00172032">
        <w:t>i</w:t>
      </w:r>
      <w:r w:rsidR="00C34B43">
        <w:t>n congregate settings across the US</w:t>
      </w:r>
      <w:r w:rsidR="006749DD">
        <w:t xml:space="preserve"> </w:t>
      </w:r>
      <w:r w:rsidR="006749DD">
        <w:fldChar w:fldCharType="begin"/>
      </w:r>
      <w:r w:rsidR="006749DD">
        <w:instrText xml:space="preserve"> ADDIN ZOTERO_ITEM CSL_CITATION {"citationID":"uVFSvSNN","properties":{"formattedCitation":"(5,10,11)","plainCitation":"(5,10,11)","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fldChar w:fldCharType="separate"/>
      </w:r>
      <w:r w:rsidR="006749DD">
        <w:rPr>
          <w:noProof/>
        </w:rPr>
        <w:t>(5,10,11)</w:t>
      </w:r>
      <w:r w:rsidR="006749DD">
        <w:fldChar w:fldCharType="end"/>
      </w:r>
      <w:r w:rsidR="00C34B43">
        <w:t>.</w:t>
      </w:r>
      <w:r w:rsidR="00147672">
        <w:t xml:space="preserve"> Routine testing of staff is essential to identify new cases and prevent such importations into resident populations.</w:t>
      </w:r>
      <w:r w:rsidR="00147672" w:rsidRPr="00147672">
        <w:t xml:space="preserve"> </w:t>
      </w:r>
      <w:r w:rsidR="006749DD">
        <w:t xml:space="preserve">Prior analyses suggest that routine asymptomatic testing is an effective strategy to reduce transmission in homeless shelters </w:t>
      </w:r>
      <w:r w:rsidR="006749DD">
        <w:fldChar w:fldCharType="begin"/>
      </w:r>
      <w:r w:rsidR="006749DD">
        <w:instrText xml:space="preserve"> ADDIN ZOTERO_ITEM CSL_CITATION {"citationID":"e6YpEcZf","properties":{"formattedCitation":"(7)","plainCitation":"(7)","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fldChar w:fldCharType="separate"/>
      </w:r>
      <w:r w:rsidR="006749DD">
        <w:rPr>
          <w:noProof/>
        </w:rPr>
        <w:t>(7)</w:t>
      </w:r>
      <w:r w:rsidR="006749DD">
        <w:fldChar w:fldCharType="end"/>
      </w:r>
      <w:r w:rsidR="006749DD">
        <w:t xml:space="preserve">, in healthcare settings </w:t>
      </w:r>
      <w:r w:rsidR="006749DD">
        <w:fldChar w:fldCharType="begin"/>
      </w:r>
      <w:r w:rsidR="006749DD">
        <w:instrText xml:space="preserve"> ADDIN ZOTERO_ITEM CSL_CITATION {"citationID":"6Pp1Jn97","properties":{"formattedCitation":"(12)","plainCitation":"(12)","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fldChar w:fldCharType="separate"/>
      </w:r>
      <w:r w:rsidR="006749DD">
        <w:rPr>
          <w:noProof/>
        </w:rPr>
        <w:t>(12)</w:t>
      </w:r>
      <w:r w:rsidR="006749DD">
        <w:fldChar w:fldCharType="end"/>
      </w:r>
      <w:r w:rsidR="006749DD">
        <w:t xml:space="preserve">, and prior to airline travel </w:t>
      </w:r>
      <w:r w:rsidR="006749DD">
        <w:fldChar w:fldCharType="begin"/>
      </w:r>
      <w:r w:rsidR="006749DD">
        <w:instrText xml:space="preserve"> ADDIN ZOTERO_ITEM CSL_CITATION {"citationID":"SJRuUbMB","properties":{"formattedCitation":"(13)","plainCitation":"(13)","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fldChar w:fldCharType="separate"/>
      </w:r>
      <w:r w:rsidR="006749DD">
        <w:rPr>
          <w:noProof/>
        </w:rPr>
        <w:t>(13)</w:t>
      </w:r>
      <w:r w:rsidR="006749DD">
        <w:fldChar w:fldCharType="end"/>
      </w:r>
      <w:r w:rsidR="006749DD">
        <w:t xml:space="preserve">. </w:t>
      </w:r>
      <w:commentRangeStart w:id="2"/>
      <w:r w:rsidR="00147672">
        <w:t xml:space="preserve">Current guidance suggests… </w:t>
      </w:r>
      <w:commentRangeEnd w:id="2"/>
      <w:r w:rsidR="00147672">
        <w:rPr>
          <w:rStyle w:val="CommentReference"/>
        </w:rPr>
        <w:commentReference w:id="2"/>
      </w:r>
      <w:r w:rsidR="00147672" w:rsidRPr="00147672">
        <w:t xml:space="preserve"> </w:t>
      </w:r>
    </w:p>
    <w:p w14:paraId="2A6F87A3" w14:textId="39D2FC58" w:rsidR="0044422A" w:rsidRPr="008C1FD0" w:rsidRDefault="00AB1F38" w:rsidP="008C1FD0">
      <w:r>
        <w:t xml:space="preserve">Even as vaccination rates increase across the United States and the world, concerns over breakthrough variants and transmission among unvaccinated populations reiterate the importance of asymptomatic testing. </w:t>
      </w:r>
      <w:r w:rsidR="00147672">
        <w:t>Different testing strategies that consider the frequency and timing of testing in relation to staffing schedules and key transmission characteristics of SARS-CoV2 such as pre- and asymptomatic transmission and the duration of the latent period have not been systematically investigated.</w:t>
      </w:r>
      <w:r w:rsidR="0015497D">
        <w:t xml:space="preserve"> Here we draw on staff</w:t>
      </w:r>
      <w:r w:rsidR="00221343">
        <w:t>ing</w:t>
      </w:r>
      <w:r w:rsidR="0015497D">
        <w:t xml:space="preserve"> and testing schedules from carceral facilities </w:t>
      </w:r>
      <w:r w:rsidR="00C34B43">
        <w:t>operated by the California Department of Corrections and Rehabilitation (CDCR)</w:t>
      </w:r>
      <w:r w:rsidR="0015497D">
        <w:t xml:space="preserve"> to fill this gap</w:t>
      </w:r>
      <w:r w:rsidR="00C34B43">
        <w:t>.</w:t>
      </w:r>
      <w:r w:rsidR="0015497D">
        <w:t xml:space="preserve"> We propose an analytic framework to estimate the effect of variable testing frequencies and delays on the reproduction number, </w:t>
      </w:r>
      <m:oMath>
        <m:r>
          <m:rPr>
            <m:scr m:val="script"/>
          </m:rPr>
          <w:rPr>
            <w:rFonts w:ascii="Cambria Math" w:hAnsi="Cambria Math"/>
          </w:rPr>
          <m:t>R</m:t>
        </m:r>
      </m:oMath>
      <w:r w:rsidR="0015497D">
        <w:t xml:space="preserve">. We then develop an individual-based model </w:t>
      </w:r>
      <w:r w:rsidR="00221343">
        <w:t xml:space="preserve">which incorporates CDCR staffing and testing schedules </w:t>
      </w:r>
      <w:r w:rsidR="0015497D">
        <w:t xml:space="preserve">to simulate community acquisition of SARS-CoV2 and subsequent </w:t>
      </w:r>
      <w:r w:rsidR="00221343">
        <w:t>transmission in a</w:t>
      </w:r>
      <w:r w:rsidR="0015497D">
        <w:t xml:space="preserve"> congregate settings. We use the model to explore via simulation the impact of aligning testing schedules with staffing schedules across testing frequencies, background community infection rates, and within-facility transmission rates.</w:t>
      </w:r>
    </w:p>
    <w:p w14:paraId="40015572" w14:textId="77777777" w:rsidR="008C1FD0" w:rsidRPr="008C1FD0" w:rsidRDefault="008C1FD0" w:rsidP="008C1FD0">
      <w:pPr>
        <w:pStyle w:val="Heading2"/>
        <w:rPr>
          <w:rFonts w:eastAsia="Times New Roman"/>
        </w:rPr>
      </w:pPr>
      <w:bookmarkStart w:id="3" w:name="staff-work-and-testing-schedules"/>
      <w:r w:rsidRPr="008C1FD0">
        <w:rPr>
          <w:rFonts w:eastAsia="Times New Roman"/>
        </w:rPr>
        <w:t>Staff work and testing schedules</w:t>
      </w:r>
    </w:p>
    <w:p w14:paraId="0E37C8D7" w14:textId="3571B86C" w:rsidR="008C1FD0" w:rsidRPr="008C1FD0" w:rsidRDefault="008C1FD0" w:rsidP="008C1FD0">
      <w:r w:rsidRPr="008C1FD0">
        <w:t>[</w:t>
      </w:r>
      <w:r w:rsidRPr="00594991">
        <w:rPr>
          <w:highlight w:val="yellow"/>
        </w:rPr>
        <w:t>Nick describes CDCR data, staffing and testing schedules</w:t>
      </w:r>
      <w:r w:rsidR="00594991" w:rsidRPr="00594991">
        <w:rPr>
          <w:highlight w:val="yellow"/>
        </w:rPr>
        <w:t>, maybe reference to figure</w:t>
      </w:r>
      <w:r w:rsidRPr="008C1FD0">
        <w:t>]</w:t>
      </w:r>
    </w:p>
    <w:p w14:paraId="0D208C18" w14:textId="4C2448AD" w:rsidR="008C1FD0" w:rsidRPr="008C1FD0" w:rsidRDefault="008C1FD0" w:rsidP="008C1FD0">
      <w:pPr>
        <w:pStyle w:val="Heading2"/>
        <w:rPr>
          <w:rFonts w:eastAsia="Times New Roman"/>
        </w:rPr>
      </w:pPr>
      <w:bookmarkStart w:id="4" w:name="X07f80927fcb37ed2a68e4f6df02e8279cb45b07"/>
      <w:bookmarkEnd w:id="3"/>
      <w:r w:rsidRPr="008C1FD0">
        <w:rPr>
          <w:rFonts w:eastAsia="Times New Roman"/>
        </w:rPr>
        <w:t>Model framework and parameterization for SARS-CoV2</w:t>
      </w:r>
      <w:r w:rsidR="0060041F">
        <w:rPr>
          <w:rFonts w:eastAsia="Times New Roman"/>
        </w:rPr>
        <w:t xml:space="preserve"> (672 words)</w:t>
      </w:r>
    </w:p>
    <w:p w14:paraId="34AB19BC" w14:textId="21297AE6" w:rsidR="008C1FD0" w:rsidRPr="008C1FD0" w:rsidRDefault="008C1FD0" w:rsidP="008C1FD0">
      <w:r w:rsidRPr="008C1FD0">
        <w:t>Building on previous work investigating the effects of non-pharmaceutical interventions</w:t>
      </w:r>
      <w:r w:rsidR="00806D62">
        <w:t xml:space="preserve"> </w:t>
      </w:r>
      <w:r w:rsidR="00806D62">
        <w:fldChar w:fldCharType="begin"/>
      </w:r>
      <w:r w:rsidR="00806D62">
        <w:instrText xml:space="preserve"> ADDIN ZOTERO_ITEM CSL_CITATION {"citationID":"J18ygQ6A","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806D62">
        <w:fldChar w:fldCharType="separate"/>
      </w:r>
      <w:r w:rsidR="00806D62">
        <w:rPr>
          <w:noProof/>
        </w:rPr>
        <w:t>(14)</w:t>
      </w:r>
      <w:r w:rsidR="00806D62">
        <w:fldChar w:fldCharType="end"/>
      </w:r>
      <w:r w:rsidRPr="008C1FD0">
        <w:t xml:space="preserve"> and testing </w:t>
      </w:r>
      <w:r w:rsidR="00806D62">
        <w:fldChar w:fldCharType="begin"/>
      </w:r>
      <w:r w:rsidR="00806D62">
        <w:instrText xml:space="preserve"> ADDIN ZOTERO_ITEM CSL_CITATION {"citationID":"y4k2xrir","properties":{"formattedCitation":"(15)","plainCitation":"(15)","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806D62">
        <w:fldChar w:fldCharType="separate"/>
      </w:r>
      <w:r w:rsidR="00806D62">
        <w:rPr>
          <w:noProof/>
        </w:rPr>
        <w:t>(15)</w:t>
      </w:r>
      <w:r w:rsidR="00806D62">
        <w:fldChar w:fldCharType="end"/>
      </w:r>
      <w:r w:rsidR="00806D62">
        <w:t xml:space="preserve"> </w:t>
      </w:r>
      <w:r w:rsidRPr="008C1FD0">
        <w:t xml:space="preserve">on the transmission of infectious diseases, individual contributions to SARS-CoV2 transmission through time are modeled from an infectiousness profile,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xml:space="preserve">, generated from key biological parameters of the virus that determine the distribution of infectiousness over time. A triangle distribution is used to model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xml:space="preserve">, with infectiousness beginning after the latent period, ending after the duration of the </w:t>
      </w:r>
      <w:r w:rsidRPr="008C1FD0">
        <w:lastRenderedPageBreak/>
        <w:t>infectious period, and peaking at some point in between (</w:t>
      </w:r>
      <m:oMath>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r>
          <m:rPr>
            <m:sty m:val="bi"/>
          </m:rPr>
          <w:rPr>
            <w:rFonts w:ascii="Cambria Math" w:hAnsi="Cambria Math"/>
          </w:rPr>
          <m:t>b</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r>
          <m:rPr>
            <m:sty m:val="bi"/>
          </m:rPr>
          <w:rPr>
            <w:rFonts w:ascii="Cambria Math" w:hAnsi="Cambria Math"/>
          </w:rPr>
          <m:t>c</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and a&lt;c&lt;b ; Fig 1a).</w:t>
      </w:r>
    </w:p>
    <w:p w14:paraId="230710CC" w14:textId="4BA46EA4" w:rsidR="008C1FD0" w:rsidRPr="008C1FD0" w:rsidRDefault="008C1FD0" w:rsidP="008C1FD0">
      <w:r w:rsidRPr="008C1FD0">
        <w:t>The viral dynamics of SARS-CoV2 make control efforts challenging, as asymptomatic and presymptomatic transmission caused by high infectiousness in the absence of symptoms are common</w:t>
      </w:r>
      <w:r w:rsidR="00806D62">
        <w:t xml:space="preserve"> </w:t>
      </w:r>
      <w:r w:rsidR="00806D62">
        <w:fldChar w:fldCharType="begin"/>
      </w:r>
      <w:r w:rsidR="00806D62">
        <w:instrText xml:space="preserve"> ADDIN ZOTERO_ITEM CSL_CITATION {"citationID":"Yfsk5Vi4","properties":{"formattedCitation":"(16,17)","plainCitation":"(16,17)","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schema":"https://github.com/citation-style-language/schema/raw/master/csl-citation.json"} </w:instrText>
      </w:r>
      <w:r w:rsidR="00806D62">
        <w:fldChar w:fldCharType="separate"/>
      </w:r>
      <w:r w:rsidR="00806D62">
        <w:rPr>
          <w:noProof/>
        </w:rPr>
        <w:t>(16,17)</w:t>
      </w:r>
      <w:r w:rsidR="00806D62">
        <w:fldChar w:fldCharType="end"/>
      </w:r>
      <w:r w:rsidRPr="008C1FD0">
        <w:t xml:space="preserve">. In terms of the infectiousness profile for SARS-CoV2, this means that peak infectiousness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tends to coincide with the onset of symptoms (for cases that are symptomatic), but occurs after completion of the latent period (i.e.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&gt;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The expected number of new cases generated at time </w:t>
      </w:r>
      <m:oMath>
        <m:r>
          <m:rPr>
            <m:sty m:val="bi"/>
          </m:rPr>
          <w:rPr>
            <w:rFonts w:ascii="Cambria Math" w:hAnsi="Cambria Math"/>
          </w:rPr>
          <m:t>t</m:t>
        </m:r>
      </m:oMath>
      <w:r w:rsidRPr="008C1FD0">
        <w:t xml:space="preserve"> is thus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m:t>
            </m:r>
          </m:sub>
        </m:sSub>
        <m:r>
          <m:rPr>
            <m:sty m:val="p"/>
          </m:rPr>
          <w:rPr>
            <w:rFonts w:ascii="Cambria Math" w:hAnsi="Cambria Math"/>
          </w:rPr>
          <m:t>=</m:t>
        </m:r>
        <m:r>
          <m:rPr>
            <m:scr m:val="script"/>
            <m:sty m:val="b"/>
          </m:rPr>
          <w:rPr>
            <w:rFonts w:ascii="Cambria Math" w:hAnsi="Cambria Math"/>
          </w:rPr>
          <m:t>R</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xml:space="preserve">, where </w:t>
      </w:r>
      <m:oMath>
        <m:r>
          <m:rPr>
            <m:scr m:val="script"/>
            <m:sty m:val="b"/>
          </m:rPr>
          <w:rPr>
            <w:rFonts w:ascii="Cambria Math" w:hAnsi="Cambria Math"/>
          </w:rPr>
          <m:t>R</m:t>
        </m:r>
      </m:oMath>
      <w:r w:rsidRPr="008C1FD0">
        <w:t xml:space="preserve"> is the effective reproduction number interpreted as the expected number of cases generated by a new case over the duration of the infectious period. The model therefore assumes that new cases are most likely to be generated around the time of peak infectiousness,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Table 1 lists the distributions of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oMath>
      <w:r w:rsidRPr="008C1FD0">
        <w:t xml:space="preserve"> used here.</w:t>
      </w:r>
    </w:p>
    <w:p w14:paraId="769978CC" w14:textId="77777777" w:rsidR="00F371A2" w:rsidRDefault="008C1FD0" w:rsidP="008C1FD0">
      <w:r w:rsidRPr="008C1FD0">
        <w:t xml:space="preserve">In the presence of interventions that isolate infectious individuals prior to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oMath>
      <w:r w:rsidRPr="008C1FD0">
        <w:t xml:space="preserve">, e.g. through contact tracing, self-isolation following the onset of symptoms, or testing, the effect of isolation on </w:t>
      </w:r>
      <m:oMath>
        <m:r>
          <m:rPr>
            <m:scr m:val="script"/>
            <m:sty m:val="b"/>
          </m:rPr>
          <w:rPr>
            <w:rFonts w:ascii="Cambria Math" w:hAnsi="Cambria Math"/>
          </w:rPr>
          <m:t>R</m:t>
        </m:r>
      </m:oMath>
      <w:r w:rsidRPr="008C1FD0">
        <w:t xml:space="preserve"> can be directly estimated from the time to isolation as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sup>
          <m:e>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e>
        </m:nary>
        <m:r>
          <m:rPr>
            <m:sty m:val="bi"/>
          </m:rPr>
          <w:rPr>
            <w:rFonts w:ascii="Cambria Math" w:hAnsi="Cambria Math"/>
          </w:rPr>
          <m:t>dt</m:t>
        </m:r>
        <m:r>
          <m:rPr>
            <m:sty m:val="p"/>
          </m:rPr>
          <w:rPr>
            <w:rFonts w:ascii="Cambria Math" w:hAnsi="Cambria Math"/>
          </w:rPr>
          <m:t>)</m:t>
        </m:r>
      </m:oMath>
      <w:r w:rsidRPr="008C1FD0">
        <w:t xml:space="preserve">, where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is the time at which isolation occurs. Reducing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via improved contact tracing or more frequent testing can thus be envisioned as removing a larger slice from the overall infectiousness triangle by reducing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(Fig 1a). The size of the slice removed is dependent on the shape of the overall triangle distribution, which is primarily determined by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and the location of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in relation to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For instance, if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&gt;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then the proportional reduction in </w:t>
      </w:r>
      <m:oMath>
        <m:r>
          <m:rPr>
            <m:scr m:val="script"/>
            <m:sty m:val="b"/>
          </m:rPr>
          <w:rPr>
            <w:rFonts w:ascii="Cambria Math" w:hAnsi="Cambria Math"/>
          </w:rPr>
          <m:t>R</m:t>
        </m:r>
      </m:oMath>
      <w:r w:rsidRPr="008C1FD0">
        <w:t xml:space="preserve"> can be estimated as </w:t>
      </w:r>
      <m:oMath>
        <m:f>
          <m:fPr>
            <m:ctrlPr>
              <w:rPr>
                <w:rFonts w:ascii="Cambria Math" w:hAnsi="Cambria Math"/>
              </w:rPr>
            </m:ctrlPr>
          </m:fPr>
          <m:num>
            <m:r>
              <m:rPr>
                <m:sty m:val="bi"/>
              </m:rPr>
              <w:rPr>
                <w:rFonts w:ascii="Cambria Math" w:hAnsi="Cambria Math"/>
              </w:rPr>
              <m:t>2</m:t>
            </m:r>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r>
              <m:rPr>
                <m:sty m:val="p"/>
              </m:rPr>
              <w:rPr>
                <w:rFonts w:ascii="Cambria Math" w:hAnsi="Cambria Math"/>
              </w:rPr>
              <m:t>)</m:t>
            </m:r>
          </m:den>
        </m:f>
        <m:nary>
          <m:naryPr>
            <m:limLoc m:val="subSup"/>
            <m:ctrlPr>
              <w:rPr>
                <w:rFonts w:ascii="Cambria Math" w:hAnsi="Cambria Math"/>
              </w:rPr>
            </m:ctrlPr>
          </m:naryPr>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sup>
          <m:e>
            <m:r>
              <m:rPr>
                <m:sty m:val="p"/>
              </m:rPr>
              <w:rPr>
                <w:rFonts w:ascii="Cambria Math" w:hAnsi="Cambria Math"/>
              </w:rPr>
              <m:t>(</m:t>
            </m:r>
          </m:e>
        </m:nary>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i"/>
          </m:rPr>
          <w:rPr>
            <w:rFonts w:ascii="Cambria Math" w:hAnsi="Cambria Math"/>
          </w:rPr>
          <m:t>dt</m:t>
        </m:r>
      </m:oMath>
      <w:r w:rsidRPr="008C1FD0">
        <w:t xml:space="preserve">. </w:t>
      </w:r>
    </w:p>
    <w:p w14:paraId="611C313B" w14:textId="1FB82613" w:rsidR="008C1FD0" w:rsidRDefault="008C1FD0" w:rsidP="008C1FD0">
      <w:r w:rsidRPr="008C1FD0">
        <w:t xml:space="preserve">Figure 1b shows the relationship between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is sigmoidal, implying earlier isolation is incrementally more effective and the benefits of isolation level off later in the infectious period. Other interventions that reduce </w:t>
      </w:r>
      <m:oMath>
        <m:r>
          <m:rPr>
            <m:scr m:val="script"/>
            <m:sty m:val="b"/>
          </m:rPr>
          <w:rPr>
            <w:rFonts w:ascii="Cambria Math" w:hAnsi="Cambria Math"/>
          </w:rPr>
          <m:t>R</m:t>
        </m:r>
      </m:oMath>
      <w:r w:rsidRPr="008C1FD0">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rPr>
          <m:t>R</m:t>
        </m:r>
      </m:oMath>
      <w:r w:rsidRPr="008C1FD0">
        <w:t xml:space="preserve"> by a constant.</w:t>
      </w:r>
    </w:p>
    <w:p w14:paraId="4A7656F0" w14:textId="77777777" w:rsidR="008C1FD0" w:rsidRPr="008C1FD0" w:rsidRDefault="008C1FD0" w:rsidP="008C1FD0">
      <w:pPr>
        <w:spacing w:after="0" w:line="360" w:lineRule="auto"/>
        <w:jc w:val="both"/>
        <w:rPr>
          <w:rFonts w:eastAsia="Times New Roman" w:cstheme="majorBidi"/>
          <w:b/>
          <w:sz w:val="24"/>
          <w:szCs w:val="26"/>
        </w:rPr>
      </w:pPr>
    </w:p>
    <w:p w14:paraId="11999D72" w14:textId="77777777" w:rsidR="008C1FD0" w:rsidRPr="008C1FD0" w:rsidRDefault="008C1FD0" w:rsidP="008C1FD0">
      <w:pPr>
        <w:pStyle w:val="Subtitle"/>
        <w:rPr>
          <w:rFonts w:eastAsia="Times New Roman"/>
        </w:rPr>
      </w:pPr>
      <w:r w:rsidRPr="008C1FD0">
        <w:rPr>
          <w:rFonts w:eastAsia="Times New Roman"/>
          <w:b/>
        </w:rPr>
        <w:t>Table 1</w:t>
      </w:r>
      <w:r w:rsidRPr="008C1FD0">
        <w:rPr>
          <w:rFonts w:eastAsia="Times New Roman"/>
        </w:rPr>
        <w:t>: Distributions and parameter values used in analytic framework and model simulations</w:t>
      </w:r>
    </w:p>
    <w:tbl>
      <w:tblPr>
        <w:tblW w:w="4952" w:type="pct"/>
        <w:tblLayout w:type="fixed"/>
        <w:tblLook w:val="0020" w:firstRow="1" w:lastRow="0" w:firstColumn="0" w:lastColumn="0" w:noHBand="0" w:noVBand="0"/>
      </w:tblPr>
      <w:tblGrid>
        <w:gridCol w:w="3690"/>
        <w:gridCol w:w="4139"/>
        <w:gridCol w:w="1441"/>
      </w:tblGrid>
      <w:tr w:rsidR="00806D62" w:rsidRPr="008C1FD0" w14:paraId="0190895A" w14:textId="77777777" w:rsidTr="00806D62">
        <w:tc>
          <w:tcPr>
            <w:tcW w:w="1990" w:type="pct"/>
          </w:tcPr>
          <w:p w14:paraId="4D39DF4D"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Parameter</w:t>
            </w:r>
          </w:p>
        </w:tc>
        <w:tc>
          <w:tcPr>
            <w:tcW w:w="2232" w:type="pct"/>
          </w:tcPr>
          <w:p w14:paraId="4038725A"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Distribution</w:t>
            </w:r>
          </w:p>
        </w:tc>
        <w:tc>
          <w:tcPr>
            <w:tcW w:w="777" w:type="pct"/>
          </w:tcPr>
          <w:p w14:paraId="5087B751"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Source</w:t>
            </w:r>
          </w:p>
        </w:tc>
      </w:tr>
      <w:tr w:rsidR="00806D62" w:rsidRPr="008C1FD0" w14:paraId="7B22E687" w14:textId="77777777" w:rsidTr="00806D62">
        <w:tc>
          <w:tcPr>
            <w:tcW w:w="1990" w:type="pct"/>
          </w:tcPr>
          <w:p w14:paraId="20F1FCE4" w14:textId="249ABE44" w:rsidR="008C1FD0" w:rsidRPr="008C1FD0" w:rsidRDefault="008C1FD0" w:rsidP="008C1FD0">
            <w:pPr>
              <w:spacing w:after="0" w:line="360" w:lineRule="auto"/>
              <w:jc w:val="both"/>
              <w:rPr>
                <w:rFonts w:eastAsia="Times New Roman" w:cstheme="majorBidi"/>
                <w:b/>
                <w:szCs w:val="24"/>
                <w:vertAlign w:val="subscript"/>
              </w:rPr>
            </w:pPr>
            <w:r w:rsidRPr="008C1FD0">
              <w:rPr>
                <w:rFonts w:eastAsia="Times New Roman" w:cstheme="majorBidi"/>
                <w:b/>
                <w:szCs w:val="24"/>
              </w:rPr>
              <w:t>Incubation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00806D62">
              <w:rPr>
                <w:rFonts w:eastAsia="Times New Roman" w:cstheme="majorBidi"/>
                <w:b/>
                <w:szCs w:val="24"/>
              </w:rPr>
              <w:t>)</w:t>
            </w:r>
          </w:p>
        </w:tc>
        <w:tc>
          <w:tcPr>
            <w:tcW w:w="2232" w:type="pct"/>
          </w:tcPr>
          <w:p w14:paraId="7E7F7D55"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i/>
                <w:iCs/>
                <w:szCs w:val="24"/>
              </w:rPr>
              <w:t>Lognormal</w:t>
            </w:r>
            <w:r w:rsidRPr="008C1FD0">
              <w:rPr>
                <w:rFonts w:eastAsia="Times New Roman" w:cstheme="majorBidi"/>
                <w:bCs/>
                <w:szCs w:val="24"/>
              </w:rPr>
              <w:t>(1.63, 0.5)</w:t>
            </w:r>
          </w:p>
        </w:tc>
        <w:tc>
          <w:tcPr>
            <w:tcW w:w="777" w:type="pct"/>
          </w:tcPr>
          <w:p w14:paraId="7BF82EA8" w14:textId="4BA76E5B" w:rsidR="008C1FD0" w:rsidRPr="008C1FD0" w:rsidRDefault="00E3426E" w:rsidP="008C1FD0">
            <w:pPr>
              <w:spacing w:after="0" w:line="360" w:lineRule="auto"/>
              <w:jc w:val="both"/>
              <w:rPr>
                <w:rFonts w:eastAsia="Times New Roman" w:cstheme="majorBidi"/>
                <w:bCs/>
                <w:szCs w:val="24"/>
              </w:rPr>
            </w:pPr>
            <w:r>
              <w:rPr>
                <w:rFonts w:eastAsia="Times New Roman" w:cstheme="majorBidi"/>
                <w:bCs/>
                <w:szCs w:val="24"/>
              </w:rPr>
              <w:t>CITE</w:t>
            </w:r>
          </w:p>
        </w:tc>
      </w:tr>
      <w:tr w:rsidR="00806D62" w:rsidRPr="008C1FD0" w14:paraId="6BF4B529" w14:textId="77777777" w:rsidTr="00806D62">
        <w:tc>
          <w:tcPr>
            <w:tcW w:w="1990" w:type="pct"/>
          </w:tcPr>
          <w:p w14:paraId="04F2C0DB" w14:textId="207D26E8"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Latent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latent</m:t>
                  </m:r>
                </m:sub>
              </m:sSub>
            </m:oMath>
            <w:r w:rsidR="00806D62">
              <w:rPr>
                <w:rFonts w:eastAsia="Times New Roman" w:cstheme="majorBidi"/>
                <w:b/>
                <w:szCs w:val="24"/>
              </w:rPr>
              <w:t>)</w:t>
            </w:r>
          </w:p>
        </w:tc>
        <w:tc>
          <w:tcPr>
            <w:tcW w:w="2232" w:type="pct"/>
          </w:tcPr>
          <w:p w14:paraId="6FDD561E" w14:textId="1B9C948F" w:rsidR="008C1FD0" w:rsidRPr="008C1FD0" w:rsidRDefault="00806D62" w:rsidP="008C1FD0">
            <w:pPr>
              <w:spacing w:after="0" w:line="360" w:lineRule="auto"/>
              <w:jc w:val="both"/>
              <w:rPr>
                <w:rFonts w:eastAsia="Times New Roman" w:cstheme="majorBidi"/>
                <w:bCs/>
                <w:szCs w:val="24"/>
              </w:rPr>
            </w:pP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008C1FD0" w:rsidRPr="008C1FD0">
              <w:rPr>
                <w:rFonts w:eastAsia="Times New Roman" w:cstheme="majorBidi"/>
                <w:bCs/>
                <w:szCs w:val="24"/>
              </w:rPr>
              <w:t xml:space="preserve"> + </w:t>
            </w:r>
            <w:r w:rsidR="008C1FD0" w:rsidRPr="008C1FD0">
              <w:rPr>
                <w:rFonts w:eastAsia="Times New Roman" w:cstheme="majorBidi"/>
                <w:bCs/>
                <w:i/>
                <w:iCs/>
                <w:szCs w:val="24"/>
              </w:rPr>
              <w:t>Uniform</w:t>
            </w:r>
            <w:r w:rsidR="008C1FD0" w:rsidRPr="008C1FD0">
              <w:rPr>
                <w:rFonts w:eastAsia="Times New Roman" w:cstheme="majorBidi"/>
                <w:bCs/>
                <w:szCs w:val="24"/>
              </w:rPr>
              <w:t>(-2,</w:t>
            </w:r>
            <w:r>
              <w:rPr>
                <w:rFonts w:eastAsia="Times New Roman" w:cstheme="majorBidi"/>
                <w:bCs/>
                <w:szCs w:val="24"/>
              </w:rPr>
              <w:t xml:space="preserve"> </w:t>
            </w:r>
            <w:r w:rsidR="008C1FD0" w:rsidRPr="008C1FD0">
              <w:rPr>
                <w:rFonts w:eastAsia="Times New Roman" w:cstheme="majorBidi"/>
                <w:bCs/>
                <w:szCs w:val="24"/>
              </w:rPr>
              <w:t>0)</w:t>
            </w:r>
          </w:p>
        </w:tc>
        <w:tc>
          <w:tcPr>
            <w:tcW w:w="777" w:type="pct"/>
          </w:tcPr>
          <w:p w14:paraId="193D9E75"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CITE</w:t>
            </w:r>
          </w:p>
        </w:tc>
      </w:tr>
      <w:tr w:rsidR="00806D62" w:rsidRPr="008C1FD0" w14:paraId="727CBBDB" w14:textId="77777777" w:rsidTr="00806D62">
        <w:tc>
          <w:tcPr>
            <w:tcW w:w="1990" w:type="pct"/>
          </w:tcPr>
          <w:p w14:paraId="25D6CAC0" w14:textId="5DB2AD94"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Infectious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infectious</m:t>
                  </m:r>
                </m:sub>
              </m:sSub>
            </m:oMath>
            <w:r w:rsidR="00806D62">
              <w:rPr>
                <w:rFonts w:eastAsia="Times New Roman" w:cstheme="majorBidi"/>
                <w:b/>
                <w:szCs w:val="24"/>
              </w:rPr>
              <w:t>)</w:t>
            </w:r>
          </w:p>
        </w:tc>
        <w:tc>
          <w:tcPr>
            <w:tcW w:w="2232" w:type="pct"/>
          </w:tcPr>
          <w:p w14:paraId="3C2CEE1C" w14:textId="4CC423C2"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Pr="008C1FD0">
              <w:rPr>
                <w:rFonts w:eastAsia="Times New Roman" w:cstheme="majorBidi"/>
                <w:bCs/>
                <w:szCs w:val="24"/>
              </w:rPr>
              <w:t>-</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latent</m:t>
                  </m:r>
                </m:sub>
              </m:sSub>
            </m:oMath>
            <w:r w:rsidRPr="008C1FD0">
              <w:rPr>
                <w:rFonts w:eastAsia="Times New Roman" w:cstheme="majorBidi"/>
                <w:bCs/>
                <w:szCs w:val="24"/>
              </w:rPr>
              <w:t xml:space="preserve">) + </w:t>
            </w:r>
            <w:r w:rsidRPr="008C1FD0">
              <w:rPr>
                <w:rFonts w:eastAsia="Times New Roman" w:cstheme="majorBidi"/>
                <w:bCs/>
                <w:i/>
                <w:iCs/>
                <w:szCs w:val="24"/>
              </w:rPr>
              <w:t>Uniform</w:t>
            </w:r>
            <w:r w:rsidRPr="008C1FD0">
              <w:rPr>
                <w:rFonts w:eastAsia="Times New Roman" w:cstheme="majorBidi"/>
                <w:bCs/>
                <w:szCs w:val="24"/>
              </w:rPr>
              <w:t>(6.5,</w:t>
            </w:r>
            <w:r w:rsidR="00806D62">
              <w:rPr>
                <w:rFonts w:eastAsia="Times New Roman" w:cstheme="majorBidi"/>
                <w:bCs/>
                <w:szCs w:val="24"/>
              </w:rPr>
              <w:t xml:space="preserve"> </w:t>
            </w:r>
            <w:r w:rsidRPr="008C1FD0">
              <w:rPr>
                <w:rFonts w:eastAsia="Times New Roman" w:cstheme="majorBidi"/>
                <w:bCs/>
                <w:szCs w:val="24"/>
              </w:rPr>
              <w:t>9.5)</w:t>
            </w:r>
          </w:p>
        </w:tc>
        <w:tc>
          <w:tcPr>
            <w:tcW w:w="777" w:type="pct"/>
          </w:tcPr>
          <w:p w14:paraId="22B77127"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CITE</w:t>
            </w:r>
          </w:p>
        </w:tc>
      </w:tr>
      <w:tr w:rsidR="00806D62" w:rsidRPr="008C1FD0" w14:paraId="43E2B7D5" w14:textId="77777777" w:rsidTr="00806D62">
        <w:tc>
          <w:tcPr>
            <w:tcW w:w="1990" w:type="pct"/>
          </w:tcPr>
          <w:p w14:paraId="363FC6D5"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Community Prevalence</w:t>
            </w:r>
          </w:p>
        </w:tc>
        <w:tc>
          <w:tcPr>
            <w:tcW w:w="2232" w:type="pct"/>
          </w:tcPr>
          <w:p w14:paraId="47BBA009"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[0.1%, 0.5%, 1%]</w:t>
            </w:r>
          </w:p>
        </w:tc>
        <w:tc>
          <w:tcPr>
            <w:tcW w:w="777" w:type="pct"/>
          </w:tcPr>
          <w:p w14:paraId="03F75E21"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CITE</w:t>
            </w:r>
          </w:p>
        </w:tc>
      </w:tr>
      <w:tr w:rsidR="00806D62" w:rsidRPr="008C1FD0" w14:paraId="561FC10B" w14:textId="77777777" w:rsidTr="00806D62">
        <w:tc>
          <w:tcPr>
            <w:tcW w:w="1990" w:type="pct"/>
          </w:tcPr>
          <w:p w14:paraId="6BB347C9" w14:textId="29B70050" w:rsidR="008C1FD0" w:rsidRPr="008C1FD0" w:rsidRDefault="00806D62" w:rsidP="008C1FD0">
            <w:pPr>
              <w:spacing w:after="0" w:line="360" w:lineRule="auto"/>
              <w:jc w:val="both"/>
              <w:rPr>
                <w:rFonts w:eastAsia="Times New Roman" w:cstheme="majorBidi"/>
                <w:b/>
                <w:szCs w:val="24"/>
              </w:rPr>
            </w:pPr>
            <m:oMathPara>
              <m:oMathParaPr>
                <m:jc m:val="left"/>
              </m:oMathParaPr>
              <m:oMath>
                <m:r>
                  <m:rPr>
                    <m:scr m:val="script"/>
                    <m:sty m:val="bi"/>
                  </m:rPr>
                  <w:rPr>
                    <w:rFonts w:ascii="Cambria Math" w:eastAsia="Times New Roman" w:hAnsi="Cambria Math" w:cstheme="majorBidi"/>
                    <w:szCs w:val="24"/>
                  </w:rPr>
                  <m:t>R</m:t>
                </m:r>
              </m:oMath>
            </m:oMathPara>
          </w:p>
        </w:tc>
        <w:tc>
          <w:tcPr>
            <w:tcW w:w="2232" w:type="pct"/>
          </w:tcPr>
          <w:p w14:paraId="57D5C8F4"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[0.5, 1.0, 1.5]</w:t>
            </w:r>
          </w:p>
        </w:tc>
        <w:tc>
          <w:tcPr>
            <w:tcW w:w="777" w:type="pct"/>
          </w:tcPr>
          <w:p w14:paraId="3F8B17E0"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CITE</w:t>
            </w:r>
          </w:p>
        </w:tc>
      </w:tr>
    </w:tbl>
    <w:p w14:paraId="245721AF" w14:textId="77777777" w:rsidR="008C1FD0" w:rsidRDefault="008C1FD0" w:rsidP="008C1FD0"/>
    <w:p w14:paraId="1B3DA694" w14:textId="60AE9356" w:rsidR="008C1FD0" w:rsidRPr="008C1FD0" w:rsidRDefault="008C1FD0" w:rsidP="008C1FD0">
      <w:r w:rsidRPr="008C1FD0">
        <w:t xml:space="preserve">Assuming testing is independent of symptoms, known contacts, and other reasons for explicitly seeking testing, the probability of going </w:t>
      </w:r>
      <m:oMath>
        <m:r>
          <m:rPr>
            <m:sty m:val="bi"/>
          </m:rPr>
          <w:rPr>
            <w:rFonts w:ascii="Cambria Math" w:hAnsi="Cambria Math"/>
          </w:rPr>
          <m:t>t</m:t>
        </m:r>
      </m:oMath>
      <w:r w:rsidRPr="008C1FD0">
        <w:t xml:space="preserve"> days without being tested from the testing frequency, </w:t>
      </w:r>
      <m:oMath>
        <m:r>
          <m:rPr>
            <m:sty m:val="bi"/>
          </m:rPr>
          <w:rPr>
            <w:rFonts w:ascii="Cambria Math" w:hAnsi="Cambria Math"/>
          </w:rPr>
          <m:t>f</m:t>
        </m:r>
      </m:oMath>
      <w:r w:rsidRPr="008C1FD0">
        <w:t xml:space="preserve">, can be estimated as </w:t>
      </w:r>
      <m:oMath>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f</m:t>
        </m:r>
        <m:sSup>
          <m:sSupPr>
            <m:ctrlPr>
              <w:rPr>
                <w:rFonts w:ascii="Cambria Math" w:hAnsi="Cambria Math"/>
              </w:rPr>
            </m:ctrlPr>
          </m:sSupPr>
          <m:e>
            <m:r>
              <m:rPr>
                <m:sty m:val="p"/>
              </m:rPr>
              <w:rPr>
                <w:rFonts w:ascii="Cambria Math" w:hAnsi="Cambria Math"/>
              </w:rPr>
              <m:t>)</m:t>
            </m:r>
          </m:e>
          <m:sup>
            <m:r>
              <m:rPr>
                <m:sty m:val="bi"/>
              </m:rPr>
              <w:rPr>
                <w:rFonts w:ascii="Cambria Math" w:hAnsi="Cambria Math"/>
              </w:rPr>
              <m:t>t</m:t>
            </m:r>
          </m:sup>
        </m:sSup>
      </m:oMath>
      <w:r w:rsidRPr="008C1FD0">
        <w:t xml:space="preserve"> and the probability that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oMath>
      <w:r w:rsidRPr="008C1FD0">
        <w:t xml:space="preserve"> as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f</m:t>
        </m:r>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oMath>
      <w:r w:rsidRPr="008C1FD0">
        <w:t xml:space="preserve">, assuming </w:t>
      </w:r>
      <w:r w:rsidRPr="008C1FD0">
        <w:lastRenderedPageBreak/>
        <w:t xml:space="preserve">isolation occurs immediately after testing. Given substantial turnaround times between testing and isolation, particularly when relying on PCR-based tests, the delay between testing and isolation, </w:t>
      </w:r>
      <m:oMath>
        <m:r>
          <m:rPr>
            <m:sty m:val="bi"/>
          </m:rPr>
          <w:rPr>
            <w:rFonts w:ascii="Cambria Math" w:hAnsi="Cambria Math"/>
          </w:rPr>
          <m:t>d</m:t>
        </m:r>
      </m:oMath>
      <w:r w:rsidRPr="008C1FD0">
        <w:t xml:space="preserve">, can also be incorporated as: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1</m:t>
            </m:r>
          </m:num>
          <m:den>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r>
              <m:rPr>
                <m:sty m:val="p"/>
              </m:rPr>
              <w:rPr>
                <w:rFonts w:ascii="Cambria Math" w:hAnsi="Cambria Math"/>
              </w:rPr>
              <m:t>+</m:t>
            </m:r>
            <m:r>
              <m:rPr>
                <m:sty m:val="bi"/>
              </m:rPr>
              <w:rPr>
                <w:rFonts w:ascii="Cambria Math" w:hAnsi="Cambria Math"/>
              </w:rPr>
              <m:t>d</m:t>
            </m:r>
          </m:den>
        </m:f>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oMath>
      <w:r w:rsidRPr="008C1FD0">
        <w:t xml:space="preserve">, where </w:t>
      </w:r>
      <m:oMath>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oMath>
      <w:r w:rsidRPr="008C1FD0">
        <w:t xml:space="preserve"> is simply the average number of days between tests. Figure 1d shows that such delays have a detrimental effect that is greater than additive on the probability of achieving prompt isolation. For example, with a daily testing frequency and no delay,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0</m:t>
        </m:r>
        <m:r>
          <m:rPr>
            <m:sty m:val="p"/>
          </m:rPr>
          <w:rPr>
            <w:rFonts w:ascii="Cambria Math" w:hAnsi="Cambria Math"/>
          </w:rPr>
          <m:t>)=</m:t>
        </m:r>
        <m:r>
          <m:rPr>
            <m:sty m:val="bi"/>
          </m:rPr>
          <w:rPr>
            <w:rFonts w:ascii="Cambria Math" w:hAnsi="Cambria Math"/>
          </w:rPr>
          <m:t>1</m:t>
        </m:r>
      </m:oMath>
      <w:r w:rsidRPr="008C1FD0">
        <w:t xml:space="preserve">. However, increasing the delay to 1 or 2 days leads to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1</m:t>
        </m:r>
        <m:r>
          <m:rPr>
            <m:sty m:val="p"/>
          </m:rPr>
          <w:rPr>
            <w:rFonts w:ascii="Cambria Math" w:hAnsi="Cambria Math"/>
          </w:rPr>
          <m:t>)=</m:t>
        </m:r>
      </m:oMath>
      <w:r w:rsidRPr="008C1FD0">
        <w:t xml:space="preserve"> 0.875 and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2</m:t>
        </m:r>
        <m:r>
          <m:rPr>
            <m:sty m:val="p"/>
          </m:rPr>
          <w:rPr>
            <w:rFonts w:ascii="Cambria Math" w:hAnsi="Cambria Math"/>
          </w:rPr>
          <m:t>)=</m:t>
        </m:r>
      </m:oMath>
      <w:r w:rsidRPr="008C1FD0">
        <w:t xml:space="preserve"> 0.704, respectively.</w:t>
      </w:r>
    </w:p>
    <w:p w14:paraId="272C3E9A" w14:textId="63EAF327" w:rsidR="008C1FD0" w:rsidRPr="008C1FD0" w:rsidRDefault="008C1FD0" w:rsidP="008C1FD0">
      <w:r w:rsidRPr="008C1FD0">
        <w:t xml:space="preserve">Testing frequency and delay can also be incorporated into estimation of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essentially as the infectiousness on day </w:t>
      </w:r>
      <m:oMath>
        <m:r>
          <m:rPr>
            <m:sty m:val="bi"/>
          </m:rPr>
          <w:rPr>
            <w:rFonts w:ascii="Cambria Math" w:hAnsi="Cambria Math"/>
          </w:rPr>
          <m:t>τ</m:t>
        </m:r>
      </m:oMath>
      <w:r w:rsidRPr="008C1FD0">
        <w:t xml:space="preserve"> weighted by the probability of remaining un-isolated on day </w:t>
      </w:r>
      <m:oMath>
        <m:r>
          <m:rPr>
            <m:sty m:val="bi"/>
          </m:rPr>
          <w:rPr>
            <w:rFonts w:ascii="Cambria Math" w:hAnsi="Cambria Math"/>
          </w:rPr>
          <m:t>τ</m:t>
        </m:r>
      </m:oMath>
      <w:r w:rsidRPr="008C1FD0">
        <w:t xml:space="preserve"> :</w:t>
      </w:r>
    </w:p>
    <w:p w14:paraId="676A74AE" w14:textId="55642D87" w:rsidR="008C1FD0" w:rsidRPr="008C1FD0" w:rsidRDefault="008C1FD0" w:rsidP="008C1FD0">
      <m:oMathPara>
        <m:oMathParaPr>
          <m:jc m:val="center"/>
        </m:oMathParaPr>
        <m:oMath>
          <m:r>
            <m:rPr>
              <m:scr m:val="double-struck"/>
              <m:sty m:val="p"/>
            </m:rPr>
            <w:rPr>
              <w:rFonts w:ascii="Cambria Math" w:hAnsi="Cambria Math"/>
            </w:rPr>
            <m:t>E[</m:t>
          </m:r>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cr m:val="script"/>
              <m:sty m:val="b"/>
            </m:rPr>
            <w:rPr>
              <w:rFonts w:ascii="Cambria Math" w:hAnsi="Cambria Math"/>
            </w:rPr>
            <m:t>R</m:t>
          </m:r>
          <m:nary>
            <m:naryPr>
              <m:limLoc m:val="subSup"/>
              <m:ctrlPr>
                <w:rPr>
                  <w:rFonts w:ascii="Cambria Math" w:hAnsi="Cambria Math"/>
                </w:rPr>
              </m:ctrlPr>
            </m:naryPr>
            <m:sub>
              <m:r>
                <m:rPr>
                  <m:sty m:val="bi"/>
                </m:rPr>
                <w:rPr>
                  <w:rFonts w:ascii="Cambria Math" w:hAnsi="Cambria Math"/>
                </w:rPr>
                <m:t>τ</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sup>
            <m:e>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τ</m:t>
                  </m:r>
                </m:sub>
              </m:sSub>
            </m:e>
          </m:nary>
          <m:r>
            <m:rPr>
              <m:sty m:val="p"/>
            </m:rPr>
            <w:rPr>
              <w:rFonts w:ascii="Cambria Math" w:hAnsi="Cambria Math"/>
            </w:rPr>
            <m:t>(</m:t>
          </m:r>
          <m:r>
            <m:rPr>
              <m:sty m:val="bi"/>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1</m:t>
              </m:r>
            </m:num>
            <m:den>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r>
                <m:rPr>
                  <m:sty m:val="p"/>
                </m:rPr>
                <w:rPr>
                  <w:rFonts w:ascii="Cambria Math" w:hAnsi="Cambria Math"/>
                </w:rPr>
                <m:t>+</m:t>
              </m:r>
              <m:r>
                <m:rPr>
                  <m:sty m:val="bi"/>
                </m:rPr>
                <w:rPr>
                  <w:rFonts w:ascii="Cambria Math" w:hAnsi="Cambria Math"/>
                </w:rPr>
                <m:t>d</m:t>
              </m:r>
            </m:den>
          </m:f>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r>
            <m:rPr>
              <m:sty m:val="bi"/>
            </m:rPr>
            <w:rPr>
              <w:rFonts w:ascii="Cambria Math" w:hAnsi="Cambria Math"/>
            </w:rPr>
            <m:t>dτ</m:t>
          </m:r>
        </m:oMath>
      </m:oMathPara>
    </w:p>
    <w:p w14:paraId="7A0B3623" w14:textId="4F9C7C57" w:rsidR="008C1FD0" w:rsidRPr="008C1FD0" w:rsidRDefault="008C1FD0" w:rsidP="008C1FD0">
      <w:r w:rsidRPr="008C1FD0">
        <w:t xml:space="preserve">Figure 1c shows distributions of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iso</m:t>
            </m:r>
          </m:sub>
        </m:sSub>
      </m:oMath>
      <w:r w:rsidRPr="008C1FD0">
        <w:t xml:space="preserve"> derived from 100 random draws sampling from uncertainty in the SARS-CoV2 latent, peak, and total infectious periods, across test frequencies ranging from daily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to biweekly (</w:t>
      </w:r>
      <m:oMath>
        <m:r>
          <m:rPr>
            <m:sty m:val="bi"/>
          </m:rPr>
          <w:rPr>
            <w:rFonts w:ascii="Cambria Math" w:hAnsi="Cambria Math"/>
          </w:rPr>
          <m:t>f</m:t>
        </m:r>
        <m:r>
          <m:rPr>
            <m:sty m:val="p"/>
          </m:rPr>
          <w:rPr>
            <w:rFonts w:ascii="Cambria Math" w:hAnsi="Cambria Math"/>
          </w:rPr>
          <m:t>=</m:t>
        </m:r>
        <m:r>
          <m:rPr>
            <m:sty m:val="bi"/>
          </m:rPr>
          <w:rPr>
            <w:rFonts w:ascii="Cambria Math" w:hAnsi="Cambria Math"/>
          </w:rPr>
          <m:t>14</m:t>
        </m:r>
      </m:oMath>
      <w:r w:rsidRPr="008C1FD0">
        <w:t xml:space="preserve">) and test delays from 0 to 2 days. These results again reiterate the importance of reducing test delays, as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is approximately the same when testing every day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with a two-day turnaround time for test results (</w:t>
      </w:r>
      <m:oMath>
        <m:r>
          <m:rPr>
            <m:sty m:val="bi"/>
          </m:rPr>
          <w:rPr>
            <w:rFonts w:ascii="Cambria Math" w:hAnsi="Cambria Math"/>
          </w:rPr>
          <m:t>d</m:t>
        </m:r>
        <m:r>
          <m:rPr>
            <m:sty m:val="p"/>
          </m:rPr>
          <w:rPr>
            <w:rFonts w:ascii="Cambria Math" w:hAnsi="Cambria Math"/>
          </w:rPr>
          <m:t>=</m:t>
        </m:r>
        <m:r>
          <m:rPr>
            <m:sty m:val="bi"/>
          </m:rPr>
          <w:rPr>
            <w:rFonts w:ascii="Cambria Math" w:hAnsi="Cambria Math"/>
          </w:rPr>
          <m:t>2</m:t>
        </m:r>
      </m:oMath>
      <w:r w:rsidRPr="008C1FD0">
        <w:t>) vs testing every three days (</w:t>
      </w:r>
      <m:oMath>
        <m:r>
          <m:rPr>
            <m:sty m:val="bi"/>
          </m:rPr>
          <w:rPr>
            <w:rFonts w:ascii="Cambria Math" w:hAnsi="Cambria Math"/>
          </w:rPr>
          <m:t>f</m:t>
        </m:r>
        <m:r>
          <m:rPr>
            <m:sty m:val="p"/>
          </m:rPr>
          <w:rPr>
            <w:rFonts w:ascii="Cambria Math" w:hAnsi="Cambria Math"/>
          </w:rPr>
          <m:t>=</m:t>
        </m:r>
        <m:r>
          <m:rPr>
            <m:sty m:val="bi"/>
          </m:rPr>
          <w:rPr>
            <w:rFonts w:ascii="Cambria Math" w:hAnsi="Cambria Math"/>
          </w:rPr>
          <m:t>3</m:t>
        </m:r>
      </m:oMath>
      <w:r w:rsidRPr="008C1FD0">
        <w:t>) with immediate test results (</w:t>
      </w:r>
      <m:oMath>
        <m:r>
          <m:rPr>
            <m:sty m:val="bi"/>
          </m:rPr>
          <w:rPr>
            <w:rFonts w:ascii="Cambria Math" w:hAnsi="Cambria Math"/>
          </w:rPr>
          <m:t>d</m:t>
        </m:r>
        <m:r>
          <m:rPr>
            <m:sty m:val="p"/>
          </m:rPr>
          <w:rPr>
            <w:rFonts w:ascii="Cambria Math" w:hAnsi="Cambria Math"/>
          </w:rPr>
          <m:t>=</m:t>
        </m:r>
        <m:r>
          <m:rPr>
            <m:sty m:val="bi"/>
          </m:rPr>
          <w:rPr>
            <w:rFonts w:ascii="Cambria Math" w:hAnsi="Cambria Math"/>
          </w:rPr>
          <m:t>0</m:t>
        </m:r>
      </m:oMath>
      <w:r w:rsidRPr="008C1FD0">
        <w:t xml:space="preserve">) (fig 1c, median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0</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3</m:t>
        </m:r>
        <m:r>
          <m:rPr>
            <m:sty m:val="p"/>
          </m:rPr>
          <w:rPr>
            <w:rFonts w:ascii="Cambria Math" w:hAnsi="Cambria Math"/>
          </w:rPr>
          <m:t>)=</m:t>
        </m:r>
      </m:oMath>
      <w:r w:rsidRPr="008C1FD0">
        <w:t xml:space="preserve"> 0.35 and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2</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oMath>
      <w:r w:rsidRPr="008C1FD0">
        <w:t xml:space="preserve"> 0.34, respectively).</w:t>
      </w:r>
    </w:p>
    <w:p w14:paraId="1B28D161"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sz w:val="24"/>
          <w:szCs w:val="26"/>
        </w:rPr>
        <w:drawing>
          <wp:inline distT="0" distB="0" distL="0" distR="0" wp14:anchorId="21DA3DC8" wp14:editId="4C80E3F8">
            <wp:extent cx="5334000" cy="4000500"/>
            <wp:effectExtent l="0" t="0" r="0" b="0"/>
            <wp:docPr id="1" name="Picture"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07F5490A" w14:textId="0466CEA9" w:rsidR="008C1FD0" w:rsidRPr="008C1FD0" w:rsidRDefault="008C1FD0" w:rsidP="008C1FD0">
      <w:pPr>
        <w:pStyle w:val="Subtitle"/>
        <w:rPr>
          <w:rFonts w:eastAsia="Times New Roman"/>
        </w:rPr>
      </w:pPr>
      <w:r w:rsidRPr="008C1FD0">
        <w:rPr>
          <w:rFonts w:eastAsia="Times New Roman"/>
          <w:b/>
        </w:rPr>
        <w:t>Figure 1. Model framework and analytic results</w:t>
      </w:r>
      <w:r w:rsidRPr="008C1FD0">
        <w:rPr>
          <w:rFonts w:eastAsia="Times New Roman"/>
          <w:bCs/>
        </w:rPr>
        <w:t>.</w:t>
      </w:r>
      <w:r w:rsidRPr="008C1FD0">
        <w:rPr>
          <w:rFonts w:eastAsia="Times New Roman"/>
        </w:rPr>
        <w:t xml:space="preserve"> A) Example infectiousness profile for </w:t>
      </w:r>
      <m:oMath>
        <m:r>
          <m:rPr>
            <m:scr m:val="script"/>
            <m:sty m:val="b"/>
          </m:rPr>
          <w:rPr>
            <w:rFonts w:ascii="Cambria Math" w:eastAsia="Times New Roman" w:hAnsi="Cambria Math"/>
          </w:rPr>
          <m:t>R</m:t>
        </m:r>
        <m:r>
          <m:rPr>
            <m:sty m:val="p"/>
          </m:rPr>
          <w:rPr>
            <w:rFonts w:ascii="Cambria Math" w:eastAsia="Times New Roman" w:hAnsi="Cambria Math"/>
          </w:rPr>
          <m:t>=</m:t>
        </m:r>
        <m:r>
          <m:rPr>
            <m:sty m:val="b"/>
          </m:rPr>
          <w:rPr>
            <w:rFonts w:ascii="Cambria Math" w:eastAsia="Times New Roman" w:hAnsi="Cambria Math"/>
          </w:rPr>
          <m:t>1</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latent</m:t>
            </m:r>
          </m:sub>
        </m:sSub>
        <m:r>
          <m:rPr>
            <m:sty m:val="p"/>
          </m:rPr>
          <w:rPr>
            <w:rFonts w:ascii="Cambria Math" w:eastAsia="Times New Roman" w:hAnsi="Cambria Math"/>
          </w:rPr>
          <m:t>=</m:t>
        </m:r>
        <m:r>
          <m:rPr>
            <m:sty m:val="b"/>
          </m:rPr>
          <w:rPr>
            <w:rFonts w:ascii="Cambria Math" w:eastAsia="Times New Roman" w:hAnsi="Cambria Math"/>
          </w:rPr>
          <m:t>3</m:t>
        </m:r>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peak</m:t>
            </m:r>
          </m:sub>
        </m:sSub>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infectious</m:t>
            </m:r>
          </m:sub>
        </m:sSub>
        <m:r>
          <m:rPr>
            <m:sty m:val="p"/>
          </m:rPr>
          <w:rPr>
            <w:rFonts w:ascii="Cambria Math" w:eastAsia="Times New Roman" w:hAnsi="Cambria Math"/>
          </w:rPr>
          <m:t>=</m:t>
        </m:r>
        <m:r>
          <m:rPr>
            <m:sty m:val="b"/>
          </m:rPr>
          <w:rPr>
            <w:rFonts w:ascii="Cambria Math" w:eastAsia="Times New Roman" w:hAnsi="Cambria Math"/>
          </w:rPr>
          <m:t>10</m:t>
        </m:r>
      </m:oMath>
      <w:r w:rsidRPr="008C1FD0">
        <w:rPr>
          <w:rFonts w:eastAsia="Times New Roman"/>
        </w:rPr>
        <w:t xml:space="preserve">, with shaded area demonstrating infectiousness slice removed if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r>
          <m:rPr>
            <m:sty m:val="p"/>
          </m:rPr>
          <w:rPr>
            <w:rFonts w:ascii="Cambria Math" w:eastAsia="Times New Roman" w:hAnsi="Cambria Math"/>
          </w:rPr>
          <m:t>=</m:t>
        </m:r>
        <m:r>
          <m:rPr>
            <m:sty m:val="b"/>
          </m:rPr>
          <w:rPr>
            <w:rFonts w:ascii="Cambria Math" w:eastAsia="Times New Roman" w:hAnsi="Cambria Math"/>
          </w:rPr>
          <m:t>7</m:t>
        </m:r>
      </m:oMath>
      <w:r w:rsidRPr="008C1FD0">
        <w:rPr>
          <w:rFonts w:eastAsia="Times New Roman"/>
        </w:rPr>
        <w:t xml:space="preserve">, leading to </w:t>
      </w:r>
      <m:oMath>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r>
          <m:rPr>
            <m:sty m:val="b"/>
          </m:rPr>
          <w:rPr>
            <w:rFonts w:ascii="Cambria Math" w:eastAsia="Times New Roman" w:hAnsi="Cambria Math"/>
          </w:rPr>
          <m:t>0</m:t>
        </m:r>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B) </w:t>
      </w:r>
      <m:oMath>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oMath>
      <w:r w:rsidRPr="008C1FD0">
        <w:rPr>
          <w:rFonts w:eastAsia="Times New Roman"/>
        </w:rPr>
        <w:t xml:space="preserve"> as a function of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oMath>
      <w:r w:rsidRPr="008C1FD0">
        <w:rPr>
          <w:rFonts w:eastAsia="Times New Roman"/>
        </w:rPr>
        <w:t xml:space="preserve"> with same parameters as in A and point indicating scenario depicted in A. C) Boxplots showing distributions of </w:t>
      </w:r>
      <m:oMath>
        <m:r>
          <m:rPr>
            <m:scr m:val="double-struck"/>
            <m:sty m:val="p"/>
          </m:rPr>
          <w:rPr>
            <w:rFonts w:ascii="Cambria Math" w:eastAsia="Times New Roman" w:hAnsi="Cambria Math"/>
          </w:rPr>
          <m:t>E[</m:t>
        </m:r>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sSub>
          <m:sSubPr>
            <m:ctrlPr>
              <w:rPr>
                <w:rFonts w:ascii="Cambria Math" w:eastAsia="Times New Roman" w:hAnsi="Cambria Math"/>
              </w:rPr>
            </m:ctrlPr>
          </m:sSubPr>
          <m:e>
            <m:r>
              <m:rPr>
                <m:sty m:val="bi"/>
              </m:rPr>
              <w:rPr>
                <w:rFonts w:ascii="Cambria Math" w:eastAsia="Times New Roman" w:hAnsi="Cambria Math"/>
              </w:rPr>
              <m:t>β</m:t>
            </m:r>
          </m:e>
          <m:sub>
            <m:r>
              <m:rPr>
                <m:sty m:val="bi"/>
              </m:rPr>
              <w:rPr>
                <w:rFonts w:ascii="Cambria Math" w:eastAsia="Times New Roman" w:hAnsi="Cambria Math"/>
              </w:rPr>
              <m:t>t</m:t>
            </m:r>
          </m:sub>
        </m:sSub>
        <m:r>
          <m:rPr>
            <m:sty m:val="p"/>
          </m:rPr>
          <w:rPr>
            <w:rFonts w:ascii="Cambria Math" w:eastAsia="Times New Roman" w:hAnsi="Cambria Math"/>
          </w:rPr>
          <m:t>,</m:t>
        </m:r>
        <m:r>
          <m:rPr>
            <m:sty m:val="bi"/>
          </m:rPr>
          <w:rPr>
            <w:rFonts w:ascii="Cambria Math" w:eastAsia="Times New Roman" w:hAnsi="Cambria Math"/>
          </w:rPr>
          <m:t>f</m:t>
        </m:r>
        <m:r>
          <m:rPr>
            <m:sty m:val="p"/>
          </m:rPr>
          <w:rPr>
            <w:rFonts w:ascii="Cambria Math" w:eastAsia="Times New Roman" w:hAnsi="Cambria Math"/>
          </w:rPr>
          <m:t>,</m:t>
        </m:r>
        <m:r>
          <m:rPr>
            <m:sty m:val="bi"/>
          </m:rPr>
          <w:rPr>
            <w:rFonts w:ascii="Cambria Math" w:eastAsia="Times New Roman" w:hAnsi="Cambria Math"/>
          </w:rPr>
          <m:t>d</m:t>
        </m:r>
        <m:r>
          <m:rPr>
            <m:sty m:val="p"/>
          </m:rPr>
          <w:rPr>
            <w:rFonts w:ascii="Cambria Math" w:eastAsia="Times New Roman" w:hAnsi="Cambria Math"/>
          </w:rPr>
          <m:t>]</m:t>
        </m:r>
      </m:oMath>
      <w:r w:rsidRPr="008C1FD0">
        <w:rPr>
          <w:rFonts w:eastAsia="Times New Roman"/>
        </w:rPr>
        <w:t xml:space="preserve"> as a function of testing frequency, </w:t>
      </w:r>
      <m:oMath>
        <m:r>
          <m:rPr>
            <m:sty m:val="bi"/>
          </m:rPr>
          <w:rPr>
            <w:rFonts w:ascii="Cambria Math" w:eastAsia="Times New Roman" w:hAnsi="Cambria Math"/>
          </w:rPr>
          <m:t>f</m:t>
        </m:r>
      </m:oMath>
      <w:r w:rsidRPr="008C1FD0">
        <w:rPr>
          <w:rFonts w:eastAsia="Times New Roman"/>
        </w:rPr>
        <w:t xml:space="preserve">, and test delay, </w:t>
      </w:r>
      <m:oMath>
        <m:r>
          <m:rPr>
            <m:sty m:val="bi"/>
          </m:rPr>
          <w:rPr>
            <w:rFonts w:ascii="Cambria Math" w:eastAsia="Times New Roman" w:hAnsi="Cambria Math"/>
          </w:rPr>
          <m:t>d</m:t>
        </m:r>
      </m:oMath>
      <w:r w:rsidRPr="008C1FD0">
        <w:rPr>
          <w:rFonts w:eastAsia="Times New Roman"/>
        </w:rPr>
        <w:t xml:space="preserve">, incorporating uncertainty in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latent</m:t>
            </m:r>
          </m:sub>
        </m:sSub>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peak</m:t>
            </m:r>
          </m:sub>
        </m:sSub>
      </m:oMath>
      <w:r w:rsidRPr="008C1FD0">
        <w:rPr>
          <w:rFonts w:eastAsia="Times New Roman"/>
        </w:rPr>
        <w:t xml:space="preserve">, and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infectious</m:t>
            </m:r>
          </m:sub>
        </m:sSub>
      </m:oMath>
      <w:r w:rsidRPr="008C1FD0">
        <w:rPr>
          <w:rFonts w:eastAsia="Times New Roman"/>
        </w:rPr>
        <w:t xml:space="preserve"> by drawing </w:t>
      </w:r>
      <m:oMath>
        <m:r>
          <m:rPr>
            <m:sty m:val="bi"/>
          </m:rPr>
          <w:rPr>
            <w:rFonts w:ascii="Cambria Math" w:eastAsia="Times New Roman" w:hAnsi="Cambria Math"/>
          </w:rPr>
          <m:t>n</m:t>
        </m:r>
        <m:r>
          <m:rPr>
            <m:sty m:val="p"/>
          </m:rPr>
          <w:rPr>
            <w:rFonts w:ascii="Cambria Math" w:eastAsia="Times New Roman" w:hAnsi="Cambria Math"/>
          </w:rPr>
          <m:t>=</m:t>
        </m:r>
        <m:r>
          <m:rPr>
            <m:sty m:val="b"/>
          </m:rPr>
          <w:rPr>
            <w:rFonts w:ascii="Cambria Math" w:eastAsia="Times New Roman" w:hAnsi="Cambria Math"/>
          </w:rPr>
          <m:t>100</m:t>
        </m:r>
      </m:oMath>
      <w:r w:rsidRPr="008C1FD0">
        <w:rPr>
          <w:rFonts w:eastAsia="Times New Roman"/>
        </w:rPr>
        <w:t xml:space="preserve"> parameter sets for each, with baseline </w:t>
      </w:r>
      <m:oMath>
        <m:r>
          <m:rPr>
            <m:scr m:val="script"/>
            <m:sty m:val="b"/>
          </m:rPr>
          <w:rPr>
            <w:rFonts w:ascii="Cambria Math" w:eastAsia="Times New Roman" w:hAnsi="Cambria Math"/>
          </w:rPr>
          <m:t>R</m:t>
        </m:r>
        <m:r>
          <m:rPr>
            <m:sty m:val="p"/>
          </m:rPr>
          <w:rPr>
            <w:rFonts w:ascii="Cambria Math" w:eastAsia="Times New Roman" w:hAnsi="Cambria Math"/>
          </w:rPr>
          <m:t>=</m:t>
        </m:r>
        <m:r>
          <m:rPr>
            <m:sty m:val="b"/>
          </m:rPr>
          <w:rPr>
            <w:rFonts w:ascii="Cambria Math" w:eastAsia="Times New Roman" w:hAnsi="Cambria Math"/>
          </w:rPr>
          <m:t>1</m:t>
        </m:r>
      </m:oMath>
      <w:r w:rsidRPr="008C1FD0">
        <w:rPr>
          <w:rFonts w:eastAsia="Times New Roman"/>
        </w:rPr>
        <w:t xml:space="preserve">. Boxplots indicate median, interquartile range, and full range of values of </w:t>
      </w:r>
      <m:oMath>
        <m:r>
          <m:rPr>
            <m:scr m:val="double-struck"/>
            <m:sty m:val="p"/>
          </m:rPr>
          <w:rPr>
            <w:rFonts w:ascii="Cambria Math" w:eastAsia="Times New Roman" w:hAnsi="Cambria Math"/>
          </w:rPr>
          <m:t>E[</m:t>
        </m:r>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sSub>
          <m:sSubPr>
            <m:ctrlPr>
              <w:rPr>
                <w:rFonts w:ascii="Cambria Math" w:eastAsia="Times New Roman" w:hAnsi="Cambria Math"/>
              </w:rPr>
            </m:ctrlPr>
          </m:sSubPr>
          <m:e>
            <m:r>
              <m:rPr>
                <m:sty m:val="bi"/>
              </m:rPr>
              <w:rPr>
                <w:rFonts w:ascii="Cambria Math" w:eastAsia="Times New Roman" w:hAnsi="Cambria Math"/>
              </w:rPr>
              <m:t>β</m:t>
            </m:r>
          </m:e>
          <m:sub>
            <m:r>
              <m:rPr>
                <m:sty m:val="bi"/>
              </m:rPr>
              <w:rPr>
                <w:rFonts w:ascii="Cambria Math" w:eastAsia="Times New Roman" w:hAnsi="Cambria Math"/>
              </w:rPr>
              <m:t>t</m:t>
            </m:r>
          </m:sub>
        </m:sSub>
        <m:r>
          <m:rPr>
            <m:sty m:val="p"/>
          </m:rPr>
          <w:rPr>
            <w:rFonts w:ascii="Cambria Math" w:eastAsia="Times New Roman" w:hAnsi="Cambria Math"/>
          </w:rPr>
          <m:t>,</m:t>
        </m:r>
        <m:r>
          <m:rPr>
            <m:sty m:val="bi"/>
          </m:rPr>
          <w:rPr>
            <w:rFonts w:ascii="Cambria Math" w:eastAsia="Times New Roman" w:hAnsi="Cambria Math"/>
          </w:rPr>
          <m:t>f</m:t>
        </m:r>
        <m:r>
          <m:rPr>
            <m:sty m:val="p"/>
          </m:rPr>
          <w:rPr>
            <w:rFonts w:ascii="Cambria Math" w:eastAsia="Times New Roman" w:hAnsi="Cambria Math"/>
          </w:rPr>
          <m:t>,</m:t>
        </m:r>
        <m:r>
          <m:rPr>
            <m:sty m:val="bi"/>
          </m:rPr>
          <w:rPr>
            <w:rFonts w:ascii="Cambria Math" w:eastAsia="Times New Roman" w:hAnsi="Cambria Math"/>
          </w:rPr>
          <m:t>d</m:t>
        </m:r>
        <m:r>
          <m:rPr>
            <m:sty m:val="p"/>
          </m:rPr>
          <w:rPr>
            <w:rFonts w:ascii="Cambria Math" w:eastAsia="Times New Roman" w:hAnsi="Cambria Math"/>
          </w:rPr>
          <m:t>]</m:t>
        </m:r>
      </m:oMath>
      <w:r w:rsidRPr="008C1FD0">
        <w:rPr>
          <w:rFonts w:eastAsia="Times New Roman"/>
        </w:rPr>
        <w:t xml:space="preserve">. D) Relationship between testing frequency, </w:t>
      </w:r>
      <m:oMath>
        <m:r>
          <m:rPr>
            <m:sty m:val="bi"/>
          </m:rPr>
          <w:rPr>
            <w:rFonts w:ascii="Cambria Math" w:eastAsia="Times New Roman" w:hAnsi="Cambria Math"/>
          </w:rPr>
          <m:t>f</m:t>
        </m:r>
      </m:oMath>
      <w:r w:rsidRPr="008C1FD0">
        <w:rPr>
          <w:rFonts w:eastAsia="Times New Roman"/>
        </w:rPr>
        <w:t xml:space="preserve">, test delay, </w:t>
      </w:r>
      <m:oMath>
        <m:r>
          <m:rPr>
            <m:sty m:val="bi"/>
          </m:rPr>
          <w:rPr>
            <w:rFonts w:ascii="Cambria Math" w:eastAsia="Times New Roman" w:hAnsi="Cambria Math"/>
          </w:rPr>
          <m:t>d</m:t>
        </m:r>
      </m:oMath>
      <w:r w:rsidRPr="008C1FD0">
        <w:rPr>
          <w:rFonts w:eastAsia="Times New Roman"/>
        </w:rPr>
        <w:t xml:space="preserve">, and probability isolation occurs by day </w:t>
      </w:r>
      <m:oMath>
        <m:r>
          <m:rPr>
            <m:sty m:val="bi"/>
          </m:rPr>
          <w:rPr>
            <w:rFonts w:ascii="Cambria Math" w:eastAsia="Times New Roman" w:hAnsi="Cambria Math"/>
          </w:rPr>
          <m:t>t</m:t>
        </m:r>
      </m:oMath>
      <w:r w:rsidRPr="008C1FD0">
        <w:rPr>
          <w:rFonts w:eastAsia="Times New Roman"/>
        </w:rPr>
        <w:t>, i.e.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r>
          <m:rPr>
            <m:sty m:val="p"/>
          </m:rPr>
          <w:rPr>
            <w:rFonts w:ascii="Cambria Math" w:eastAsia="Times New Roman" w:hAnsi="Cambria Math"/>
          </w:rPr>
          <m:t>≤</m:t>
        </m:r>
        <m:r>
          <m:rPr>
            <m:sty m:val="bi"/>
          </m:rPr>
          <w:rPr>
            <w:rFonts w:ascii="Cambria Math" w:eastAsia="Times New Roman" w:hAnsi="Cambria Math"/>
          </w:rPr>
          <m:t>t</m:t>
        </m:r>
      </m:oMath>
      <w:r w:rsidRPr="008C1FD0">
        <w:rPr>
          <w:rFonts w:eastAsia="Times New Roman"/>
        </w:rPr>
        <w:t>, demonstrating that delays in testing substantially reduce the probability of prompt isolation, particularly in more frequent testing scenarios.</w:t>
      </w:r>
    </w:p>
    <w:p w14:paraId="67FFAD18" w14:textId="4976B910" w:rsidR="008C1FD0" w:rsidRPr="008C1FD0" w:rsidRDefault="008C1FD0" w:rsidP="008C1FD0">
      <w:pPr>
        <w:pStyle w:val="Heading2"/>
        <w:rPr>
          <w:rFonts w:eastAsia="Times New Roman"/>
        </w:rPr>
      </w:pPr>
      <w:bookmarkStart w:id="5" w:name="individual-based-model-simulations"/>
      <w:bookmarkEnd w:id="4"/>
      <w:r w:rsidRPr="008C1FD0">
        <w:rPr>
          <w:rFonts w:eastAsia="Times New Roman"/>
        </w:rPr>
        <w:t>Individual-based model simulations</w:t>
      </w:r>
      <w:r w:rsidR="0060041F">
        <w:rPr>
          <w:rFonts w:eastAsia="Times New Roman"/>
        </w:rPr>
        <w:t xml:space="preserve"> (</w:t>
      </w:r>
      <w:r w:rsidR="004F4FCB">
        <w:rPr>
          <w:rFonts w:eastAsia="Times New Roman"/>
        </w:rPr>
        <w:t>631</w:t>
      </w:r>
      <w:r w:rsidR="0060041F">
        <w:rPr>
          <w:rFonts w:eastAsia="Times New Roman"/>
        </w:rPr>
        <w:t xml:space="preserve"> words)</w:t>
      </w:r>
    </w:p>
    <w:p w14:paraId="56A04EDB" w14:textId="51B65B28" w:rsidR="008C1FD0" w:rsidRPr="008C1FD0" w:rsidRDefault="008C1FD0" w:rsidP="008C1FD0">
      <w:pPr>
        <w:pStyle w:val="Heading3"/>
        <w:rPr>
          <w:rFonts w:eastAsia="Times New Roman"/>
        </w:rPr>
      </w:pPr>
      <w:bookmarkStart w:id="6" w:name="Xde14e8fe7464e96a4bcd1fe688ba35488e054ee"/>
      <w:r w:rsidRPr="008C1FD0">
        <w:rPr>
          <w:rFonts w:eastAsia="Times New Roman"/>
        </w:rPr>
        <w:t>Model setup (can probably move a lot of this to a supplement?)</w:t>
      </w:r>
    </w:p>
    <w:p w14:paraId="5EFDF8EE" w14:textId="2949FCA0" w:rsidR="008C1FD0" w:rsidRPr="008C1FD0" w:rsidRDefault="008C1FD0" w:rsidP="008C1FD0">
      <w:r w:rsidRPr="008C1FD0">
        <w:t xml:space="preserve">To incorporate staff schedules and expand the modeling framework above to a facility-level setting, we next describe the development and simulation of individual based microsimulations. In a modeled facility, </w:t>
      </w:r>
      <m:oMath>
        <m:r>
          <m:rPr>
            <m:sty m:val="bi"/>
          </m:rPr>
          <w:rPr>
            <w:rFonts w:ascii="Cambria Math" w:hAnsi="Cambria Math"/>
          </w:rPr>
          <m:t>n</m:t>
        </m:r>
      </m:oMath>
      <w:r w:rsidRPr="008C1FD0">
        <w:t xml:space="preserve"> staff are assigned a work schedule that determines time frames when they are in the facility and interacting with facility residents and other staff working at the same time. We denote </w:t>
      </w:r>
      <m:oMath>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xml:space="preserve"> as an indicator function for whether staff member </w:t>
      </w:r>
      <m:oMath>
        <m:r>
          <m:rPr>
            <m:sty m:val="bi"/>
          </m:rPr>
          <w:rPr>
            <w:rFonts w:ascii="Cambria Math" w:hAnsi="Cambria Math"/>
          </w:rPr>
          <m:t>i</m:t>
        </m:r>
      </m:oMath>
      <w:r w:rsidRPr="008C1FD0">
        <w:t xml:space="preserve"> is working at the facility on day </w:t>
      </w:r>
      <m:oMath>
        <m:r>
          <m:rPr>
            <m:sty m:val="bi"/>
          </m:rPr>
          <w:rPr>
            <w:rFonts w:ascii="Cambria Math" w:hAnsi="Cambria Math"/>
          </w:rPr>
          <m:t>t</m:t>
        </m:r>
      </m:oMath>
      <w:r w:rsidRPr="008C1FD0">
        <w:t xml:space="preserve">. In addition to their work schedule, all staff are assigned a testing schedule, encoded by function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with different testing schedules discussed further below. The model is simulated at an 8-hour time step, with each time step corresponding to a work shift as described further below.</w:t>
      </w:r>
    </w:p>
    <w:p w14:paraId="5043A657" w14:textId="41A8B9E2" w:rsidR="008C1FD0" w:rsidRPr="008C1FD0" w:rsidRDefault="008C1FD0" w:rsidP="008C1FD0">
      <w:r w:rsidRPr="008C1FD0">
        <w:t xml:space="preserve">Staff move through susceptible (S), exposed (E), infected (I), and recovered (R) states, with the infected state corresponding to time when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ty m:val="p"/>
          </m:rPr>
          <w:rPr>
            <w:rFonts w:ascii="Cambria Math" w:hAnsi="Cambria Math"/>
          </w:rPr>
          <m:t>&gt;</m:t>
        </m:r>
        <m:r>
          <m:rPr>
            <m:sty m:val="bi"/>
          </m:rPr>
          <w:rPr>
            <w:rFonts w:ascii="Cambria Math" w:hAnsi="Cambria Math"/>
          </w:rPr>
          <m:t>0</m:t>
        </m:r>
      </m:oMath>
      <w:r w:rsidRPr="008C1FD0">
        <w:t xml:space="preserve">. Parameters for newly exposed staff are drawn to determine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oMath>
      <w:r w:rsidRPr="008C1FD0">
        <w:t xml:space="preserve">, from which an infectiousness profile,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oMath>
      <w:r w:rsidRPr="008C1FD0">
        <w:t xml:space="preserve"> is generated. Tested staff produce a positive result if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ty m:val="p"/>
          </m:rPr>
          <w:rPr>
            <w:rFonts w:ascii="Cambria Math" w:hAnsi="Cambria Math"/>
          </w:rPr>
          <m:t>&gt;</m:t>
        </m:r>
        <m:r>
          <m:rPr>
            <m:sty m:val="bi"/>
          </m:rPr>
          <w:rPr>
            <w:rFonts w:ascii="Cambria Math" w:hAnsi="Cambria Math"/>
          </w:rPr>
          <m:t>0</m:t>
        </m:r>
      </m:oMath>
      <w:r w:rsidRPr="008C1FD0">
        <w:t xml:space="preserve"> and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1</m:t>
        </m:r>
      </m:oMath>
      <w:r w:rsidRPr="008C1FD0">
        <w:t xml:space="preserve">, at which time they enter a quarantined (Q) state immediately if </w:t>
      </w:r>
      <m:oMath>
        <m:r>
          <m:rPr>
            <m:sty m:val="bi"/>
          </m:rPr>
          <w:rPr>
            <w:rFonts w:ascii="Cambria Math" w:hAnsi="Cambria Math"/>
          </w:rPr>
          <m:t>d</m:t>
        </m:r>
        <m:r>
          <m:rPr>
            <m:sty m:val="p"/>
          </m:rPr>
          <w:rPr>
            <w:rFonts w:ascii="Cambria Math" w:hAnsi="Cambria Math"/>
          </w:rPr>
          <m:t>=</m:t>
        </m:r>
        <m:r>
          <m:rPr>
            <m:sty m:val="bi"/>
          </m:rPr>
          <w:rPr>
            <w:rFonts w:ascii="Cambria Math" w:hAnsi="Cambria Math"/>
          </w:rPr>
          <m:t>0</m:t>
        </m:r>
      </m:oMath>
      <w:r w:rsidRPr="008C1FD0">
        <w:t xml:space="preserve">, or first enter a tested (T) state before Q if there is a delay between test administration and the test result. Staff in state Q have </w:t>
      </w:r>
      <m:oMath>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0</m:t>
        </m:r>
      </m:oMath>
      <w:r w:rsidRPr="008C1FD0">
        <w:t xml:space="preserve"> for 10 days and have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0</m:t>
        </m:r>
      </m:oMath>
      <w:r w:rsidRPr="008C1FD0">
        <w:t xml:space="preserve"> for 90 days following a positive result.</w:t>
      </w:r>
    </w:p>
    <w:p w14:paraId="4E513650" w14:textId="439A0834" w:rsidR="008C1FD0" w:rsidRPr="008C1FD0" w:rsidRDefault="008C1FD0" w:rsidP="008C1FD0">
      <w:r w:rsidRPr="008C1FD0">
        <w:t xml:space="preserve">Assuming constant </w:t>
      </w:r>
      <m:oMath>
        <m:r>
          <m:rPr>
            <m:scr m:val="script"/>
            <m:sty m:val="b"/>
          </m:rPr>
          <w:rPr>
            <w:rFonts w:ascii="Cambria Math" w:hAnsi="Cambria Math"/>
          </w:rPr>
          <m:t>R</m:t>
        </m:r>
      </m:oMath>
      <w:r w:rsidRPr="008C1FD0">
        <w:t xml:space="preserve"> across all individuals, the expected number of cases produced in the facility on day </w:t>
      </w:r>
      <m:oMath>
        <m:r>
          <m:rPr>
            <m:sty m:val="bi"/>
          </m:rPr>
          <w:rPr>
            <w:rFonts w:ascii="Cambria Math" w:hAnsi="Cambria Math"/>
          </w:rPr>
          <m:t>t</m:t>
        </m:r>
      </m:oMath>
      <w:r w:rsidRPr="008C1FD0">
        <w:t xml:space="preserve"> by individual </w:t>
      </w:r>
      <m:oMath>
        <m:r>
          <m:rPr>
            <m:sty m:val="bi"/>
          </m:rPr>
          <w:rPr>
            <w:rFonts w:ascii="Cambria Math" w:hAnsi="Cambria Math"/>
          </w:rPr>
          <m:t>i</m:t>
        </m:r>
      </m:oMath>
      <w:r w:rsidRPr="008C1FD0">
        <w:t xml:space="preserve"> is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r>
          <m:rPr>
            <m:sty m:val="p"/>
          </m:rPr>
          <w:rPr>
            <w:rFonts w:ascii="Cambria Math" w:hAnsi="Cambria Math"/>
          </w:rPr>
          <m:t>=</m:t>
        </m:r>
        <m:r>
          <m:rPr>
            <m:scr m:val="script"/>
            <m:sty m:val="b"/>
          </m:rPr>
          <w:rPr>
            <w:rFonts w:ascii="Cambria Math" w:hAnsi="Cambria Math"/>
          </w:rPr>
          <m:t>R</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xml:space="preserve">. Staff may acquire infection from the community or workplace, therefore we denote two separate forces of infection, </w:t>
      </w:r>
      <m:oMath>
        <m:sSup>
          <m:sSupPr>
            <m:ctrlPr>
              <w:rPr>
                <w:rFonts w:ascii="Cambria Math" w:hAnsi="Cambria Math"/>
              </w:rPr>
            </m:ctrlPr>
          </m:sSupPr>
          <m:e>
            <m:r>
              <m:rPr>
                <m:sty m:val="bi"/>
              </m:rPr>
              <w:rPr>
                <w:rFonts w:ascii="Cambria Math" w:hAnsi="Cambria Math"/>
              </w:rPr>
              <m:t>λ</m:t>
            </m:r>
          </m:e>
          <m:sup>
            <m:r>
              <m:rPr>
                <m:sty m:val="bi"/>
              </m:rPr>
              <w:rPr>
                <w:rFonts w:ascii="Cambria Math" w:hAnsi="Cambria Math"/>
              </w:rPr>
              <m:t>comm</m:t>
            </m:r>
          </m:sup>
        </m:sSup>
        <m:r>
          <m:rPr>
            <m:sty m:val="p"/>
          </m:rPr>
          <w:rPr>
            <w:rFonts w:ascii="Cambria Math" w:hAnsi="Cambria Math"/>
          </w:rPr>
          <m:t>=</m:t>
        </m:r>
      </m:oMath>
      <w:r w:rsidRPr="008C1FD0">
        <w:t xml:space="preserve"> and </w:t>
      </w:r>
      <m:oMath>
        <m:sSubSup>
          <m:sSubSupPr>
            <m:ctrlPr>
              <w:rPr>
                <w:rFonts w:ascii="Cambria Math" w:hAnsi="Cambria Math"/>
              </w:rPr>
            </m:ctrlPr>
          </m:sSubSupPr>
          <m:e>
            <m:r>
              <m:rPr>
                <m:sty m:val="bi"/>
              </m:rPr>
              <w:rPr>
                <w:rFonts w:ascii="Cambria Math" w:hAnsi="Cambria Math"/>
              </w:rPr>
              <m:t>λ</m:t>
            </m:r>
          </m:e>
          <m:sub>
            <m:r>
              <m:rPr>
                <m:sty m:val="bi"/>
              </m:rPr>
              <w:rPr>
                <w:rFonts w:ascii="Cambria Math" w:hAnsi="Cambria Math"/>
              </w:rPr>
              <m:t>it</m:t>
            </m:r>
          </m:sub>
          <m:sup>
            <m:r>
              <m:rPr>
                <m:sty m:val="bi"/>
              </m:rPr>
              <w:rPr>
                <w:rFonts w:ascii="Cambria Math" w:hAnsi="Cambria Math"/>
              </w:rPr>
              <m:t>work</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e>
            </m:nary>
          </m:num>
          <m:den>
            <m:r>
              <m:rPr>
                <m:sty m:val="bi"/>
              </m:rPr>
              <w:rPr>
                <w:rFonts w:ascii="Cambria Math" w:hAnsi="Cambria Math"/>
              </w:rPr>
              <m:t>n</m:t>
            </m:r>
          </m:den>
        </m:f>
      </m:oMath>
      <w:r w:rsidRPr="008C1FD0">
        <w:t xml:space="preserve">. Infection for each individual is simulated at each time step by subjecting each staff member to a bernoulli trial with </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it</m:t>
            </m:r>
          </m:sub>
        </m:sSub>
        <m:r>
          <m:rPr>
            <m:sty m:val="p"/>
          </m:rPr>
          <w:rPr>
            <w:rFonts w:ascii="Cambria Math" w:hAnsi="Cambria Math"/>
          </w:rPr>
          <m:t>=</m:t>
        </m:r>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λ</m:t>
            </m:r>
          </m:e>
          <m:sub>
            <m:r>
              <m:rPr>
                <m:sty m:val="bi"/>
              </m:rPr>
              <w:rPr>
                <w:rFonts w:ascii="Cambria Math" w:hAnsi="Cambria Math"/>
              </w:rPr>
              <m:t>it</m:t>
            </m:r>
          </m:sub>
          <m:sup>
            <m:r>
              <m:rPr>
                <m:sty m:val="bi"/>
              </m:rPr>
              <w:rPr>
                <w:rFonts w:ascii="Cambria Math" w:hAnsi="Cambria Math"/>
              </w:rPr>
              <m:t>work</m:t>
            </m:r>
          </m:sup>
        </m:sSubSup>
        <m:r>
          <m:rPr>
            <m:sty m:val="p"/>
          </m:rPr>
          <w:rPr>
            <w:rFonts w:ascii="Cambria Math" w:hAnsi="Cambria Math"/>
          </w:rPr>
          <m:t>+(</m:t>
        </m:r>
        <m:r>
          <m:rPr>
            <m:sty m:val="bi"/>
          </m:rPr>
          <w:rPr>
            <w:rFonts w:ascii="Cambria Math" w:hAnsi="Cambria Math"/>
          </w:rPr>
          <m:t>1</m:t>
        </m:r>
        <m:r>
          <m:rPr>
            <m:sty m:val="p"/>
          </m:rPr>
          <w:rPr>
            <w:rFonts w:ascii="Cambria Math" w:hAnsi="Cambria Math"/>
          </w:rPr>
          <m:t>-</m:t>
        </m:r>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λ</m:t>
            </m:r>
          </m:e>
          <m:sup>
            <m:r>
              <m:rPr>
                <m:sty m:val="bi"/>
              </m:rPr>
              <w:rPr>
                <w:rFonts w:ascii="Cambria Math" w:hAnsi="Cambria Math"/>
              </w:rPr>
              <m:t>comm</m:t>
            </m:r>
          </m:sup>
        </m:sSup>
      </m:oMath>
      <w:r w:rsidRPr="008C1FD0">
        <w:t xml:space="preserve">. The expected number of infections in the facility generated by staff is estimated from each simulation as: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t</m:t>
            </m:r>
            <m:r>
              <m:rPr>
                <m:sty m:val="p"/>
              </m:rPr>
              <w:rPr>
                <w:rFonts w:ascii="Cambria Math" w:hAnsi="Cambria Math"/>
              </w:rPr>
              <m:t>=</m:t>
            </m:r>
            <m:r>
              <m:rPr>
                <m:sty m:val="bi"/>
              </m:rPr>
              <w:rPr>
                <w:rFonts w:ascii="Cambria Math" w:hAnsi="Cambria Math"/>
              </w:rPr>
              <m:t>1</m:t>
            </m:r>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sim</m:t>
                </m:r>
              </m:sub>
            </m:sSub>
          </m:sup>
          <m:e>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r>
                  <m:rPr>
                    <m:scr m:val="script"/>
                    <m:sty m:val="b"/>
                  </m:rPr>
                  <w:rPr>
                    <w:rFonts w:ascii="Cambria Math" w:hAnsi="Cambria Math"/>
                  </w:rPr>
                  <m:t>W</m:t>
                </m:r>
              </m:e>
            </m:nary>
          </m:e>
        </m:nary>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oMath>
      <w:r w:rsidRPr="008C1FD0">
        <w:t>.</w:t>
      </w:r>
    </w:p>
    <w:p w14:paraId="1C9D8BAF" w14:textId="1A4C12DE" w:rsidR="008C1FD0" w:rsidRPr="008C1FD0" w:rsidRDefault="008C1FD0" w:rsidP="0060041F">
      <w:pPr>
        <w:pStyle w:val="Heading3"/>
        <w:rPr>
          <w:rFonts w:eastAsia="Times New Roman"/>
        </w:rPr>
      </w:pPr>
      <w:bookmarkStart w:id="7" w:name="staffing-and-testing-strategies"/>
      <w:bookmarkEnd w:id="6"/>
      <w:r w:rsidRPr="008C1FD0">
        <w:rPr>
          <w:rFonts w:eastAsia="Times New Roman"/>
        </w:rPr>
        <w:t>Staffing and testing strategies</w:t>
      </w:r>
    </w:p>
    <w:p w14:paraId="63046C46" w14:textId="3B8ADF6A" w:rsidR="008C1FD0" w:rsidRPr="008C1FD0" w:rsidRDefault="008C1FD0" w:rsidP="008C1FD0">
      <w:r w:rsidRPr="008C1FD0">
        <w:t>[</w:t>
      </w:r>
      <w:r w:rsidR="00594991" w:rsidRPr="00594991">
        <w:rPr>
          <w:highlight w:val="yellow"/>
        </w:rPr>
        <w:t xml:space="preserve">Nick: </w:t>
      </w:r>
      <w:r w:rsidRPr="00594991">
        <w:rPr>
          <w:highlight w:val="yellow"/>
        </w:rPr>
        <w:t>One</w:t>
      </w:r>
      <w:r w:rsidR="00594991" w:rsidRPr="00594991">
        <w:rPr>
          <w:highlight w:val="yellow"/>
        </w:rPr>
        <w:t>ish</w:t>
      </w:r>
      <w:r w:rsidRPr="00594991">
        <w:rPr>
          <w:highlight w:val="yellow"/>
        </w:rPr>
        <w:t xml:space="preserve"> sentence summary of test/staffing strategies observed in CDCR data</w:t>
      </w:r>
      <w:r w:rsidRPr="008C1FD0">
        <w:t xml:space="preserve">]. Generation of work schedules in simulations was informed by observed CDCR schedules by sampling one of the consecutive 4-day sequences of work days shown in Fig 1 and a 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(i.e. with </w:t>
      </w:r>
      <m:oMath>
        <m:r>
          <m:rPr>
            <m:sty m:val="bi"/>
          </m:rPr>
          <w:rPr>
            <w:rFonts w:ascii="Cambria Math" w:hAnsi="Cambria Math"/>
          </w:rPr>
          <m:t>f</m:t>
        </m:r>
        <m:r>
          <m:rPr>
            <m:sty m:val="p"/>
          </m:rPr>
          <w:rPr>
            <w:rFonts w:ascii="Cambria Math" w:hAnsi="Cambria Math"/>
          </w:rPr>
          <m:t>=</m:t>
        </m:r>
        <m:r>
          <m:rPr>
            <m:sty m:val="bi"/>
          </m:rPr>
          <w:rPr>
            <w:rFonts w:ascii="Cambria Math" w:hAnsi="Cambria Math"/>
          </w:rPr>
          <m:t>2</m:t>
        </m:r>
      </m:oMath>
      <w:r w:rsidRPr="008C1FD0">
        <w:t>, workers would be tested during two of the</w:t>
      </w:r>
      <w:r w:rsidR="00BA0348">
        <w:t>ir</w:t>
      </w:r>
      <w:r w:rsidRPr="008C1FD0">
        <w:t xml:space="preserve"> five shifts, chosen at random each week). Under a systematic testing strategy, each worker is always tested on the same day(s) of their shift each week. For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xml:space="preserve">, systematic testing always occurs on the first </w:t>
      </w:r>
      <w:r w:rsidR="00BA0348">
        <w:t xml:space="preserve">day </w:t>
      </w:r>
      <w:r w:rsidRPr="008C1FD0">
        <w:t xml:space="preserve">of the regular 4-day work </w:t>
      </w:r>
      <w:r w:rsidR="00BA0348">
        <w:t>schedule</w:t>
      </w:r>
      <w:r w:rsidRPr="008C1FD0">
        <w:t xml:space="preserve">; for </w:t>
      </w:r>
      <m:oMath>
        <m:r>
          <m:rPr>
            <m:sty m:val="bi"/>
          </m:rPr>
          <w:rPr>
            <w:rFonts w:ascii="Cambria Math" w:hAnsi="Cambria Math"/>
          </w:rPr>
          <m:t>f</m:t>
        </m:r>
        <m:r>
          <m:rPr>
            <m:sty m:val="p"/>
          </m:rPr>
          <w:rPr>
            <w:rFonts w:ascii="Cambria Math" w:hAnsi="Cambria Math"/>
          </w:rPr>
          <m:t>=</m:t>
        </m:r>
        <m:r>
          <m:rPr>
            <m:sty m:val="bi"/>
          </m:rPr>
          <w:rPr>
            <w:rFonts w:ascii="Cambria Math" w:hAnsi="Cambria Math"/>
          </w:rPr>
          <w:lastRenderedPageBreak/>
          <m:t>2</m:t>
        </m:r>
      </m:oMath>
      <w:r w:rsidRPr="008C1FD0">
        <w:t xml:space="preserve">, systematic testing always occurs on the first and third days; and for </w:t>
      </w:r>
      <m:oMath>
        <m:r>
          <m:rPr>
            <m:sty m:val="bi"/>
          </m:rPr>
          <w:rPr>
            <w:rFonts w:ascii="Cambria Math" w:hAnsi="Cambria Math"/>
          </w:rPr>
          <m:t>f</m:t>
        </m:r>
        <m:r>
          <m:rPr>
            <m:sty m:val="p"/>
          </m:rPr>
          <w:rPr>
            <w:rFonts w:ascii="Cambria Math" w:hAnsi="Cambria Math"/>
          </w:rPr>
          <m:t>=</m:t>
        </m:r>
        <m:r>
          <m:rPr>
            <m:sty m:val="bi"/>
          </m:rPr>
          <w:rPr>
            <w:rFonts w:ascii="Cambria Math" w:hAnsi="Cambria Math"/>
          </w:rPr>
          <m:t>4</m:t>
        </m:r>
      </m:oMath>
      <w:r w:rsidRPr="008C1FD0">
        <w:t>, testing occurs on each of the regular 4-day work days.</w:t>
      </w:r>
    </w:p>
    <w:p w14:paraId="3BBAA002" w14:textId="0B046728" w:rsidR="008C1FD0" w:rsidRDefault="00BA0348" w:rsidP="008C1FD0">
      <w:r>
        <w:t>We assume rapid tests in which the test result is known immediately after the test is conducted (</w:t>
      </w:r>
      <m:oMath>
        <m:r>
          <w:rPr>
            <w:rFonts w:ascii="Cambria Math" w:hAnsi="Cambria Math"/>
          </w:rPr>
          <m:t>d=0</m:t>
        </m:r>
      </m:oMath>
      <w:r>
        <w:rPr>
          <w:rFonts w:eastAsiaTheme="minorEastAsia"/>
        </w:rPr>
        <w:t>)</w:t>
      </w:r>
      <w:r>
        <w:t xml:space="preserve"> are used and further assume that all tests conducted when </w:t>
      </w:r>
      <m:oMath>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&gt;0</m:t>
        </m:r>
      </m:oMath>
      <w:r>
        <w:rPr>
          <w:rFonts w:eastAsiaTheme="minorEastAsia"/>
        </w:rPr>
        <w:t xml:space="preserve"> return a positive result.</w:t>
      </w:r>
      <w:r>
        <w:t xml:space="preserve"> </w:t>
      </w:r>
      <w:r w:rsidR="008C1FD0" w:rsidRPr="008C1FD0">
        <w:t xml:space="preserve">The total number of tests conducted in each simulation is recorded as: </w:t>
      </w:r>
      <m:oMath>
        <m:sSubSup>
          <m:sSubSupPr>
            <m:ctrlPr>
              <w:rPr>
                <w:rFonts w:ascii="Cambria Math" w:hAnsi="Cambria Math"/>
              </w:rPr>
            </m:ctrlPr>
          </m:sSubSupPr>
          <m:e>
            <m:r>
              <m:rPr>
                <m:scr m:val="script"/>
                <m:sty m:val="b"/>
              </m:rPr>
              <w:rPr>
                <w:rFonts w:ascii="Cambria Math" w:hAnsi="Cambria Math"/>
              </w:rPr>
              <m:t>T</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t</m:t>
            </m:r>
            <m:r>
              <m:rPr>
                <m:sty m:val="p"/>
              </m:rPr>
              <w:rPr>
                <w:rFonts w:ascii="Cambria Math" w:hAnsi="Cambria Math"/>
              </w:rPr>
              <m:t>=</m:t>
            </m:r>
            <m:r>
              <m:rPr>
                <m:sty m:val="bi"/>
              </m:rPr>
              <w:rPr>
                <w:rFonts w:ascii="Cambria Math" w:hAnsi="Cambria Math"/>
              </w:rPr>
              <m:t>1</m:t>
            </m:r>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sim</m:t>
                </m:r>
              </m:sub>
            </m:sSub>
          </m:sup>
          <m:e>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r>
                  <m:rPr>
                    <m:scr m:val="script"/>
                    <m:sty m:val="b"/>
                  </m:rPr>
                  <w:rPr>
                    <w:rFonts w:ascii="Cambria Math" w:hAnsi="Cambria Math"/>
                  </w:rPr>
                  <m:t>T</m:t>
                </m:r>
              </m:e>
            </m:nary>
          </m:e>
        </m:nary>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008C1FD0" w:rsidRPr="008C1FD0">
        <w:t xml:space="preserve">. Combined with the expected number of cases in the simulation, we estimate the incremental test effectiveness ratio (ITER) as: </w:t>
      </w:r>
      <m:oMath>
        <m:r>
          <m:rPr>
            <m:sty m:val="b"/>
          </m:rPr>
          <w:rPr>
            <w:rFonts w:ascii="Cambria Math" w:hAnsi="Cambria Math"/>
          </w:rPr>
          <m:t>ITER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cr m:val="script"/>
                    <m:sty m:val="b"/>
                  </m:rPr>
                  <w:rPr>
                    <w:rFonts w:ascii="Cambria Math" w:hAnsi="Cambria Math"/>
                  </w:rPr>
                  <m:t>T</m:t>
                </m:r>
              </m:e>
              <m:sub>
                <m:r>
                  <m:rPr>
                    <m:sty m:val="bi"/>
                  </m:rPr>
                  <w:rPr>
                    <w:rFonts w:ascii="Cambria Math" w:hAnsi="Cambria Math"/>
                  </w:rPr>
                  <m:t>sim</m:t>
                </m:r>
              </m:sub>
              <m:sup>
                <m:r>
                  <m:rPr>
                    <m:sty m:val="bi"/>
                  </m:rPr>
                  <w:rPr>
                    <w:rFonts w:ascii="Cambria Math" w:hAnsi="Cambria Math"/>
                  </w:rPr>
                  <m:t>tot</m:t>
                </m:r>
              </m:sup>
            </m:sSubSup>
          </m:num>
          <m:den>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ref</m:t>
                </m:r>
              </m:sub>
              <m:sup>
                <m:r>
                  <m:rPr>
                    <m:sty m:val="bi"/>
                  </m:rPr>
                  <w:rPr>
                    <w:rFonts w:ascii="Cambria Math" w:hAnsi="Cambria Math"/>
                  </w:rPr>
                  <m:t>tot</m:t>
                </m:r>
              </m:sup>
            </m:sSubSup>
          </m:den>
        </m:f>
      </m:oMath>
      <w:r w:rsidR="008C1FD0" w:rsidRPr="008C1FD0">
        <w:t xml:space="preserve">, where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ref</m:t>
            </m:r>
          </m:sub>
          <m:sup>
            <m:r>
              <m:rPr>
                <m:sty m:val="bi"/>
              </m:rPr>
              <w:rPr>
                <w:rFonts w:ascii="Cambria Math" w:hAnsi="Cambria Math"/>
              </w:rPr>
              <m:t>tot</m:t>
            </m:r>
          </m:sup>
        </m:sSubSup>
      </m:oMath>
      <w:r w:rsidR="008C1FD0" w:rsidRPr="008C1FD0">
        <w:t xml:space="preserve"> is the number of infections in a reference scenario with no testing. The ITER can be interpreted as the number of tests needed to prevent one infection in the simulation scenario being evaluated.</w:t>
      </w:r>
    </w:p>
    <w:p w14:paraId="7BE466D4" w14:textId="741494A1" w:rsidR="00652FDF" w:rsidRPr="008C1FD0" w:rsidRDefault="00652FDF" w:rsidP="008C1FD0">
      <w:r>
        <w:t xml:space="preserve">All simulations and analyses were conducted in R software version 4.0.4 </w:t>
      </w:r>
      <w:r w:rsidR="00033B58">
        <w:fldChar w:fldCharType="begin"/>
      </w:r>
      <w:r w:rsidR="00033B58">
        <w:instrText xml:space="preserve"> ADDIN ZOTERO_ITEM CSL_CITATION {"citationID":"te4jgDsI","properties":{"formattedCitation":"(18)","plainCitation":"(18)","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033B58">
        <w:fldChar w:fldCharType="separate"/>
      </w:r>
      <w:r w:rsidR="00033B58">
        <w:rPr>
          <w:noProof/>
        </w:rPr>
        <w:t>(18)</w:t>
      </w:r>
      <w:r w:rsidR="00033B58">
        <w:fldChar w:fldCharType="end"/>
      </w:r>
      <w:r>
        <w:t xml:space="preserve"> with aid from the tidyverse </w:t>
      </w:r>
      <w:r w:rsidR="00033B58">
        <w:fldChar w:fldCharType="begin"/>
      </w:r>
      <w:r w:rsidR="00033B58">
        <w:instrText xml:space="preserve"> ADDIN ZOTERO_ITEM CSL_CITATION {"citationID":"xQjgRB9N","properties":{"formattedCitation":"(19)","plainCitation":"(19)","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33B58">
        <w:fldChar w:fldCharType="separate"/>
      </w:r>
      <w:r w:rsidR="00033B58">
        <w:rPr>
          <w:noProof/>
        </w:rPr>
        <w:t>(19)</w:t>
      </w:r>
      <w:r w:rsidR="00033B58">
        <w:fldChar w:fldCharType="end"/>
      </w:r>
      <w:r>
        <w:t xml:space="preserve">, triangle </w:t>
      </w:r>
      <w:r w:rsidR="00033B58">
        <w:fldChar w:fldCharType="begin"/>
      </w:r>
      <w:r w:rsidR="00033B58">
        <w:instrText xml:space="preserve"> ADDIN ZOTERO_ITEM CSL_CITATION {"citationID":"1NPlbAW7","properties":{"formattedCitation":"(20)","plainCitation":"(20)","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00033B58">
        <w:fldChar w:fldCharType="separate"/>
      </w:r>
      <w:r w:rsidR="00033B58">
        <w:rPr>
          <w:noProof/>
        </w:rPr>
        <w:t>(20)</w:t>
      </w:r>
      <w:r w:rsidR="00033B58">
        <w:fldChar w:fldCharType="end"/>
      </w:r>
      <w:r>
        <w:t xml:space="preserve">, and patchwork </w:t>
      </w:r>
      <w:r w:rsidR="00033B58">
        <w:fldChar w:fldCharType="begin"/>
      </w:r>
      <w:r w:rsidR="00033B58">
        <w:instrText xml:space="preserve"> ADDIN ZOTERO_ITEM CSL_CITATION {"citationID":"w5HtuWNj","properties":{"formattedCitation":"(21)","plainCitation":"(21)","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00033B58">
        <w:fldChar w:fldCharType="separate"/>
      </w:r>
      <w:r w:rsidR="00033B58">
        <w:rPr>
          <w:noProof/>
        </w:rPr>
        <w:t>(21)</w:t>
      </w:r>
      <w:r w:rsidR="00033B58">
        <w:fldChar w:fldCharType="end"/>
      </w:r>
      <w:r>
        <w:t xml:space="preserve"> packages. Code is made available freely online at </w:t>
      </w:r>
      <w:hyperlink r:id="rId14" w:history="1">
        <w:r w:rsidRPr="00144E6A">
          <w:rPr>
            <w:rStyle w:val="Hyperlink"/>
          </w:rPr>
          <w:t>https://github.com/cmhoove14/CDCR-Staff-Testing</w:t>
        </w:r>
      </w:hyperlink>
      <w:r>
        <w:t>.</w:t>
      </w:r>
    </w:p>
    <w:bookmarkEnd w:id="5"/>
    <w:bookmarkEnd w:id="7"/>
    <w:p w14:paraId="019939C2" w14:textId="0F3F24EC" w:rsidR="008C1FD0" w:rsidRPr="008C1FD0" w:rsidRDefault="008C1FD0" w:rsidP="008C1FD0">
      <w:pPr>
        <w:pStyle w:val="Heading2"/>
        <w:rPr>
          <w:rFonts w:eastAsia="Times New Roman"/>
        </w:rPr>
      </w:pPr>
      <w:r w:rsidRPr="008C1FD0">
        <w:rPr>
          <w:rFonts w:eastAsia="Times New Roman"/>
        </w:rPr>
        <w:t>Simulation Results</w:t>
      </w:r>
      <w:r w:rsidR="0060041F">
        <w:rPr>
          <w:rFonts w:eastAsia="Times New Roman"/>
        </w:rPr>
        <w:t xml:space="preserve"> (324 words)</w:t>
      </w:r>
    </w:p>
    <w:p w14:paraId="6E497076" w14:textId="5A27DFD3" w:rsidR="008C1FD0" w:rsidRPr="008C1FD0" w:rsidRDefault="008C1FD0" w:rsidP="008C1FD0">
      <w:r w:rsidRPr="008C1FD0">
        <w:t>Systematic testing strategies were found to consistently outperform random testing strategies in terms of preventing infections within simulated facilities. Figure 2 shows a comparison of the number of infections generated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oMath>
      <w:r w:rsidRPr="008C1FD0">
        <w:t xml:space="preserve">) when implementing a random vs systematic testing strategy across testing frequencies, community prevalences, and within-facility </w:t>
      </w:r>
      <m:oMath>
        <m:r>
          <m:rPr>
            <m:scr m:val="script"/>
            <m:sty m:val="b"/>
          </m:rPr>
          <w:rPr>
            <w:rFonts w:ascii="Cambria Math" w:hAnsi="Cambria Math"/>
          </w:rPr>
          <m:t>R</m:t>
        </m:r>
      </m:oMath>
      <w:r w:rsidRPr="008C1FD0">
        <w:t>. In the highest transmission scenario (</w:t>
      </w:r>
      <m:oMath>
        <m:r>
          <m:rPr>
            <m:sty m:val="bi"/>
          </m:rPr>
          <w:rPr>
            <w:rFonts w:ascii="Cambria Math" w:hAnsi="Cambria Math"/>
          </w:rPr>
          <m:t>CP</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5</m:t>
        </m:r>
      </m:oMath>
      <w:r w:rsidRPr="008C1FD0">
        <w:t xml:space="preserve">), testing randomly once per week resulted in a median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oMath>
      <w:r w:rsidRPr="008C1FD0">
        <w:t xml:space="preserve"> 169.92 (IQR 159.07 - 177.43), whereas testing systematically on the first day of the work week resulted in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oMath>
      <w:r w:rsidRPr="008C1FD0">
        <w:t xml:space="preserve"> 100.6 (IQR 93.41 - 106.93; Fig 2, right panel in pink).</w:t>
      </w:r>
    </w:p>
    <w:p w14:paraId="126C466C" w14:textId="1ED56CFD" w:rsidR="008C1FD0" w:rsidRPr="008C1FD0" w:rsidRDefault="008C1FD0" w:rsidP="008C1FD0">
      <w:r w:rsidRPr="008C1FD0">
        <w:t xml:space="preserve">The horizontal gray line in figure 2 demonstrates a potential threshold number of infections to avoid exceeding at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r>
          <m:rPr>
            <m:sty m:val="bi"/>
          </m:rPr>
          <w:rPr>
            <w:rFonts w:ascii="Cambria Math" w:hAnsi="Cambria Math"/>
          </w:rPr>
          <m:t>20</m:t>
        </m:r>
      </m:oMath>
      <w:r w:rsidRPr="008C1FD0">
        <w:t xml:space="preserve">. Implementing a systematic–rather than random–testing strategy can be sufficient to prevent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oMath>
      <w:r w:rsidRPr="008C1FD0">
        <w:t xml:space="preserve"> from exceeding such a threshold without changing the frequency in many transmission scenarios, though in the highest transmission scenarios, greater than twice-weekly testing may be needed.</w:t>
      </w:r>
    </w:p>
    <w:p w14:paraId="5ED65D4C"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sz w:val="24"/>
          <w:szCs w:val="26"/>
        </w:rPr>
        <w:lastRenderedPageBreak/>
        <w:drawing>
          <wp:inline distT="0" distB="0" distL="0" distR="0" wp14:anchorId="07B6716C" wp14:editId="7D29E4EB">
            <wp:extent cx="5334000" cy="3556000"/>
            <wp:effectExtent l="0" t="0" r="0" b="0"/>
            <wp:docPr id="2" name="Picture"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20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60C61210" w14:textId="11BF15DA" w:rsidR="008C1FD0" w:rsidRPr="008C1FD0" w:rsidRDefault="008C1FD0" w:rsidP="008C1FD0">
      <w:pPr>
        <w:pStyle w:val="Subtitle"/>
        <w:rPr>
          <w:rFonts w:eastAsia="Times New Roman"/>
        </w:rPr>
      </w:pPr>
      <w:r w:rsidRPr="008C1FD0">
        <w:rPr>
          <w:rFonts w:eastAsia="Times New Roman"/>
          <w:b/>
          <w:bCs/>
        </w:rPr>
        <w:t>Figure 2. Number of expected infections in a facility from model simulations comparing random and systematic testing strategies across transmission scenarios and test frequencies</w:t>
      </w:r>
      <w:r w:rsidRPr="008C1FD0">
        <w:rPr>
          <w:rFonts w:eastAsia="Times New Roman"/>
        </w:rPr>
        <w:t xml:space="preserve">. Systematic testing strategies ([triangles]) prevent more infections than random strategies ([circles]) across all transmission scenarios and test frequencies. The horizontal gray line serves as a reference to assess the testing frequency needed to maintain </w:t>
      </w:r>
      <m:oMath>
        <m:sSubSup>
          <m:sSubSupPr>
            <m:ctrlPr>
              <w:rPr>
                <w:rFonts w:ascii="Cambria Math" w:eastAsia="Times New Roman" w:hAnsi="Cambria Math"/>
              </w:rPr>
            </m:ctrlPr>
          </m:sSubSupPr>
          <m:e>
            <m:r>
              <m:rPr>
                <m:scr m:val="script"/>
                <m:sty m:val="b"/>
              </m:rPr>
              <w:rPr>
                <w:rFonts w:ascii="Cambria Math" w:eastAsia="Times New Roman" w:hAnsi="Cambria Math"/>
              </w:rPr>
              <m:t>I</m:t>
            </m:r>
          </m:e>
          <m:sub>
            <m:r>
              <m:rPr>
                <m:sty m:val="bi"/>
              </m:rPr>
              <w:rPr>
                <w:rFonts w:ascii="Cambria Math" w:eastAsia="Times New Roman" w:hAnsi="Cambria Math"/>
              </w:rPr>
              <m:t>sim</m:t>
            </m:r>
          </m:sub>
          <m:sup>
            <m:r>
              <m:rPr>
                <m:sty m:val="bi"/>
              </m:rPr>
              <w:rPr>
                <w:rFonts w:ascii="Cambria Math" w:eastAsia="Times New Roman" w:hAnsi="Cambria Math"/>
              </w:rPr>
              <m:t>tot</m:t>
            </m:r>
          </m:sup>
        </m:sSubSup>
        <m:r>
          <m:rPr>
            <m:sty m:val="p"/>
          </m:rPr>
          <w:rPr>
            <w:rFonts w:ascii="Cambria Math" w:eastAsia="Times New Roman" w:hAnsi="Cambria Math"/>
          </w:rPr>
          <m:t>≤</m:t>
        </m:r>
        <m:r>
          <m:rPr>
            <m:sty m:val="b"/>
          </m:rPr>
          <w:rPr>
            <w:rFonts w:ascii="Cambria Math" w:eastAsia="Times New Roman" w:hAnsi="Cambria Math"/>
          </w:rPr>
          <m:t>20</m:t>
        </m:r>
      </m:oMath>
      <w:r w:rsidRPr="008C1FD0">
        <w:rPr>
          <w:rFonts w:eastAsia="Times New Roman"/>
        </w:rPr>
        <w:t xml:space="preserve"> across different transmission scenarios. Error bars represent the interquartile range of </w:t>
      </w:r>
      <m:oMath>
        <m:sSubSup>
          <m:sSubSupPr>
            <m:ctrlPr>
              <w:rPr>
                <w:rFonts w:ascii="Cambria Math" w:eastAsia="Times New Roman" w:hAnsi="Cambria Math"/>
              </w:rPr>
            </m:ctrlPr>
          </m:sSubSupPr>
          <m:e>
            <m:r>
              <m:rPr>
                <m:scr m:val="script"/>
                <m:sty m:val="b"/>
              </m:rPr>
              <w:rPr>
                <w:rFonts w:ascii="Cambria Math" w:eastAsia="Times New Roman" w:hAnsi="Cambria Math"/>
              </w:rPr>
              <m:t>I</m:t>
            </m:r>
          </m:e>
          <m:sub>
            <m:r>
              <m:rPr>
                <m:sty m:val="bi"/>
              </m:rPr>
              <w:rPr>
                <w:rFonts w:ascii="Cambria Math" w:eastAsia="Times New Roman" w:hAnsi="Cambria Math"/>
              </w:rPr>
              <m:t>sim</m:t>
            </m:r>
          </m:sub>
          <m:sup>
            <m:r>
              <m:rPr>
                <m:sty m:val="bi"/>
              </m:rPr>
              <w:rPr>
                <w:rFonts w:ascii="Cambria Math" w:eastAsia="Times New Roman" w:hAnsi="Cambria Math"/>
              </w:rPr>
              <m:t>tot</m:t>
            </m:r>
          </m:sup>
        </m:sSubSup>
      </m:oMath>
      <w:r w:rsidRPr="008C1FD0">
        <w:rPr>
          <w:rFonts w:eastAsia="Times New Roman"/>
        </w:rPr>
        <w:t xml:space="preserve"> derived from 100 simulations per scenario.</w:t>
      </w:r>
    </w:p>
    <w:p w14:paraId="29AFC768" w14:textId="35E46230" w:rsidR="008C1FD0" w:rsidRPr="008C1FD0" w:rsidRDefault="008C1FD0" w:rsidP="008C1FD0">
      <w:r w:rsidRPr="008C1FD0">
        <w:t>An alternative threshold approach to aid decision-making, particularly in resource-constrained settings, is the ITER. Figure 3 shows estimates of the ITER across transmission scenarios only for systematic testing strategies since they were found to substantially outperform random strategies. In the highest transmission scenario (</w:t>
      </w:r>
      <m:oMath>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5</m:t>
        </m:r>
      </m:oMath>
      <w:r w:rsidRPr="008C1FD0">
        <w:t xml:space="preserve">, </w:t>
      </w:r>
      <m:oMath>
        <m:r>
          <m:rPr>
            <m:sty m:val="bi"/>
          </m:rPr>
          <w:rPr>
            <w:rFonts w:ascii="Cambria Math" w:hAnsi="Cambria Math"/>
          </w:rPr>
          <m:t>1</m:t>
        </m:r>
        <m:r>
          <m:rPr>
            <m:sty m:val="p"/>
          </m:rPr>
          <w:rPr>
            <w:rFonts w:ascii="Cambria Math" w:hAnsi="Cambria Math"/>
          </w:rPr>
          <m:t>%</m:t>
        </m:r>
      </m:oMath>
      <w:r w:rsidRPr="008C1FD0">
        <w:t xml:space="preserve"> community prevalence), testing on the first day of every other work week (</w:t>
      </w:r>
      <m:oMath>
        <m:r>
          <m:rPr>
            <m:sty m:val="bi"/>
          </m:rPr>
          <w:rPr>
            <w:rFonts w:ascii="Cambria Math" w:hAnsi="Cambria Math"/>
          </w:rPr>
          <m:t>f</m:t>
        </m:r>
        <m:r>
          <m:rPr>
            <m:sty m:val="p"/>
          </m:rPr>
          <w:rPr>
            <w:rFonts w:ascii="Cambria Math" w:hAnsi="Cambria Math"/>
          </w:rPr>
          <m:t>=</m:t>
        </m:r>
        <m:r>
          <m:rPr>
            <m:sty m:val="bi"/>
          </m:rPr>
          <w:rPr>
            <w:rFonts w:ascii="Cambria Math" w:hAnsi="Cambria Math"/>
          </w:rPr>
          <m:t>0</m:t>
        </m:r>
        <m:r>
          <w:rPr>
            <w:rFonts w:ascii="Cambria Math" w:hAnsi="Cambria Math"/>
          </w:rPr>
          <m:t>.</m:t>
        </m:r>
        <m:r>
          <m:rPr>
            <m:sty m:val="bi"/>
          </m:rPr>
          <w:rPr>
            <w:rFonts w:ascii="Cambria Math" w:hAnsi="Cambria Math"/>
          </w:rPr>
          <m:t>5</m:t>
        </m:r>
      </m:oMath>
      <w:r w:rsidRPr="008C1FD0">
        <w:t xml:space="preserve">, fig 3 circles) leads to </w:t>
      </w:r>
      <m:oMath>
        <m:r>
          <m:rPr>
            <m:sty m:val="bi"/>
          </m:rPr>
          <w:rPr>
            <w:rFonts w:ascii="Cambria Math" w:hAnsi="Cambria Math"/>
          </w:rPr>
          <m:t>ITER</m:t>
        </m:r>
        <m:r>
          <m:rPr>
            <m:sty m:val="p"/>
          </m:rPr>
          <w:rPr>
            <w:rFonts w:ascii="Cambria Math" w:hAnsi="Cambria Math"/>
          </w:rPr>
          <m:t>=</m:t>
        </m:r>
      </m:oMath>
      <w:r w:rsidRPr="008C1FD0">
        <w:t xml:space="preserve"> 29.31 (IQR 28.08 - 30.35), while increasing test frequency to weekly,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xml:space="preserve">, results in </w:t>
      </w:r>
      <m:oMath>
        <m:r>
          <m:rPr>
            <m:sty m:val="bi"/>
          </m:rPr>
          <w:rPr>
            <w:rFonts w:ascii="Cambria Math" w:hAnsi="Cambria Math"/>
          </w:rPr>
          <m:t>ITER</m:t>
        </m:r>
        <m:r>
          <m:rPr>
            <m:sty m:val="p"/>
          </m:rPr>
          <w:rPr>
            <w:rFonts w:ascii="Cambria Math" w:hAnsi="Cambria Math"/>
          </w:rPr>
          <m:t>=</m:t>
        </m:r>
      </m:oMath>
      <w:r w:rsidRPr="008C1FD0">
        <w:t xml:space="preserve"> 36.49 (IQR 36.02 - 36.9), to </w:t>
      </w:r>
      <m:oMath>
        <m:r>
          <m:rPr>
            <m:sty m:val="bi"/>
          </m:rPr>
          <w:rPr>
            <w:rFonts w:ascii="Cambria Math" w:hAnsi="Cambria Math"/>
          </w:rPr>
          <m:t>f</m:t>
        </m:r>
        <m:r>
          <m:rPr>
            <m:sty m:val="p"/>
          </m:rPr>
          <w:rPr>
            <w:rFonts w:ascii="Cambria Math" w:hAnsi="Cambria Math"/>
          </w:rPr>
          <m:t>=</m:t>
        </m:r>
        <m:r>
          <m:rPr>
            <m:sty m:val="bi"/>
          </m:rPr>
          <w:rPr>
            <w:rFonts w:ascii="Cambria Math" w:hAnsi="Cambria Math"/>
          </w:rPr>
          <m:t>2</m:t>
        </m:r>
      </m:oMath>
      <w:r w:rsidRPr="008C1FD0">
        <w:t xml:space="preserve">: </w:t>
      </w:r>
      <m:oMath>
        <m:r>
          <m:rPr>
            <m:sty m:val="bi"/>
          </m:rPr>
          <w:rPr>
            <w:rFonts w:ascii="Cambria Math" w:hAnsi="Cambria Math"/>
          </w:rPr>
          <m:t>ITER</m:t>
        </m:r>
        <m:r>
          <m:rPr>
            <m:sty m:val="p"/>
          </m:rPr>
          <w:rPr>
            <w:rFonts w:ascii="Cambria Math" w:hAnsi="Cambria Math"/>
          </w:rPr>
          <m:t>=</m:t>
        </m:r>
      </m:oMath>
      <w:r w:rsidRPr="008C1FD0">
        <w:t xml:space="preserve"> 64.12 (IQR 63.67 - 64.49), and to </w:t>
      </w:r>
      <m:oMath>
        <m:r>
          <m:rPr>
            <m:sty m:val="bi"/>
          </m:rPr>
          <w:rPr>
            <w:rFonts w:ascii="Cambria Math" w:hAnsi="Cambria Math"/>
          </w:rPr>
          <m:t>f</m:t>
        </m:r>
        <m:r>
          <m:rPr>
            <m:sty m:val="p"/>
          </m:rPr>
          <w:rPr>
            <w:rFonts w:ascii="Cambria Math" w:hAnsi="Cambria Math"/>
          </w:rPr>
          <m:t>=</m:t>
        </m:r>
        <m:r>
          <m:rPr>
            <m:sty m:val="bi"/>
          </m:rPr>
          <w:rPr>
            <w:rFonts w:ascii="Cambria Math" w:hAnsi="Cambria Math"/>
          </w:rPr>
          <m:t>4</m:t>
        </m:r>
      </m:oMath>
      <w:r w:rsidRPr="008C1FD0">
        <w:t xml:space="preserve">: </w:t>
      </w:r>
      <m:oMath>
        <m:r>
          <m:rPr>
            <m:sty m:val="bi"/>
          </m:rPr>
          <w:rPr>
            <w:rFonts w:ascii="Cambria Math" w:hAnsi="Cambria Math"/>
          </w:rPr>
          <m:t>ITER</m:t>
        </m:r>
        <m:r>
          <m:rPr>
            <m:sty m:val="p"/>
          </m:rPr>
          <w:rPr>
            <w:rFonts w:ascii="Cambria Math" w:hAnsi="Cambria Math"/>
          </w:rPr>
          <m:t>=</m:t>
        </m:r>
      </m:oMath>
      <w:r w:rsidRPr="008C1FD0">
        <w:t xml:space="preserve"> 122.73 (IQR 121.86 - 123.49). These values approximately correspond to test positivity rates of 3.41%, 2.74%, 1.56%, and 0.81% due to the interpretation of the ITER as the number of tests per positive result. Figure 3 also provides an example reference line at </w:t>
      </w:r>
      <m:oMath>
        <m:r>
          <m:rPr>
            <m:sty m:val="bi"/>
          </m:rPr>
          <w:rPr>
            <w:rFonts w:ascii="Cambria Math" w:hAnsi="Cambria Math"/>
          </w:rPr>
          <m:t>ITER</m:t>
        </m:r>
        <m:r>
          <m:rPr>
            <m:sty m:val="p"/>
          </m:rPr>
          <w:rPr>
            <w:rFonts w:ascii="Cambria Math" w:hAnsi="Cambria Math"/>
          </w:rPr>
          <m:t>=</m:t>
        </m:r>
        <m:r>
          <m:rPr>
            <m:sty m:val="bi"/>
          </m:rPr>
          <w:rPr>
            <w:rFonts w:ascii="Cambria Math" w:hAnsi="Cambria Math"/>
          </w:rPr>
          <m:t>400</m:t>
        </m:r>
      </m:oMath>
      <w:r w:rsidRPr="008C1FD0">
        <w:t xml:space="preserve">, corresponding to an approximate </w:t>
      </w:r>
      <m:oMath>
        <m:r>
          <m:rPr>
            <m:sty m:val="bi"/>
          </m:rPr>
          <w:rPr>
            <w:rFonts w:ascii="Cambria Math" w:hAnsi="Cambria Math"/>
          </w:rPr>
          <m:t>0</m:t>
        </m:r>
        <m:r>
          <w:rPr>
            <w:rFonts w:ascii="Cambria Math" w:hAnsi="Cambria Math"/>
          </w:rPr>
          <m:t>.</m:t>
        </m:r>
        <m:r>
          <m:rPr>
            <m:sty m:val="bi"/>
          </m:rPr>
          <w:rPr>
            <w:rFonts w:ascii="Cambria Math" w:hAnsi="Cambria Math"/>
          </w:rPr>
          <m:t>25</m:t>
        </m:r>
        <m:r>
          <m:rPr>
            <m:sty m:val="p"/>
          </m:rPr>
          <w:rPr>
            <w:rFonts w:ascii="Cambria Math" w:hAnsi="Cambria Math"/>
          </w:rPr>
          <m:t>%</m:t>
        </m:r>
      </m:oMath>
      <w:r w:rsidRPr="008C1FD0">
        <w:t xml:space="preserve"> test positivity, to demonstrate how testing frequency may be determined from the transmission scenario and target ITER, which may be influenced by the number of tests available.</w:t>
      </w:r>
    </w:p>
    <w:p w14:paraId="5781A138"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sz w:val="24"/>
          <w:szCs w:val="26"/>
        </w:rPr>
        <w:lastRenderedPageBreak/>
        <w:drawing>
          <wp:inline distT="0" distB="0" distL="0" distR="0" wp14:anchorId="4B3FFD69" wp14:editId="70E990AA">
            <wp:extent cx="5334000" cy="4267200"/>
            <wp:effectExtent l="0" t="0" r="0" b="0"/>
            <wp:docPr id="3" name="Picture"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5E48F90" w14:textId="0C869AC6" w:rsidR="00C465C5" w:rsidRPr="008C1FD0" w:rsidRDefault="008C1FD0" w:rsidP="008C1FD0">
      <w:pPr>
        <w:pStyle w:val="Subtitle"/>
        <w:rPr>
          <w:rFonts w:eastAsia="Times New Roman"/>
        </w:rPr>
      </w:pPr>
      <w:r w:rsidRPr="008C1FD0">
        <w:rPr>
          <w:rFonts w:eastAsia="Times New Roman"/>
          <w:b/>
          <w:bCs/>
        </w:rPr>
        <w:t>Figure 3. Incremental test effectiveness ratio (ITER) from simulations implementing systematic testing across transmission scenarios and testing frequencies</w:t>
      </w:r>
      <w:r w:rsidRPr="008C1FD0">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8C1FD0">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8C1FD0">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8C1FD0">
        <w:rPr>
          <w:rFonts w:eastAsia="Times New Roman"/>
        </w:rPr>
        <w:t xml:space="preserve"> is provided to aid visual comparison across scenarios. Error bars represent the interquartile range of expected infections derived from 100 simulations per scenario.</w:t>
      </w:r>
    </w:p>
    <w:p w14:paraId="5C6475C1" w14:textId="79FC36E5" w:rsidR="001072BC" w:rsidRDefault="00D9684A" w:rsidP="00870F7F">
      <w:pPr>
        <w:pStyle w:val="Heading2"/>
      </w:pPr>
      <w:r w:rsidRPr="00EB3D0F">
        <w:t>Discussion</w:t>
      </w:r>
    </w:p>
    <w:p w14:paraId="219EA5D3" w14:textId="48AB49F3" w:rsidR="00870F7F" w:rsidRDefault="00870F7F" w:rsidP="00870F7F">
      <w:r>
        <w:t xml:space="preserve">Here we have built on previous modeling and simulation analyses to demonstrate that systematic testing strategies </w:t>
      </w:r>
      <w:r w:rsidR="00F371A2">
        <w:t xml:space="preserve">with fast turnaround </w:t>
      </w:r>
      <w:r>
        <w:t>that align testing schedules with working schedules prevent more transmission events than non-systematic testing strategies</w:t>
      </w:r>
      <w:r w:rsidR="00F371A2">
        <w:t xml:space="preserve"> or those with a delay between testing and disclosure of a test result</w:t>
      </w:r>
      <w:r>
        <w:t xml:space="preserve">. A major benefit of such strategies is that they do not require higher testing frequency, nor </w:t>
      </w:r>
      <w:r w:rsidR="007501C4">
        <w:t>large</w:t>
      </w:r>
      <w:r>
        <w:t xml:space="preserve"> additional logistic</w:t>
      </w:r>
      <w:r w:rsidR="00F371A2">
        <w:t>al</w:t>
      </w:r>
      <w:r>
        <w:t xml:space="preserve"> investments. As such, we believe that </w:t>
      </w:r>
      <w:r w:rsidR="0060041F">
        <w:t xml:space="preserve">there is substantial value in </w:t>
      </w:r>
      <w:r>
        <w:t>implementing systematic</w:t>
      </w:r>
      <w:r w:rsidR="00F371A2">
        <w:t xml:space="preserve"> rapid</w:t>
      </w:r>
      <w:r>
        <w:t xml:space="preserve"> testing at the beginning of the work week for staff working in high-risk COVID-19 facilities such as carceral facilities, </w:t>
      </w:r>
      <w:r w:rsidR="0060041F">
        <w:t>skilled nursing facilities, and homeless shelters.</w:t>
      </w:r>
    </w:p>
    <w:p w14:paraId="2A3BA170" w14:textId="3DEFFD3A" w:rsidR="0060041F" w:rsidRDefault="007501C4" w:rsidP="00870F7F">
      <w:r>
        <w:t xml:space="preserve">Even as systematic testing strategies reduce within-facility transmission, they are not capable of preventing all transmission events. Systematic </w:t>
      </w:r>
      <w:r w:rsidR="00C650F7">
        <w:t>testing</w:t>
      </w:r>
      <w:r>
        <w:t xml:space="preserve"> represents one tool of many that should be implemented to prevent SAS-CoV2 introductions into congregate facilities. Universal masking, self-isolation following symptom onset or known exposure, and widespread vaccination all play an important role in preventing introductions into </w:t>
      </w:r>
      <w:r>
        <w:t>high risk populations</w:t>
      </w:r>
      <w:r w:rsidR="00652FDF">
        <w:t xml:space="preserve"> [</w:t>
      </w:r>
      <w:r w:rsidR="00652FDF" w:rsidRPr="00251108">
        <w:rPr>
          <w:highlight w:val="yellow"/>
        </w:rPr>
        <w:t>CITE</w:t>
      </w:r>
      <w:r w:rsidR="00251108" w:rsidRPr="00251108">
        <w:rPr>
          <w:highlight w:val="yellow"/>
        </w:rPr>
        <w:t>s</w:t>
      </w:r>
      <w:r w:rsidR="00652FDF">
        <w:t>]</w:t>
      </w:r>
      <w:r>
        <w:t>. [</w:t>
      </w:r>
      <w:r w:rsidR="00C650F7" w:rsidRPr="00C650F7">
        <w:rPr>
          <w:highlight w:val="yellow"/>
        </w:rPr>
        <w:t>Rena/Nick</w:t>
      </w:r>
      <w:r w:rsidR="00C650F7">
        <w:t xml:space="preserve"> </w:t>
      </w:r>
      <w:r w:rsidR="008E3B72" w:rsidRPr="00C650F7">
        <w:rPr>
          <w:highlight w:val="yellow"/>
        </w:rPr>
        <w:t>Politically tact s</w:t>
      </w:r>
      <w:r w:rsidRPr="00C650F7">
        <w:rPr>
          <w:highlight w:val="yellow"/>
        </w:rPr>
        <w:t>entence</w:t>
      </w:r>
      <w:r w:rsidR="008E3B72" w:rsidRPr="00C650F7">
        <w:rPr>
          <w:highlight w:val="yellow"/>
        </w:rPr>
        <w:t>(s)</w:t>
      </w:r>
      <w:r w:rsidRPr="00C650F7">
        <w:rPr>
          <w:highlight w:val="yellow"/>
        </w:rPr>
        <w:t xml:space="preserve"> </w:t>
      </w:r>
      <w:r w:rsidRPr="00C650F7">
        <w:rPr>
          <w:highlight w:val="yellow"/>
        </w:rPr>
        <w:lastRenderedPageBreak/>
        <w:t>here on how some of these policies/strategies suffer from low-adherence</w:t>
      </w:r>
      <w:r w:rsidR="008E3B72" w:rsidRPr="00C650F7">
        <w:rPr>
          <w:highlight w:val="yellow"/>
        </w:rPr>
        <w:t xml:space="preserve"> and therefore testing strategies remain very important.</w:t>
      </w:r>
      <w:r w:rsidR="008E3B72">
        <w:t>]</w:t>
      </w:r>
    </w:p>
    <w:p w14:paraId="77CF404B" w14:textId="6ECB1CC8" w:rsidR="008E3B72" w:rsidRDefault="002E1A9A" w:rsidP="00870F7F">
      <w:r>
        <w:t>The exclusion of these additional interventions</w:t>
      </w:r>
      <w:r>
        <w:t xml:space="preserve"> is a </w:t>
      </w:r>
      <w:r w:rsidR="00652FDF">
        <w:t xml:space="preserve">potential limitation, however, </w:t>
      </w:r>
      <w:r>
        <w:t xml:space="preserve">we </w:t>
      </w:r>
      <w:r w:rsidR="00652FDF">
        <w:t>expect additional interventions to lead to simple proportional reductions in the simulated number of transmission events in a facility.</w:t>
      </w:r>
      <w: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t xml:space="preserve">simulated </w:t>
      </w:r>
      <w:r>
        <w:t>facility</w:t>
      </w:r>
      <w:r w:rsidR="00354103">
        <w:t>, but rather record the total number of transmission events. Estimation of staff-staff and staff-resident contact rates or reproduction numbers would enable m</w:t>
      </w:r>
      <w:r w:rsidR="00354103">
        <w:t xml:space="preserve">ore precise accounting </w:t>
      </w:r>
      <w:r w:rsidR="00354103">
        <w:t>and simulation of importation events and subsequent transmission within a facility.</w:t>
      </w:r>
    </w:p>
    <w:p w14:paraId="011C0BC3" w14:textId="0703270F" w:rsidR="00DE268B" w:rsidRDefault="00DE268B" w:rsidP="00870F7F">
      <w:r w:rsidRPr="00DE268B">
        <w:rPr>
          <w:highlight w:val="yellow"/>
        </w:rPr>
        <w:t>[@Seth could you add a couple sentences here about probability of an outbreak given X introductions?</w:t>
      </w:r>
      <w:r>
        <w:t>]</w:t>
      </w:r>
    </w:p>
    <w:p w14:paraId="3ECDDF0C" w14:textId="6C121CF6" w:rsidR="00DE268B" w:rsidRDefault="00F371A2" w:rsidP="00870F7F">
      <w:r>
        <w:t>The modeling and simulation framework presented here is applicable beyond COVID-19 in congregate settings</w:t>
      </w:r>
      <w:r w:rsidR="00D07C11">
        <w:t xml:space="preserve"> in which outbreaks sparked by staff introductions are a hazard</w:t>
      </w:r>
      <w:r>
        <w:t xml:space="preserve">. </w:t>
      </w:r>
      <w:r w:rsidR="003B5E4B">
        <w:t xml:space="preserve">Other applicable settings may include the introduction of hospital acquired infections from newly admitted patients or from hospital staff, introduction of other respiratory pathogens such as influenza or pertussis into congregate settings, </w:t>
      </w:r>
      <w:r w:rsidR="003B5E4B" w:rsidRPr="003B5E4B">
        <w:rPr>
          <w:highlight w:val="yellow"/>
        </w:rPr>
        <w:t>or [3</w:t>
      </w:r>
      <w:r w:rsidR="003B5E4B" w:rsidRPr="003B5E4B">
        <w:rPr>
          <w:highlight w:val="yellow"/>
          <w:vertAlign w:val="superscript"/>
        </w:rPr>
        <w:t>rd</w:t>
      </w:r>
      <w:r w:rsidR="003B5E4B" w:rsidRPr="003B5E4B">
        <w:rPr>
          <w:highlight w:val="yellow"/>
        </w:rPr>
        <w:t xml:space="preserve"> example or stick with 2?</w:t>
      </w:r>
      <w:r w:rsidR="003B5E4B">
        <w:t xml:space="preserve">]. </w:t>
      </w:r>
      <w:r>
        <w:t xml:space="preserve">Accurate parameterization of </w:t>
      </w:r>
      <w:r w:rsidR="00D07C11">
        <w:t xml:space="preserve">key </w:t>
      </w:r>
      <w:r w:rsidR="003B5E4B">
        <w:t xml:space="preserve">natural history traits of the pathogen in question such as </w:t>
      </w:r>
      <w:r>
        <w:t xml:space="preserve">the latent, incubation, and infectious periods </w:t>
      </w:r>
      <w:r w:rsidR="00D07C11">
        <w:t>is</w:t>
      </w:r>
      <w:r>
        <w:t xml:space="preserve"> essential to </w:t>
      </w:r>
      <w:r w:rsidR="003B5E4B">
        <w:t xml:space="preserve">estimate the impact of nonpharmaceutical interventions such as asymptomatic screening </w:t>
      </w:r>
      <w:r w:rsidR="003B5E4B">
        <w:fldChar w:fldCharType="begin"/>
      </w:r>
      <w:r w:rsidR="003B5E4B">
        <w:instrText xml:space="preserve"> ADDIN ZOTERO_ITEM CSL_CITATION {"citationID":"Z9n67MKQ","properties":{"formattedCitation":"(14)","plainCitation":"(14)","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fldChar w:fldCharType="separate"/>
      </w:r>
      <w:r w:rsidR="003B5E4B">
        <w:rPr>
          <w:noProof/>
        </w:rPr>
        <w:t>(14)</w:t>
      </w:r>
      <w:r w:rsidR="003B5E4B">
        <w:fldChar w:fldCharType="end"/>
      </w:r>
      <w:r w:rsidR="003B5E4B">
        <w:t>. Pathogens that cause symptoms prior to infectiousness (</w:t>
      </w:r>
      <m:oMath>
        <m:sSub>
          <m:sSubPr>
            <m:ctrlPr>
              <w:rPr>
                <w:rFonts w:ascii="Cambria Math" w:hAnsi="Cambria Math"/>
                <w:i/>
              </w:rPr>
            </m:ctrlPr>
          </m:sSubPr>
          <m:e>
            <m:r>
              <w:rPr>
                <w:rFonts w:ascii="Cambria Math" w:hAnsi="Cambria Math"/>
              </w:rPr>
              <m:t>t</m:t>
            </m:r>
          </m:e>
          <m:sub>
            <m:r>
              <w:rPr>
                <w:rFonts w:ascii="Cambria Math" w:hAnsi="Cambria Math"/>
              </w:rPr>
              <m:t>incubation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latent</m:t>
            </m:r>
          </m:sub>
        </m:sSub>
      </m:oMath>
      <w:r w:rsidR="003B5E4B">
        <w:t xml:space="preserve">), for instance, may be more effectively controlled at lower cost via symptom screening and subsequent isolation. </w:t>
      </w:r>
    </w:p>
    <w:p w14:paraId="1506636E" w14:textId="6FD883A9" w:rsidR="002B5ECA" w:rsidRDefault="003B5E4B" w:rsidP="00BD02C3">
      <w:pPr>
        <w:rPr>
          <w:rFonts w:eastAsiaTheme="minorEastAsia"/>
        </w:rPr>
      </w:pPr>
      <w:r>
        <w:t>For SARS-CoV2</w:t>
      </w:r>
      <w:r w:rsidR="007E2095">
        <w:t xml:space="preserve">, pre- and asymptomatic transmission make viral testing a key component of prevention strategies. </w:t>
      </w:r>
      <w:r w:rsidR="00BD02C3">
        <w:t xml:space="preserve">Preventing delays between testing and the test result is also found to be an essential component to any testing strategy. Increasing the frequency of testing may also be necessary in settings with high community prevalence or the opportunity for rapid spread within a facility. Testing all four days of a regular work week was necessary to prevent more than 20 transmission events within a facility over the 6-month simulation period considered here when community prevalence was 1.5% and </w:t>
      </w:r>
      <m:oMath>
        <m:r>
          <m:rPr>
            <m:scr m:val="script"/>
          </m:rPr>
          <w:rPr>
            <w:rFonts w:ascii="Cambria Math" w:hAnsi="Cambria Math"/>
          </w:rPr>
          <m:t>R=</m:t>
        </m:r>
        <m:r>
          <w:rPr>
            <w:rFonts w:ascii="Cambria Math" w:hAnsi="Cambria Math"/>
          </w:rPr>
          <m:t>1.5</m:t>
        </m:r>
      </m:oMath>
      <w:r w:rsidR="00BD02C3">
        <w:rPr>
          <w:rFonts w:eastAsiaTheme="minorEastAsia"/>
        </w:rPr>
        <w:t xml:space="preserve">. In the lowest transmission setting with 0.5% community prevalence and </w:t>
      </w:r>
      <m:oMath>
        <m:r>
          <m:rPr>
            <m:scr m:val="script"/>
          </m:rPr>
          <w:rPr>
            <w:rFonts w:ascii="Cambria Math" w:eastAsiaTheme="minorEastAsia" w:hAnsi="Cambria Math"/>
          </w:rPr>
          <m:t>R=</m:t>
        </m:r>
        <m:r>
          <w:rPr>
            <w:rFonts w:ascii="Cambria Math" w:eastAsiaTheme="minorEastAsia" w:hAnsi="Cambria Math"/>
          </w:rPr>
          <m:t>0.5</m:t>
        </m:r>
      </m:oMath>
      <w:r w:rsidR="00BD02C3">
        <w:rPr>
          <w:rFonts w:eastAsiaTheme="minorEastAsia"/>
        </w:rPr>
        <w:t>, the same threshold of 20 transmission events was met without any systematic testing. For intermediate transmissions scenarios or lower transmission event thresholds, testing frequencies ranging from biweekly to weekly to twice per week may be required.</w:t>
      </w:r>
    </w:p>
    <w:p w14:paraId="603FD7A3" w14:textId="260CE44A" w:rsidR="00BD02C3" w:rsidRDefault="00BD02C3" w:rsidP="00BD02C3">
      <w:r>
        <w:rPr>
          <w:rFonts w:eastAsiaTheme="minorEastAsia"/>
        </w:rPr>
        <w:t xml:space="preserve">We also present the incremental test effectiveness ratio (ITER) as a per-test measure of effectiveness for </w:t>
      </w:r>
      <w:r w:rsidR="00251108">
        <w:rPr>
          <w:rFonts w:eastAsiaTheme="minorEastAsia"/>
        </w:rPr>
        <w:t>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74038987" w14:textId="1F0C70CE" w:rsidR="00BD02C3" w:rsidRPr="00BD02C3" w:rsidRDefault="00BD02C3" w:rsidP="00BD02C3">
      <w:r>
        <w:t xml:space="preserve">In conclusion, </w:t>
      </w:r>
      <w:r>
        <w:t>we have shown that aligning the timing of testing with regular working schedules for staff in congregate settings can substantially improve the efficacy of asymptomatic screening.</w:t>
      </w:r>
      <w:r w:rsidR="00251108">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high risk populations in congregate settings should continue until </w:t>
      </w:r>
      <w:r w:rsidR="00B40165">
        <w:t>community transmission or within-facility transmission potential are sufficiently reduced to prevent outbreaks.</w:t>
      </w:r>
    </w:p>
    <w:p w14:paraId="7DD86554" w14:textId="21FE7ED3" w:rsidR="00663D20" w:rsidRPr="00EB3D0F" w:rsidRDefault="00C465C5" w:rsidP="00BD02C3">
      <w:pPr>
        <w:pStyle w:val="Heading2"/>
      </w:pPr>
      <w:r w:rsidRPr="00EB3D0F">
        <w:lastRenderedPageBreak/>
        <w:t>Acknowledgements</w:t>
      </w:r>
    </w:p>
    <w:p w14:paraId="2D3E636F" w14:textId="77777777" w:rsidR="00EC656A" w:rsidRPr="00EB3D0F" w:rsidRDefault="00EC656A" w:rsidP="00EC656A">
      <w:pPr>
        <w:spacing w:after="0" w:line="480" w:lineRule="auto"/>
        <w:jc w:val="both"/>
        <w:rPr>
          <w:rFonts w:ascii="Times New Roman" w:eastAsia="Times New Roman" w:hAnsi="Times New Roman" w:cs="Times New Roman"/>
          <w:b/>
          <w:iCs/>
          <w:sz w:val="24"/>
          <w:szCs w:val="24"/>
          <w:lang w:eastAsia="zh-CN"/>
        </w:rPr>
      </w:pPr>
    </w:p>
    <w:p w14:paraId="4D797603" w14:textId="77777777" w:rsidR="00075106" w:rsidRPr="00EB3D0F" w:rsidRDefault="00D54964" w:rsidP="00BD02C3">
      <w:pPr>
        <w:pStyle w:val="Heading2"/>
        <w:rPr>
          <w:rFonts w:eastAsia="Times New Roman"/>
          <w:lang w:eastAsia="zh-CN"/>
        </w:rPr>
      </w:pPr>
      <w:r w:rsidRPr="00EB3D0F">
        <w:rPr>
          <w:rFonts w:eastAsia="Times New Roman"/>
          <w:lang w:eastAsia="zh-CN"/>
        </w:rPr>
        <w:t>Disclaimer</w:t>
      </w:r>
    </w:p>
    <w:p w14:paraId="7AC439B3" w14:textId="41869FBC" w:rsidR="00EB3D0F" w:rsidRDefault="00D54964"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B3D0F">
        <w:rPr>
          <w:rFonts w:ascii="Times New Roman" w:eastAsia="Times New Roman" w:hAnsi="Times New Roman" w:cs="Times New Roman"/>
          <w:color w:val="000000"/>
          <w:sz w:val="24"/>
          <w:szCs w:val="24"/>
          <w:shd w:val="clear" w:color="auto" w:fill="FFFFFF"/>
          <w:lang w:eastAsia="zh-CN"/>
        </w:rPr>
        <w:t>T</w:t>
      </w:r>
      <w:r w:rsidRPr="00EB3D0F">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B3D0F">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B3D0F">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0C4642" w:rsidRDefault="000C4642" w:rsidP="000C4642">
      <w:pPr>
        <w:spacing w:line="360" w:lineRule="auto"/>
        <w:rPr>
          <w:rFonts w:ascii="Times New Roman" w:hAnsi="Times New Roman" w:cs="Times New Roman"/>
          <w:b/>
          <w:color w:val="000000"/>
          <w:sz w:val="24"/>
          <w:szCs w:val="24"/>
          <w:shd w:val="clear" w:color="auto" w:fill="FFFFFF"/>
        </w:rPr>
      </w:pPr>
    </w:p>
    <w:p w14:paraId="403C6958" w14:textId="0CAB00EF" w:rsidR="000C4642" w:rsidRPr="000C4642" w:rsidRDefault="000C4642" w:rsidP="00BD02C3">
      <w:pPr>
        <w:pStyle w:val="Heading2"/>
        <w:rPr>
          <w:shd w:val="clear" w:color="auto" w:fill="FFFFFF"/>
        </w:rPr>
      </w:pPr>
      <w:r w:rsidRPr="000C4642">
        <w:rPr>
          <w:shd w:val="clear" w:color="auto" w:fill="FFFFFF"/>
        </w:rPr>
        <w:t>Biographical sketch</w:t>
      </w:r>
    </w:p>
    <w:p w14:paraId="64AAC876" w14:textId="644A2143" w:rsidR="000C4642" w:rsidRPr="00BD02C3" w:rsidRDefault="000C4642" w:rsidP="00BD02C3">
      <w:pPr>
        <w:spacing w:line="480" w:lineRule="auto"/>
        <w:rPr>
          <w:rFonts w:ascii="Times New Roman" w:hAnsi="Times New Roman" w:cs="Times New Roman"/>
          <w:color w:val="000000"/>
          <w:sz w:val="24"/>
          <w:szCs w:val="24"/>
          <w:shd w:val="clear" w:color="auto" w:fill="FFFFFF"/>
        </w:rPr>
      </w:pPr>
      <w:r w:rsidRPr="000C4642">
        <w:rPr>
          <w:rFonts w:ascii="Times New Roman" w:hAnsi="Times New Roman" w:cs="Times New Roman"/>
          <w:color w:val="000000"/>
          <w:sz w:val="24"/>
          <w:szCs w:val="24"/>
          <w:shd w:val="clear" w:color="auto" w:fill="FFFFFF"/>
        </w:rPr>
        <w:t xml:space="preserve">Dr. </w:t>
      </w:r>
      <w:r w:rsidR="006C74B6">
        <w:rPr>
          <w:rFonts w:ascii="Times New Roman" w:hAnsi="Times New Roman" w:cs="Times New Roman"/>
          <w:color w:val="000000"/>
          <w:sz w:val="24"/>
          <w:szCs w:val="24"/>
          <w:shd w:val="clear" w:color="auto" w:fill="FFFFFF"/>
        </w:rPr>
        <w:t>Hoover</w:t>
      </w:r>
      <w:r w:rsidRPr="000C4642">
        <w:rPr>
          <w:rFonts w:ascii="Times New Roman" w:hAnsi="Times New Roman" w:cs="Times New Roman"/>
          <w:color w:val="000000"/>
          <w:sz w:val="24"/>
          <w:szCs w:val="24"/>
          <w:shd w:val="clear" w:color="auto" w:fill="FFFFFF"/>
        </w:rPr>
        <w:t xml:space="preserve"> is </w:t>
      </w:r>
      <w:r w:rsidR="006C74B6">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0C4642">
        <w:rPr>
          <w:rFonts w:ascii="Times New Roman" w:hAnsi="Times New Roman" w:cs="Times New Roman"/>
          <w:color w:val="000000"/>
          <w:sz w:val="24"/>
          <w:szCs w:val="24"/>
          <w:shd w:val="clear" w:color="auto" w:fill="FFFFFF"/>
        </w:rPr>
        <w:t xml:space="preserve">. </w:t>
      </w:r>
      <w:r w:rsidR="006C74B6">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0C4642">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Default="005F6118" w:rsidP="00BD02C3">
      <w:pPr>
        <w:pStyle w:val="Heading2"/>
        <w:rPr>
          <w:rFonts w:eastAsia="Times New Roman"/>
          <w:shd w:val="clear" w:color="auto" w:fill="FFFFFF"/>
          <w:lang w:eastAsia="zh-CN"/>
        </w:rPr>
      </w:pPr>
      <w:r w:rsidRPr="00EB3D0F">
        <w:rPr>
          <w:rFonts w:eastAsia="Times New Roman"/>
          <w:shd w:val="clear" w:color="auto" w:fill="FFFFFF"/>
          <w:lang w:eastAsia="zh-CN"/>
        </w:rPr>
        <w:lastRenderedPageBreak/>
        <w:t>References</w:t>
      </w:r>
    </w:p>
    <w:p w14:paraId="7228176A" w14:textId="77777777" w:rsidR="003B5E4B" w:rsidRPr="003B5E4B" w:rsidRDefault="00D21B0A" w:rsidP="003B5E4B">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3B5E4B" w:rsidRPr="003B5E4B">
        <w:rPr>
          <w:rFonts w:ascii="Times New Roman" w:hAnsi="Times New Roman" w:cs="Times New Roman"/>
          <w:color w:val="000000"/>
          <w:sz w:val="24"/>
        </w:rPr>
        <w:t xml:space="preserve">1. </w:t>
      </w:r>
      <w:r w:rsidR="003B5E4B" w:rsidRPr="003B5E4B">
        <w:rPr>
          <w:rFonts w:ascii="Times New Roman" w:hAnsi="Times New Roman" w:cs="Times New Roman"/>
          <w:color w:val="000000"/>
          <w:sz w:val="24"/>
        </w:rPr>
        <w:tab/>
        <w:t xml:space="preserve">Tobolowsky FA, Gonzales E, Self JL, Rao CY, Keating R, Marx GE, et al. COVID-19 Outbreak Among Three Affiliated Homeless Service Sites — King County, Washington, 2020. MMWR Morb Mortal Wkly Rep. 2020 May 1;69(17):523–6. </w:t>
      </w:r>
    </w:p>
    <w:p w14:paraId="07172CB5"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2. </w:t>
      </w:r>
      <w:r w:rsidRPr="003B5E4B">
        <w:rPr>
          <w:rFonts w:ascii="Times New Roman" w:hAnsi="Times New Roman" w:cs="Times New Roman"/>
          <w:color w:val="000000"/>
          <w:sz w:val="24"/>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1F1ABE26"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3. </w:t>
      </w:r>
      <w:r w:rsidRPr="003B5E4B">
        <w:rPr>
          <w:rFonts w:ascii="Times New Roman" w:hAnsi="Times New Roman" w:cs="Times New Roman"/>
          <w:color w:val="000000"/>
          <w:sz w:val="24"/>
        </w:rPr>
        <w:tab/>
        <w:t xml:space="preserve">Baggett TP, Keyes H, Sporn N, Gaeta JM. Prevalence of SARS-CoV-2 Infection in Residents of a Large Homeless Shelter in Boston. JAMA. 2020 Jun 2;323(21):2191. </w:t>
      </w:r>
    </w:p>
    <w:p w14:paraId="5FFD7997"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4. </w:t>
      </w:r>
      <w:r w:rsidRPr="003B5E4B">
        <w:rPr>
          <w:rFonts w:ascii="Times New Roman" w:hAnsi="Times New Roman" w:cs="Times New Roman"/>
          <w:color w:val="000000"/>
          <w:sz w:val="24"/>
        </w:rPr>
        <w:tab/>
        <w:t xml:space="preserve">Mosites E, Parker EM, Clarke KEN, Gaeta JM, Baggett TP, Imbert E, et al. Assessment of SARS-CoV-2 Infection Prevalence in Homeless Shelters — Four U.S. Cities, March 27–April 15, 2020. MMWR Morb Mortal Wkly Rep. 2020 May 1;69(17):521–2. </w:t>
      </w:r>
    </w:p>
    <w:p w14:paraId="1A2E8221"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5. </w:t>
      </w:r>
      <w:r w:rsidRPr="003B5E4B">
        <w:rPr>
          <w:rFonts w:ascii="Times New Roman" w:hAnsi="Times New Roman" w:cs="Times New Roman"/>
          <w:color w:val="000000"/>
          <w:sz w:val="24"/>
        </w:rPr>
        <w:tab/>
        <w:t xml:space="preserve">Wallace M, Hagan L, Curran KG, Williams SP, Handanagic S, Bjork A, et al. COVID-19 in Correctional and Detention Facilities - United States, February-April 2020. MMWR Morb Mortal Wkly Rep. 2020 May 15;69(19):587–90. </w:t>
      </w:r>
    </w:p>
    <w:p w14:paraId="0542F187"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6. </w:t>
      </w:r>
      <w:r w:rsidRPr="003B5E4B">
        <w:rPr>
          <w:rFonts w:ascii="Times New Roman" w:hAnsi="Times New Roman" w:cs="Times New Roman"/>
          <w:color w:val="000000"/>
          <w:sz w:val="24"/>
        </w:rPr>
        <w:tab/>
        <w:t xml:space="preserve">Puglisi LB, Malloy GSP, Harvey TD, Brandeau ML, Wang EA. Estimation of COVID-19 basic reproduction ratio in a large urban jail in the United States. Annals of Epidemiology. 2021 Jan 1;53:103–5. </w:t>
      </w:r>
    </w:p>
    <w:p w14:paraId="74386ABB"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7. </w:t>
      </w:r>
      <w:r w:rsidRPr="003B5E4B">
        <w:rPr>
          <w:rFonts w:ascii="Times New Roman" w:hAnsi="Times New Roman" w:cs="Times New Roman"/>
          <w:color w:val="000000"/>
          <w:sz w:val="24"/>
        </w:rPr>
        <w:tab/>
        <w:t xml:space="preserve">Chapman LAC, Kushel M, Cox SN, Scarborough A, Cawley C, Nguyen TQ, et al. Comparison of infection control strategies to reduce COVID-19 outbreaks in homeless shelters in the United States: a simulation study. BMC Med. 2021 May 7;19(1):116. </w:t>
      </w:r>
    </w:p>
    <w:p w14:paraId="33638BF5"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8. </w:t>
      </w:r>
      <w:r w:rsidRPr="003B5E4B">
        <w:rPr>
          <w:rFonts w:ascii="Times New Roman" w:hAnsi="Times New Roman" w:cs="Times New Roman"/>
          <w:color w:val="000000"/>
          <w:sz w:val="24"/>
        </w:rPr>
        <w:tab/>
        <w:t>Office of the Inspector General. COVID–19 Review Series, Part Three: California Correctional Health Care Services and the California Department of Corrections and Rehabilitation Caused a Public Health Disaster at San Quentin State Prison When They Transferred Medically Vulnerable Incarcerated Persons From the California Institution for Men Without Taking Proper Safeguards [Internet]. 2021 [cited 2021 Jun 30]. Available from: https://www.oig.ca.gov/wp-content/uploads/2021/02/OIG-COVID-19-Review-Series-Part-3-%E2%80%93-Transfer-of-Patients-from-CIM.pdf</w:t>
      </w:r>
    </w:p>
    <w:p w14:paraId="0CFD11F2"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9. </w:t>
      </w:r>
      <w:r w:rsidRPr="003B5E4B">
        <w:rPr>
          <w:rFonts w:ascii="Times New Roman" w:hAnsi="Times New Roman" w:cs="Times New Roman"/>
          <w:color w:val="000000"/>
          <w:sz w:val="24"/>
        </w:rPr>
        <w:tab/>
        <w:t xml:space="preserve">Hershow RB, Segaloff HE, Shockey AC, Florek KR, Murphy SK, DuBose W, et al. Rapid Spread of SARS-CoV-2 in a State Prison After Introduction by Newly Transferred Incarcerated Persons — Wisconsin, August 14–October 22, 2020. MMWR Morb Mortal Wkly Rep. 2021 Apr 2;70(13):478–82. </w:t>
      </w:r>
    </w:p>
    <w:p w14:paraId="63A61F85"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10. </w:t>
      </w:r>
      <w:r w:rsidRPr="003B5E4B">
        <w:rPr>
          <w:rFonts w:ascii="Times New Roman" w:hAnsi="Times New Roman" w:cs="Times New Roman"/>
          <w:color w:val="000000"/>
          <w:sz w:val="24"/>
        </w:rPr>
        <w:tab/>
        <w:t xml:space="preserve">Lewis NM, Salmanson AP, Price A, Risk I, Guymon C, Wisner M, et al. Community-Associated Outbreak of COVID-19 in a Correctional Facility - Utah, September 2020-January 2021. MMWR Morb Mortal Wkly Rep. 2021 Apr 2;70(13):467–72. </w:t>
      </w:r>
    </w:p>
    <w:p w14:paraId="77140A67"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lastRenderedPageBreak/>
        <w:t xml:space="preserve">11. </w:t>
      </w:r>
      <w:r w:rsidRPr="003B5E4B">
        <w:rPr>
          <w:rFonts w:ascii="Times New Roman" w:hAnsi="Times New Roman" w:cs="Times New Roman"/>
          <w:color w:val="000000"/>
          <w:sz w:val="24"/>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56E0107F"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12. </w:t>
      </w:r>
      <w:r w:rsidRPr="003B5E4B">
        <w:rPr>
          <w:rFonts w:ascii="Times New Roman" w:hAnsi="Times New Roman" w:cs="Times New Roman"/>
          <w:color w:val="000000"/>
          <w:sz w:val="24"/>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6CE5B45F"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13. </w:t>
      </w:r>
      <w:r w:rsidRPr="003B5E4B">
        <w:rPr>
          <w:rFonts w:ascii="Times New Roman" w:hAnsi="Times New Roman" w:cs="Times New Roman"/>
          <w:color w:val="000000"/>
          <w:sz w:val="24"/>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4345915B"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14. </w:t>
      </w:r>
      <w:r w:rsidRPr="003B5E4B">
        <w:rPr>
          <w:rFonts w:ascii="Times New Roman" w:hAnsi="Times New Roman" w:cs="Times New Roman"/>
          <w:color w:val="000000"/>
          <w:sz w:val="24"/>
        </w:rPr>
        <w:tab/>
        <w:t xml:space="preserve">Peak CM, Childs LM, Grad YH, Buckee CO. Comparing nonpharmaceutical interventions for containing emerging epidemics. PNAS. 2017 Apr 11;114(15):4023–8. </w:t>
      </w:r>
    </w:p>
    <w:p w14:paraId="5EE618D0"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15. </w:t>
      </w:r>
      <w:r w:rsidRPr="003B5E4B">
        <w:rPr>
          <w:rFonts w:ascii="Times New Roman" w:hAnsi="Times New Roman" w:cs="Times New Roman"/>
          <w:color w:val="000000"/>
          <w:sz w:val="24"/>
        </w:rPr>
        <w:tab/>
        <w:t xml:space="preserve">Larremore DB, Wilder B, Lester E, Shehata S, Burke JM, Hay JA, et al. Test sensitivity is secondary to frequency and turnaround time for COVID-19 screening. Science Advances. 2021 Jan 1;7(1):eabd5393. </w:t>
      </w:r>
    </w:p>
    <w:p w14:paraId="3C52CBB7"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16. </w:t>
      </w:r>
      <w:r w:rsidRPr="003B5E4B">
        <w:rPr>
          <w:rFonts w:ascii="Times New Roman" w:hAnsi="Times New Roman" w:cs="Times New Roman"/>
          <w:color w:val="000000"/>
          <w:sz w:val="24"/>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4F5DF163"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17. </w:t>
      </w:r>
      <w:r w:rsidRPr="003B5E4B">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62024EDC"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18. </w:t>
      </w:r>
      <w:r w:rsidRPr="003B5E4B">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0D983D58"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19. </w:t>
      </w:r>
      <w:r w:rsidRPr="003B5E4B">
        <w:rPr>
          <w:rFonts w:ascii="Times New Roman" w:hAnsi="Times New Roman" w:cs="Times New Roman"/>
          <w:color w:val="000000"/>
          <w:sz w:val="24"/>
        </w:rPr>
        <w:tab/>
        <w:t xml:space="preserve">Wickham H, Averick M, Bryan J, Chang W, McGowan LD, François R, et al. Welcome to the tidyverse. Journal of Open Source Software. 2019;4(43):1686. </w:t>
      </w:r>
    </w:p>
    <w:p w14:paraId="24761045"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20. </w:t>
      </w:r>
      <w:r w:rsidRPr="003B5E4B">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605ADC7D" w14:textId="77777777" w:rsidR="003B5E4B" w:rsidRPr="003B5E4B" w:rsidRDefault="003B5E4B" w:rsidP="003B5E4B">
      <w:pPr>
        <w:pStyle w:val="Bibliography"/>
        <w:rPr>
          <w:rFonts w:ascii="Times New Roman" w:hAnsi="Times New Roman" w:cs="Times New Roman"/>
          <w:color w:val="000000"/>
          <w:sz w:val="24"/>
        </w:rPr>
      </w:pPr>
      <w:r w:rsidRPr="003B5E4B">
        <w:rPr>
          <w:rFonts w:ascii="Times New Roman" w:hAnsi="Times New Roman" w:cs="Times New Roman"/>
          <w:color w:val="000000"/>
          <w:sz w:val="24"/>
        </w:rPr>
        <w:t xml:space="preserve">21. </w:t>
      </w:r>
      <w:r w:rsidRPr="003B5E4B">
        <w:rPr>
          <w:rFonts w:ascii="Times New Roman" w:hAnsi="Times New Roman" w:cs="Times New Roman"/>
          <w:color w:val="000000"/>
          <w:sz w:val="24"/>
        </w:rPr>
        <w:tab/>
        <w:t>Pedersen TL. patchwork: The Composer of Plots [Internet]. 2020. Available from: https://CRAN.R-project.org/package=patchwork</w:t>
      </w:r>
    </w:p>
    <w:p w14:paraId="464FE3E4" w14:textId="353FE82D"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over, Christopher M" w:date="2021-06-30T16:17:00Z" w:initials="HCM">
    <w:p w14:paraId="5DE797E3" w14:textId="77777777" w:rsidR="00D54CB3" w:rsidRDefault="00D54CB3" w:rsidP="00D54CB3">
      <w:pPr>
        <w:pStyle w:val="CommentText"/>
      </w:pPr>
      <w:r>
        <w:rPr>
          <w:rStyle w:val="CommentReference"/>
        </w:rPr>
        <w:annotationRef/>
      </w:r>
      <w:r>
        <w:t>David Sears, others?</w:t>
      </w:r>
    </w:p>
  </w:comment>
  <w:comment w:id="1" w:author="Hoover, Christopher M" w:date="2021-07-12T13:27:00Z" w:initials="HCM">
    <w:p w14:paraId="180B0F28" w14:textId="734BD5D3" w:rsidR="00C650F7" w:rsidRDefault="00C650F7">
      <w:pPr>
        <w:pStyle w:val="CommentText"/>
      </w:pPr>
      <w:r>
        <w:rPr>
          <w:rStyle w:val="CommentReference"/>
        </w:rPr>
        <w:annotationRef/>
      </w:r>
      <w:r>
        <w:t>@Rena any cites for this/any edits to the sentence itself?</w:t>
      </w:r>
    </w:p>
  </w:comment>
  <w:comment w:id="2" w:author="Hoover, Christopher M" w:date="2021-06-30T12:57:00Z" w:initials="HCM">
    <w:p w14:paraId="09433904" w14:textId="1BE1F2A4" w:rsidR="00147672" w:rsidRDefault="00147672" w:rsidP="00147672">
      <w:pPr>
        <w:pStyle w:val="NormalWeb"/>
        <w:spacing w:before="0" w:beforeAutospacing="0" w:after="0" w:afterAutospacing="0"/>
      </w:pPr>
      <w:r>
        <w:rPr>
          <w:rStyle w:val="CommentReference"/>
        </w:rPr>
        <w:annotationRef/>
      </w:r>
      <w:r w:rsidR="008941A3">
        <w:t>@</w:t>
      </w:r>
      <w:r>
        <w:t>Rena, can you fill in a sentence or two here? Based on previous comment:</w:t>
      </w:r>
      <w:r>
        <w:br/>
      </w:r>
      <w:r>
        <w:br/>
      </w:r>
      <w:r>
        <w:rPr>
          <w:rFonts w:ascii="Arial" w:hAnsi="Arial" w:cs="Arial"/>
          <w:color w:val="000000"/>
          <w:sz w:val="22"/>
          <w:szCs w:val="22"/>
        </w:rPr>
        <w:t xml:space="preserve">Paragraph on CDC and CDCR guidance on early detection and surveillance testing. </w:t>
      </w:r>
    </w:p>
    <w:p w14:paraId="72EF0C31" w14:textId="77777777" w:rsidR="00147672" w:rsidRDefault="003451E7" w:rsidP="00147672">
      <w:pPr>
        <w:pStyle w:val="NormalWeb"/>
        <w:spacing w:before="0" w:beforeAutospacing="0" w:after="0" w:afterAutospacing="0"/>
      </w:pPr>
      <w:hyperlink r:id="rId1" w:history="1">
        <w:r w:rsidR="00147672">
          <w:rPr>
            <w:rStyle w:val="Hyperlink"/>
            <w:rFonts w:ascii="Arial" w:eastAsiaTheme="majorEastAsia" w:hAnsi="Arial" w:cs="Arial"/>
            <w:color w:val="1155CC"/>
            <w:sz w:val="22"/>
            <w:szCs w:val="22"/>
            <w:shd w:val="clear" w:color="auto" w:fill="FFFF00"/>
          </w:rPr>
          <w:t>https://cchcs.ca.gov/covid-19-interim-guidance/</w:t>
        </w:r>
      </w:hyperlink>
      <w:r w:rsidR="00147672">
        <w:rPr>
          <w:rFonts w:ascii="Arial" w:hAnsi="Arial" w:cs="Arial"/>
          <w:color w:val="000000"/>
          <w:sz w:val="22"/>
          <w:szCs w:val="22"/>
          <w:shd w:val="clear" w:color="auto" w:fill="FFFF00"/>
        </w:rPr>
        <w:t> </w:t>
      </w:r>
    </w:p>
    <w:p w14:paraId="57B3A76A" w14:textId="77777777" w:rsidR="00147672" w:rsidRDefault="003451E7" w:rsidP="00147672">
      <w:pPr>
        <w:pStyle w:val="NormalWeb"/>
        <w:spacing w:before="0" w:beforeAutospacing="0" w:after="0" w:afterAutospacing="0"/>
      </w:pPr>
      <w:hyperlink r:id="rId2" w:history="1">
        <w:r w:rsidR="00147672">
          <w:rPr>
            <w:rStyle w:val="Hyperlink"/>
            <w:rFonts w:ascii="Arial" w:eastAsiaTheme="majorEastAsia" w:hAnsi="Arial" w:cs="Arial"/>
            <w:color w:val="1155CC"/>
            <w:sz w:val="22"/>
            <w:szCs w:val="22"/>
          </w:rPr>
          <w:t>https://www.cdc.gov/coronavirus/2019-ncov/community/correction-detention/testing.html</w:t>
        </w:r>
      </w:hyperlink>
    </w:p>
    <w:p w14:paraId="222A71D7" w14:textId="77777777" w:rsidR="00147672" w:rsidRDefault="003451E7" w:rsidP="00147672">
      <w:pPr>
        <w:pStyle w:val="NormalWeb"/>
        <w:spacing w:before="0" w:beforeAutospacing="0" w:after="0" w:afterAutospacing="0"/>
      </w:pPr>
      <w:hyperlink r:id="rId3" w:history="1">
        <w:r w:rsidR="00147672">
          <w:rPr>
            <w:rStyle w:val="Hyperlink"/>
            <w:rFonts w:ascii="Arial" w:eastAsiaTheme="majorEastAsia" w:hAnsi="Arial" w:cs="Arial"/>
            <w:color w:val="1155CC"/>
            <w:sz w:val="22"/>
            <w:szCs w:val="22"/>
          </w:rPr>
          <w:t>https://www.cdc.gov/coronavirus/2019-ncov/community/correction-detention/guidance-correctional-detention.html</w:t>
        </w:r>
      </w:hyperlink>
    </w:p>
    <w:p w14:paraId="515E00E6" w14:textId="77777777" w:rsidR="00147672" w:rsidRDefault="003451E7" w:rsidP="00147672">
      <w:pPr>
        <w:pStyle w:val="CommentText"/>
      </w:pPr>
      <w:hyperlink r:id="rId4" w:history="1">
        <w:r w:rsidR="00147672">
          <w:rPr>
            <w:rStyle w:val="Hyperlink"/>
            <w:rFonts w:ascii="Arial" w:hAnsi="Arial" w:cs="Arial"/>
            <w:color w:val="1155CC"/>
            <w:sz w:val="22"/>
            <w:szCs w:val="22"/>
          </w:rPr>
          <w:t>https://www.cdcr.ca.gov/covid19/wp-content/uploads/sites/197/2020/12/Mandatory-Employee-Testing-and-Non-Compliance-Accountability-12-21-20.pdf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E797E3" w15:done="0"/>
  <w15:commentEx w15:paraId="180B0F28" w15:done="0"/>
  <w15:commentEx w15:paraId="515E00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7179F" w16cex:dateUtc="2021-06-30T23:17:00Z"/>
  <w16cex:commentExtensible w16cex:durableId="2496C1DA" w16cex:dateUtc="2021-07-12T20:27:00Z"/>
  <w16cex:commentExtensible w16cex:durableId="2486E8AF" w16cex:dateUtc="2021-06-30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E797E3" w16cid:durableId="2487179F"/>
  <w16cid:commentId w16cid:paraId="180B0F28" w16cid:durableId="2496C1DA"/>
  <w16cid:commentId w16cid:paraId="515E00E6" w16cid:durableId="2486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E9E83" w14:textId="77777777" w:rsidR="003451E7" w:rsidRDefault="003451E7" w:rsidP="004F3384">
      <w:pPr>
        <w:spacing w:after="0" w:line="240" w:lineRule="auto"/>
      </w:pPr>
      <w:r>
        <w:separator/>
      </w:r>
    </w:p>
  </w:endnote>
  <w:endnote w:type="continuationSeparator" w:id="0">
    <w:p w14:paraId="746966D3" w14:textId="77777777" w:rsidR="003451E7" w:rsidRDefault="003451E7"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066745"/>
      <w:docPartObj>
        <w:docPartGallery w:val="Page Numbers (Bottom of Page)"/>
        <w:docPartUnique/>
      </w:docPartObj>
    </w:sdtPr>
    <w:sdtEndPr>
      <w:rPr>
        <w:noProof/>
      </w:rPr>
    </w:sdtEndPr>
    <w:sdtContent>
      <w:p w14:paraId="330C8AE5" w14:textId="229F1D8A" w:rsidR="00B832E3" w:rsidRDefault="00B832E3">
        <w:pPr>
          <w:pStyle w:val="Footer"/>
          <w:jc w:val="center"/>
        </w:pPr>
        <w:r>
          <w:fldChar w:fldCharType="begin"/>
        </w:r>
        <w:r>
          <w:instrText xml:space="preserve"> PAGE   \* MERGEFORMAT </w:instrText>
        </w:r>
        <w:r>
          <w:fldChar w:fldCharType="separate"/>
        </w:r>
        <w:r w:rsidR="00560BCF">
          <w:rPr>
            <w:noProof/>
          </w:rPr>
          <w:t>16</w:t>
        </w:r>
        <w:r>
          <w:rPr>
            <w:noProof/>
          </w:rPr>
          <w:fldChar w:fldCharType="end"/>
        </w:r>
      </w:p>
    </w:sdtContent>
  </w:sdt>
  <w:p w14:paraId="03392FF6" w14:textId="77777777" w:rsidR="00B832E3" w:rsidRDefault="00B83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96014" w14:textId="77777777" w:rsidR="003451E7" w:rsidRDefault="003451E7" w:rsidP="004F3384">
      <w:pPr>
        <w:spacing w:after="0" w:line="240" w:lineRule="auto"/>
      </w:pPr>
      <w:r>
        <w:separator/>
      </w:r>
    </w:p>
  </w:footnote>
  <w:footnote w:type="continuationSeparator" w:id="0">
    <w:p w14:paraId="3E52C9F2" w14:textId="77777777" w:rsidR="003451E7" w:rsidRDefault="003451E7" w:rsidP="004F3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over, Christopher M">
    <w15:presenceInfo w15:providerId="AD" w15:userId="S::christopher.hoover@ucsf.edu::70baeba4-3ad7-443c-b97f-5d7b8006d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312C4"/>
    <w:rsid w:val="00033B58"/>
    <w:rsid w:val="00035958"/>
    <w:rsid w:val="00042EE8"/>
    <w:rsid w:val="00057106"/>
    <w:rsid w:val="00061CE0"/>
    <w:rsid w:val="00075106"/>
    <w:rsid w:val="0008210C"/>
    <w:rsid w:val="00082D73"/>
    <w:rsid w:val="00091E64"/>
    <w:rsid w:val="000A4E2D"/>
    <w:rsid w:val="000B5380"/>
    <w:rsid w:val="000C2971"/>
    <w:rsid w:val="000C4642"/>
    <w:rsid w:val="000D6386"/>
    <w:rsid w:val="000F07D2"/>
    <w:rsid w:val="00104D05"/>
    <w:rsid w:val="001072BC"/>
    <w:rsid w:val="00114FB9"/>
    <w:rsid w:val="00117636"/>
    <w:rsid w:val="00117B2D"/>
    <w:rsid w:val="00141F12"/>
    <w:rsid w:val="00147672"/>
    <w:rsid w:val="00151782"/>
    <w:rsid w:val="00152E26"/>
    <w:rsid w:val="0015497D"/>
    <w:rsid w:val="00157B9E"/>
    <w:rsid w:val="00164B9B"/>
    <w:rsid w:val="001663B7"/>
    <w:rsid w:val="00172032"/>
    <w:rsid w:val="00181A58"/>
    <w:rsid w:val="00184FA9"/>
    <w:rsid w:val="00185EB4"/>
    <w:rsid w:val="001901FE"/>
    <w:rsid w:val="00191F96"/>
    <w:rsid w:val="001931AC"/>
    <w:rsid w:val="00197A5E"/>
    <w:rsid w:val="001A38DB"/>
    <w:rsid w:val="001A459F"/>
    <w:rsid w:val="001A6F88"/>
    <w:rsid w:val="001B0139"/>
    <w:rsid w:val="001B0336"/>
    <w:rsid w:val="001B3AB1"/>
    <w:rsid w:val="001B41F3"/>
    <w:rsid w:val="001B6ECC"/>
    <w:rsid w:val="001D3375"/>
    <w:rsid w:val="001E41CD"/>
    <w:rsid w:val="001F787E"/>
    <w:rsid w:val="00201233"/>
    <w:rsid w:val="00205978"/>
    <w:rsid w:val="0021025E"/>
    <w:rsid w:val="00210731"/>
    <w:rsid w:val="00221343"/>
    <w:rsid w:val="00222AC1"/>
    <w:rsid w:val="002246E2"/>
    <w:rsid w:val="00224842"/>
    <w:rsid w:val="0024061A"/>
    <w:rsid w:val="00241A7B"/>
    <w:rsid w:val="00242433"/>
    <w:rsid w:val="00242F9D"/>
    <w:rsid w:val="00251108"/>
    <w:rsid w:val="0025469C"/>
    <w:rsid w:val="0028639D"/>
    <w:rsid w:val="00286C06"/>
    <w:rsid w:val="00290672"/>
    <w:rsid w:val="00292DB3"/>
    <w:rsid w:val="002A07BE"/>
    <w:rsid w:val="002A7D63"/>
    <w:rsid w:val="002B4ED3"/>
    <w:rsid w:val="002B5ECA"/>
    <w:rsid w:val="002C73D9"/>
    <w:rsid w:val="002D1413"/>
    <w:rsid w:val="002E0A7A"/>
    <w:rsid w:val="002E1A9A"/>
    <w:rsid w:val="002F3BF7"/>
    <w:rsid w:val="00300781"/>
    <w:rsid w:val="0030281D"/>
    <w:rsid w:val="00307D9F"/>
    <w:rsid w:val="00316CC0"/>
    <w:rsid w:val="00322174"/>
    <w:rsid w:val="00333CDC"/>
    <w:rsid w:val="00334EC8"/>
    <w:rsid w:val="003451E7"/>
    <w:rsid w:val="00346B90"/>
    <w:rsid w:val="00351FBA"/>
    <w:rsid w:val="00352BAA"/>
    <w:rsid w:val="00353877"/>
    <w:rsid w:val="00354103"/>
    <w:rsid w:val="00356C39"/>
    <w:rsid w:val="00360519"/>
    <w:rsid w:val="00364EC2"/>
    <w:rsid w:val="00370E2F"/>
    <w:rsid w:val="00377609"/>
    <w:rsid w:val="003846F5"/>
    <w:rsid w:val="00386B63"/>
    <w:rsid w:val="003877CC"/>
    <w:rsid w:val="00393B04"/>
    <w:rsid w:val="003949D3"/>
    <w:rsid w:val="003A16BD"/>
    <w:rsid w:val="003B5E4B"/>
    <w:rsid w:val="003B6943"/>
    <w:rsid w:val="003D122D"/>
    <w:rsid w:val="003E2B91"/>
    <w:rsid w:val="003F2D97"/>
    <w:rsid w:val="004006AE"/>
    <w:rsid w:val="00402744"/>
    <w:rsid w:val="00404BC6"/>
    <w:rsid w:val="004062C0"/>
    <w:rsid w:val="00407CFE"/>
    <w:rsid w:val="004134D2"/>
    <w:rsid w:val="00413739"/>
    <w:rsid w:val="00430654"/>
    <w:rsid w:val="00436DE0"/>
    <w:rsid w:val="00442554"/>
    <w:rsid w:val="0044422A"/>
    <w:rsid w:val="0044778E"/>
    <w:rsid w:val="00452584"/>
    <w:rsid w:val="00452951"/>
    <w:rsid w:val="00475515"/>
    <w:rsid w:val="004820BC"/>
    <w:rsid w:val="00484359"/>
    <w:rsid w:val="00484550"/>
    <w:rsid w:val="004A4AAA"/>
    <w:rsid w:val="004A7816"/>
    <w:rsid w:val="004B42D6"/>
    <w:rsid w:val="004B43A3"/>
    <w:rsid w:val="004E6787"/>
    <w:rsid w:val="004E7F97"/>
    <w:rsid w:val="004F103D"/>
    <w:rsid w:val="004F3384"/>
    <w:rsid w:val="004F4FCB"/>
    <w:rsid w:val="00501F5E"/>
    <w:rsid w:val="00505D23"/>
    <w:rsid w:val="005065E7"/>
    <w:rsid w:val="00511976"/>
    <w:rsid w:val="00514864"/>
    <w:rsid w:val="00517756"/>
    <w:rsid w:val="005259BA"/>
    <w:rsid w:val="005272B0"/>
    <w:rsid w:val="00531E17"/>
    <w:rsid w:val="00533EAD"/>
    <w:rsid w:val="005341EB"/>
    <w:rsid w:val="0053683C"/>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3F45"/>
    <w:rsid w:val="00594323"/>
    <w:rsid w:val="00594991"/>
    <w:rsid w:val="00596B7E"/>
    <w:rsid w:val="005A468F"/>
    <w:rsid w:val="005B2EBD"/>
    <w:rsid w:val="005D43BE"/>
    <w:rsid w:val="005E4A67"/>
    <w:rsid w:val="005F6118"/>
    <w:rsid w:val="0060041F"/>
    <w:rsid w:val="00601D93"/>
    <w:rsid w:val="006104B7"/>
    <w:rsid w:val="00625960"/>
    <w:rsid w:val="00627F02"/>
    <w:rsid w:val="00637615"/>
    <w:rsid w:val="00641B53"/>
    <w:rsid w:val="00652479"/>
    <w:rsid w:val="00652FDF"/>
    <w:rsid w:val="00663D20"/>
    <w:rsid w:val="00667F14"/>
    <w:rsid w:val="006737D0"/>
    <w:rsid w:val="006749DD"/>
    <w:rsid w:val="00675315"/>
    <w:rsid w:val="006803D6"/>
    <w:rsid w:val="0069210B"/>
    <w:rsid w:val="006A2C06"/>
    <w:rsid w:val="006A325E"/>
    <w:rsid w:val="006A33B0"/>
    <w:rsid w:val="006A580A"/>
    <w:rsid w:val="006A7D1E"/>
    <w:rsid w:val="006C74B6"/>
    <w:rsid w:val="006D13FF"/>
    <w:rsid w:val="006D1B96"/>
    <w:rsid w:val="006E7725"/>
    <w:rsid w:val="006F4E52"/>
    <w:rsid w:val="00701757"/>
    <w:rsid w:val="00721A3E"/>
    <w:rsid w:val="007227D1"/>
    <w:rsid w:val="00722C15"/>
    <w:rsid w:val="00723C85"/>
    <w:rsid w:val="00731884"/>
    <w:rsid w:val="00733811"/>
    <w:rsid w:val="0074235B"/>
    <w:rsid w:val="007501C4"/>
    <w:rsid w:val="00753362"/>
    <w:rsid w:val="00770455"/>
    <w:rsid w:val="00780D5F"/>
    <w:rsid w:val="0078173C"/>
    <w:rsid w:val="0078583D"/>
    <w:rsid w:val="00793A48"/>
    <w:rsid w:val="00796881"/>
    <w:rsid w:val="007A2E6C"/>
    <w:rsid w:val="007A67BF"/>
    <w:rsid w:val="007B12F9"/>
    <w:rsid w:val="007B6A1C"/>
    <w:rsid w:val="007C695C"/>
    <w:rsid w:val="007E2095"/>
    <w:rsid w:val="007E61EA"/>
    <w:rsid w:val="007F6027"/>
    <w:rsid w:val="007F677C"/>
    <w:rsid w:val="0080236E"/>
    <w:rsid w:val="00806D62"/>
    <w:rsid w:val="00815375"/>
    <w:rsid w:val="0082388B"/>
    <w:rsid w:val="00825E36"/>
    <w:rsid w:val="00827414"/>
    <w:rsid w:val="00841104"/>
    <w:rsid w:val="00850AE0"/>
    <w:rsid w:val="0085134B"/>
    <w:rsid w:val="00852D5A"/>
    <w:rsid w:val="00860720"/>
    <w:rsid w:val="00870F7F"/>
    <w:rsid w:val="00882F47"/>
    <w:rsid w:val="008832C3"/>
    <w:rsid w:val="00891145"/>
    <w:rsid w:val="008941A3"/>
    <w:rsid w:val="008A2C99"/>
    <w:rsid w:val="008A49ED"/>
    <w:rsid w:val="008C1FD0"/>
    <w:rsid w:val="008C20AD"/>
    <w:rsid w:val="008E1480"/>
    <w:rsid w:val="008E3B72"/>
    <w:rsid w:val="008E71BC"/>
    <w:rsid w:val="008F7EFB"/>
    <w:rsid w:val="0090004E"/>
    <w:rsid w:val="00901C93"/>
    <w:rsid w:val="00905FC5"/>
    <w:rsid w:val="00911C32"/>
    <w:rsid w:val="009522E2"/>
    <w:rsid w:val="00954A71"/>
    <w:rsid w:val="0096785E"/>
    <w:rsid w:val="0098458A"/>
    <w:rsid w:val="00986EB9"/>
    <w:rsid w:val="00990EE7"/>
    <w:rsid w:val="00992D7B"/>
    <w:rsid w:val="00994DBC"/>
    <w:rsid w:val="009A162D"/>
    <w:rsid w:val="009A59C3"/>
    <w:rsid w:val="009B0DD4"/>
    <w:rsid w:val="009C0CAF"/>
    <w:rsid w:val="009C3CD1"/>
    <w:rsid w:val="009D18B2"/>
    <w:rsid w:val="009D414E"/>
    <w:rsid w:val="009D73FD"/>
    <w:rsid w:val="009E0448"/>
    <w:rsid w:val="009E1E5E"/>
    <w:rsid w:val="009F6F17"/>
    <w:rsid w:val="00A00A20"/>
    <w:rsid w:val="00A13723"/>
    <w:rsid w:val="00A23BCA"/>
    <w:rsid w:val="00A367B2"/>
    <w:rsid w:val="00A401B1"/>
    <w:rsid w:val="00A43324"/>
    <w:rsid w:val="00A43E70"/>
    <w:rsid w:val="00A44972"/>
    <w:rsid w:val="00A524F9"/>
    <w:rsid w:val="00A52C24"/>
    <w:rsid w:val="00A54A6E"/>
    <w:rsid w:val="00A74D1B"/>
    <w:rsid w:val="00A7545B"/>
    <w:rsid w:val="00A814F4"/>
    <w:rsid w:val="00A858C1"/>
    <w:rsid w:val="00A86B22"/>
    <w:rsid w:val="00A9546D"/>
    <w:rsid w:val="00A97D3E"/>
    <w:rsid w:val="00AA578F"/>
    <w:rsid w:val="00AA7359"/>
    <w:rsid w:val="00AB1F38"/>
    <w:rsid w:val="00AB5C29"/>
    <w:rsid w:val="00AD5633"/>
    <w:rsid w:val="00AE042E"/>
    <w:rsid w:val="00AF24DD"/>
    <w:rsid w:val="00AF7930"/>
    <w:rsid w:val="00AF7EA6"/>
    <w:rsid w:val="00B127AF"/>
    <w:rsid w:val="00B3683D"/>
    <w:rsid w:val="00B40165"/>
    <w:rsid w:val="00B414A5"/>
    <w:rsid w:val="00B47236"/>
    <w:rsid w:val="00B576EE"/>
    <w:rsid w:val="00B6048A"/>
    <w:rsid w:val="00B61006"/>
    <w:rsid w:val="00B6129C"/>
    <w:rsid w:val="00B832E3"/>
    <w:rsid w:val="00B908EA"/>
    <w:rsid w:val="00BA0348"/>
    <w:rsid w:val="00BC75CC"/>
    <w:rsid w:val="00BD02C3"/>
    <w:rsid w:val="00BD64FE"/>
    <w:rsid w:val="00BF07D3"/>
    <w:rsid w:val="00C03C4C"/>
    <w:rsid w:val="00C10722"/>
    <w:rsid w:val="00C12613"/>
    <w:rsid w:val="00C17B91"/>
    <w:rsid w:val="00C22CAF"/>
    <w:rsid w:val="00C244C3"/>
    <w:rsid w:val="00C24B36"/>
    <w:rsid w:val="00C31F8F"/>
    <w:rsid w:val="00C34B43"/>
    <w:rsid w:val="00C42B28"/>
    <w:rsid w:val="00C465C5"/>
    <w:rsid w:val="00C5048C"/>
    <w:rsid w:val="00C51136"/>
    <w:rsid w:val="00C62B17"/>
    <w:rsid w:val="00C650F7"/>
    <w:rsid w:val="00C678D7"/>
    <w:rsid w:val="00C84073"/>
    <w:rsid w:val="00C86620"/>
    <w:rsid w:val="00C93A45"/>
    <w:rsid w:val="00C93F3D"/>
    <w:rsid w:val="00CB494C"/>
    <w:rsid w:val="00CC1991"/>
    <w:rsid w:val="00CD0DA2"/>
    <w:rsid w:val="00CD3D93"/>
    <w:rsid w:val="00CE4CFE"/>
    <w:rsid w:val="00CE5D77"/>
    <w:rsid w:val="00D02C2E"/>
    <w:rsid w:val="00D07C11"/>
    <w:rsid w:val="00D13955"/>
    <w:rsid w:val="00D21B0A"/>
    <w:rsid w:val="00D22351"/>
    <w:rsid w:val="00D2365D"/>
    <w:rsid w:val="00D26908"/>
    <w:rsid w:val="00D4410F"/>
    <w:rsid w:val="00D47C7A"/>
    <w:rsid w:val="00D54964"/>
    <w:rsid w:val="00D54CB3"/>
    <w:rsid w:val="00D6188C"/>
    <w:rsid w:val="00D715D0"/>
    <w:rsid w:val="00D81266"/>
    <w:rsid w:val="00D82205"/>
    <w:rsid w:val="00D83648"/>
    <w:rsid w:val="00D83DC8"/>
    <w:rsid w:val="00D8491A"/>
    <w:rsid w:val="00D85358"/>
    <w:rsid w:val="00D85D23"/>
    <w:rsid w:val="00D86123"/>
    <w:rsid w:val="00D87B1B"/>
    <w:rsid w:val="00D9684A"/>
    <w:rsid w:val="00D9785E"/>
    <w:rsid w:val="00DA0422"/>
    <w:rsid w:val="00DB2A53"/>
    <w:rsid w:val="00DB4E32"/>
    <w:rsid w:val="00DC75AB"/>
    <w:rsid w:val="00DC78B3"/>
    <w:rsid w:val="00DE268B"/>
    <w:rsid w:val="00DE413E"/>
    <w:rsid w:val="00DE79FD"/>
    <w:rsid w:val="00E10286"/>
    <w:rsid w:val="00E1116F"/>
    <w:rsid w:val="00E13140"/>
    <w:rsid w:val="00E13DE9"/>
    <w:rsid w:val="00E3426E"/>
    <w:rsid w:val="00E37886"/>
    <w:rsid w:val="00E50A15"/>
    <w:rsid w:val="00E51F1F"/>
    <w:rsid w:val="00E5544D"/>
    <w:rsid w:val="00E56BD0"/>
    <w:rsid w:val="00E60DCD"/>
    <w:rsid w:val="00E82FF8"/>
    <w:rsid w:val="00E865E9"/>
    <w:rsid w:val="00E86C5A"/>
    <w:rsid w:val="00E8729F"/>
    <w:rsid w:val="00E8733A"/>
    <w:rsid w:val="00E87C2B"/>
    <w:rsid w:val="00E97702"/>
    <w:rsid w:val="00EA099F"/>
    <w:rsid w:val="00EA649E"/>
    <w:rsid w:val="00EA6B24"/>
    <w:rsid w:val="00EB3D0F"/>
    <w:rsid w:val="00EC656A"/>
    <w:rsid w:val="00ED0FD7"/>
    <w:rsid w:val="00EE3DAD"/>
    <w:rsid w:val="00EE6D5D"/>
    <w:rsid w:val="00EF60E0"/>
    <w:rsid w:val="00EF6AD6"/>
    <w:rsid w:val="00F16D64"/>
    <w:rsid w:val="00F211BB"/>
    <w:rsid w:val="00F22968"/>
    <w:rsid w:val="00F33693"/>
    <w:rsid w:val="00F33AC3"/>
    <w:rsid w:val="00F33CCB"/>
    <w:rsid w:val="00F35293"/>
    <w:rsid w:val="00F35F11"/>
    <w:rsid w:val="00F371A2"/>
    <w:rsid w:val="00F41AFC"/>
    <w:rsid w:val="00F55BA1"/>
    <w:rsid w:val="00F6253B"/>
    <w:rsid w:val="00F65463"/>
    <w:rsid w:val="00F71CC6"/>
    <w:rsid w:val="00F77600"/>
    <w:rsid w:val="00F81B89"/>
    <w:rsid w:val="00F87C72"/>
    <w:rsid w:val="00F94549"/>
    <w:rsid w:val="00F969E6"/>
    <w:rsid w:val="00FA1FCF"/>
    <w:rsid w:val="00FA309F"/>
    <w:rsid w:val="00FA3F4E"/>
    <w:rsid w:val="00FA63A5"/>
    <w:rsid w:val="00FC0B0B"/>
    <w:rsid w:val="00FC362A"/>
    <w:rsid w:val="00FC70C6"/>
    <w:rsid w:val="00FD3C57"/>
    <w:rsid w:val="00FD4DDA"/>
    <w:rsid w:val="00FD796C"/>
    <w:rsid w:val="00FE0F69"/>
    <w:rsid w:val="00FF1814"/>
    <w:rsid w:val="00FF4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dc.gov/coronavirus/2019-ncov/community/correction-detention/guidance-correctional-detention.html" TargetMode="External"/><Relationship Id="rId2" Type="http://schemas.openxmlformats.org/officeDocument/2006/relationships/hyperlink" Target="https://www.cdc.gov/coronavirus/2019-ncov/community/correction-detention/testing.html" TargetMode="External"/><Relationship Id="rId1" Type="http://schemas.openxmlformats.org/officeDocument/2006/relationships/hyperlink" Target="https://cchcs.ca.gov/covid-19-interim-guidance/" TargetMode="External"/><Relationship Id="rId4" Type="http://schemas.openxmlformats.org/officeDocument/2006/relationships/hyperlink" Target="https://www.cdcr.ca.gov/covid19/wp-content/uploads/sites/197/2020/12/Mandatory-Employee-Testing-and-Non-Compliance-Accountability-12-21-20.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mhoove14/CDCR-Staff-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10593</Words>
  <Characters>62181</Characters>
  <Application>Microsoft Office Word</Application>
  <DocSecurity>0</DocSecurity>
  <Lines>1019</Lines>
  <Paragraphs>371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72403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37</cp:revision>
  <cp:lastPrinted>2017-12-18T18:40:00Z</cp:lastPrinted>
  <dcterms:created xsi:type="dcterms:W3CDTF">2021-06-30T03:14:00Z</dcterms:created>
  <dcterms:modified xsi:type="dcterms:W3CDTF">2021-07-12T23:09:00Z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id="ykc4Cpun"/&gt;&lt;style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ies>
</file>