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30" w:name="methods"/>
    <w:p>
      <w:pPr>
        <w:pStyle w:val="Heading1"/>
      </w:pPr>
      <w:r>
        <w:t xml:space="preserve">Methods</w:t>
      </w:r>
    </w:p>
    <w:bookmarkStart w:id="25"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0">
        <w:r>
          <w:rPr>
            <w:rStyle w:val="Hyperlink"/>
          </w:rPr>
          <w:t xml:space="preserve">CITE</w:t>
        </w:r>
      </w:hyperlink>
      <w:r>
        <w:t xml:space="preserve"> </w:t>
      </w:r>
      <w:r>
        <w:t xml:space="preserve">and testing</w:t>
      </w:r>
      <w:r>
        <w:t xml:space="preserve"> </w:t>
      </w:r>
      <w:hyperlink r:id="rId21">
        <w:r>
          <w:rPr>
            <w:rStyle w:val="Hyperlink"/>
          </w:rPr>
          <w:t xml:space="preserve">CITE</w:t>
        </w:r>
      </w:hyperlink>
      <w:r>
        <w:t xml:space="preserve"> </w:t>
      </w:r>
      <w:r>
        <w:t xml:space="preserve">on the transmission of infectious diseases, individual contributions to SARS-CoV2 transmission through time were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We used the probability density function of the triangle distribution to model</w:t>
      </w:r>
      <w:r>
        <w:t xml:space="preserve"> </w:t>
      </w:r>
      <m:oMath>
        <m:sSub>
          <m:e>
            <m:r>
              <m:t>β</m:t>
            </m:r>
          </m:e>
          <m:sub>
            <m:r>
              <m:t>t</m:t>
            </m:r>
          </m:sub>
        </m:sSub>
      </m:oMath>
      <w:r>
        <w:t xml:space="preserve">, with infectiousness beginning after the latent period (</w:t>
      </w:r>
      <m:oMath>
        <m:sSub>
          <m:e>
            <m:r>
              <m:t>t</m:t>
            </m:r>
          </m:e>
          <m:sub>
            <m:r>
              <m:t>l</m:t>
            </m:r>
            <m:r>
              <m:t>a</m:t>
            </m:r>
            <m:r>
              <m:t>t</m:t>
            </m:r>
            <m:r>
              <m:t>e</m:t>
            </m:r>
            <m:r>
              <m:t>n</m:t>
            </m:r>
            <m:r>
              <m:t>t</m:t>
            </m:r>
          </m:sub>
        </m:sSub>
      </m:oMath>
      <w:r>
        <w:t xml:space="preserve">), ending after the duration of the infectious period (</w:t>
      </w:r>
      <m:oMath>
        <m:sSub>
          <m:e>
            <m:r>
              <m:t>t</m:t>
            </m:r>
          </m:e>
          <m:sub>
            <m:r>
              <m:t>i</m:t>
            </m:r>
            <m:r>
              <m:t>n</m:t>
            </m:r>
            <m:r>
              <m:t>f</m:t>
            </m:r>
            <m:r>
              <m:t>e</m:t>
            </m:r>
            <m:r>
              <m:t>c</m:t>
            </m:r>
            <m:r>
              <m:t>t</m:t>
            </m:r>
            <m:r>
              <m:t>i</m:t>
            </m:r>
            <m:r>
              <m:t>o</m:t>
            </m:r>
            <m:r>
              <m:t>u</m:t>
            </m:r>
            <m:r>
              <m:t>s</m:t>
            </m:r>
          </m:sub>
        </m:sSub>
      </m:oMath>
      <w:r>
        <w:t xml:space="preserve">), and peaking at some point in between (</w:t>
      </w:r>
      <m:oMath>
        <m:sSub>
          <m:e>
            <m:r>
              <m:t>t</m:t>
            </m:r>
          </m:e>
          <m:sub>
            <m:r>
              <m:t>p</m:t>
            </m:r>
            <m:r>
              <m:t>e</m:t>
            </m:r>
            <m:r>
              <m:t>a</m:t>
            </m:r>
            <m:r>
              <m:t>k</m:t>
            </m:r>
          </m:sub>
        </m:sSub>
      </m:oMath>
      <w:r>
        <w:t xml:space="preserve">)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1a).</w:t>
      </w:r>
    </w:p>
    <w:p>
      <w:pPr>
        <w:pStyle w:val="BodyText"/>
      </w:pPr>
      <w:r>
        <w:t xml:space="preserve">The viral dynamics of SARS-CoV2 make control efforts challenging, as high infectiousness in the absence of symptoms is common</w:t>
      </w:r>
      <w:r>
        <w:t xml:space="preserve"> </w:t>
      </w:r>
      <w:hyperlink r:id="rId22">
        <w:r>
          <w:rPr>
            <w:rStyle w:val="Hyperlink"/>
          </w:rPr>
          <w:t xml:space="preserve">CITE</w:t>
        </w:r>
      </w:hyperlink>
      <w:r>
        <w:t xml:space="preserve">,</w:t>
      </w:r>
      <w:r>
        <w:t xml:space="preserve"> </w:t>
      </w:r>
      <w:hyperlink r:id="rId23">
        <w:r>
          <w:rPr>
            <w:rStyle w:val="Hyperlink"/>
          </w:rPr>
          <w:t xml:space="preserve">CITE</w:t>
        </w:r>
      </w:hyperlink>
      <w:r>
        <w:t xml:space="preserve">. In terms of the infectiousness profile for SARS-CoV2, this means that peak infectiousness (</w:t>
      </w:r>
      <m:oMath>
        <m:sSub>
          <m:e>
            <m:r>
              <m:t>t</m:t>
            </m:r>
          </m:e>
          <m:sub>
            <m:r>
              <m:t>p</m:t>
            </m:r>
            <m:r>
              <m:t>e</m:t>
            </m:r>
            <m:r>
              <m:t>a</m:t>
            </m:r>
            <m:r>
              <m:t>k</m:t>
            </m:r>
          </m:sub>
        </m:sSub>
      </m:oMath>
      <w:r>
        <w:t xml:space="preserve">) 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 </w:t>
      </w:r>
      <w:r>
        <w:t xml:space="preserve">and</w:t>
      </w:r>
      <w:r>
        <w:t xml:space="preserve"> </w:t>
      </w:r>
      <m:oMath>
        <m:sSub>
          <m:e>
            <m:r>
              <m:t>t</m:t>
            </m:r>
          </m:e>
          <m:sub>
            <m:r>
              <m:t>i</m:t>
            </m:r>
            <m:r>
              <m:t>n</m:t>
            </m:r>
            <m:r>
              <m:t>c</m:t>
            </m:r>
            <m:r>
              <m:t>u</m:t>
            </m:r>
            <m:r>
              <m:t>b</m:t>
            </m:r>
            <m:r>
              <m:t>a</m:t>
            </m:r>
            <m:r>
              <m:t>t</m:t>
            </m:r>
            <m:r>
              <m:t>i</m:t>
            </m:r>
            <m:r>
              <m:t>o</m:t>
            </m:r>
            <m:r>
              <m:t>n</m:t>
            </m:r>
          </m:sub>
        </m:sSub>
        <m:r>
          <m:rPr>
            <m:sty m:val="p"/>
          </m:rPr>
          <m:t>&gt;</m:t>
        </m:r>
        <m:sSub>
          <m:e>
            <m:r>
              <m:t>t</m:t>
            </m:r>
          </m:e>
          <m:sub>
            <m:r>
              <m:t>l</m:t>
            </m:r>
            <m:r>
              <m:t>a</m:t>
            </m:r>
            <m:r>
              <m:t>t</m:t>
            </m:r>
            <m:r>
              <m:t>e</m:t>
            </m:r>
            <m:r>
              <m:t>n</m:t>
            </m:r>
            <m:r>
              <m:t>t</m:t>
            </m:r>
          </m:sub>
        </m:sSub>
      </m:oMath>
      <w:r>
        <w:t xml:space="preserve">). The expected number of new cases generated by an individual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their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can be estimated from the probability density function of the triangle distribution and the parameters</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t</m:t>
            </m:r>
            <m:r>
              <m:t>o</m:t>
            </m:r>
            <m:r>
              <m:t>t</m:t>
            </m:r>
          </m:sub>
        </m:sSub>
      </m:oMath>
      <w:r>
        <w:t xml:space="preserve">, and</w:t>
      </w:r>
      <w:r>
        <w:t xml:space="preserve"> </w:t>
      </w:r>
      <m:oMath>
        <m:sSub>
          <m:e>
            <m:r>
              <m:t>t</m:t>
            </m:r>
          </m:e>
          <m:sub>
            <m:r>
              <m:t>i</m:t>
            </m:r>
            <m:r>
              <m:t>s</m:t>
            </m:r>
            <m:r>
              <m:t>o</m:t>
            </m:r>
          </m:sub>
        </m:sSub>
      </m:oMath>
      <w:r>
        <w:t xml:space="preserve">.</w:t>
      </w:r>
    </w:p>
    <w:p>
      <w:pPr>
        <w:pStyle w:val="BodyText"/>
      </w:pPr>
      <w:r>
        <w:t xml:space="preserve">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 The incubation period is defined as the time between infection and onset of infectiousness, the latent period the time between infection and symptoms, and the infectious period the total time a case is infectious.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Uniform(0,2)</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Uniform(7,10)</w:t>
            </w:r>
          </w:p>
        </w:tc>
        <w:tc>
          <w:p>
            <w:pPr>
              <w:pStyle w:val="Compact"/>
              <w:jc w:val="left"/>
            </w:pPr>
            <w:r>
              <w:t xml:space="preserve">CITE</w:t>
            </w:r>
          </w:p>
        </w:tc>
      </w:tr>
    </w:tbl>
    <w:p>
      <w:pPr>
        <w:pStyle w:val="BodyText"/>
      </w:pPr>
      <w:r>
        <w:t xml:space="preserve">We define the test frequency,</w:t>
      </w:r>
      <w:r>
        <w:t xml:space="preserve"> </w:t>
      </w:r>
      <m:oMath>
        <m:r>
          <m:t>f</m:t>
        </m:r>
      </m:oMath>
      <w:r>
        <w:t xml:space="preserve">, as the average number of tests per week. Assuming testing is done randomly through time and is independent of symptoms or known contacts, the probability of being infectious and going</w:t>
      </w:r>
      <w:r>
        <w:t xml:space="preserve"> </w:t>
      </w:r>
      <m:oMath>
        <m:r>
          <m:t>t</m:t>
        </m:r>
      </m:oMath>
      <w:r>
        <w:t xml:space="preserve"> </w:t>
      </w:r>
      <w:r>
        <w:t xml:space="preserve">days without being tested and isolated can be estimated as</w:t>
      </w:r>
      <w:r>
        <w:t xml:space="preserve"> </w:t>
      </w:r>
      <m:oMath>
        <m:r>
          <m:rPr>
            <m:sty m:val="p"/>
          </m:rPr>
          <m:t>(</m:t>
        </m:r>
        <m:r>
          <m:t>1</m:t>
        </m:r>
        <m:r>
          <m:rPr>
            <m:sty m:val="p"/>
          </m:rPr>
          <m:t>−</m:t>
        </m:r>
        <m:r>
          <m:t>f</m:t>
        </m:r>
        <m:r>
          <m:rPr>
            <m:sty m:val="p"/>
          </m:rPr>
          <m:t>/</m:t>
        </m:r>
        <m:r>
          <m:t>7</m:t>
        </m:r>
        <m:sSup>
          <m:e>
            <m:r>
              <m:rPr>
                <m:sty m:val="p"/>
              </m:rPr>
              <m:t>)</m:t>
            </m:r>
          </m:e>
          <m:sup>
            <m:r>
              <m:t>t</m:t>
            </m:r>
          </m:sup>
        </m:sSup>
      </m:oMath>
      <w:r>
        <w:t xml:space="preserve">, where, for example</w:t>
      </w:r>
      <w:r>
        <w:t xml:space="preserve"> </w:t>
      </w:r>
      <m:oMath>
        <m:r>
          <m:t>f</m:t>
        </m:r>
        <m:r>
          <m:rPr>
            <m:sty m:val="p"/>
          </m:rPr>
          <m:t>=</m:t>
        </m:r>
        <m:r>
          <m:t>1</m:t>
        </m:r>
      </m:oMath>
      <w:r>
        <w:t xml:space="preserve"> </w:t>
      </w:r>
      <w:r>
        <w:t xml:space="preserve">if testing is conducted weekly. The probability that isolation has occurred by day</w:t>
      </w:r>
      <w:r>
        <w:t xml:space="preserve"> </w:t>
      </w:r>
      <m:oMath>
        <m:r>
          <m:t>τ</m:t>
        </m:r>
      </m:oMath>
      <w:r>
        <w:t xml:space="preserve"> </w:t>
      </w:r>
      <w:r>
        <w:t xml:space="preserve">can then be estimated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sup>
        </m:sSup>
      </m:oMath>
      <w:r>
        <w:t xml:space="preserve">, assuming isolation occurs immediately after testing. Given substantial turnaround times between testing and isolation, particularly when relying on PCR-based tests, the delay,</w:t>
      </w:r>
      <w:r>
        <w:t xml:space="preserve"> </w:t>
      </w:r>
      <m:oMath>
        <m:r>
          <m:t>d</m:t>
        </m:r>
      </m:oMath>
      <w:r>
        <w:t xml:space="preserve">, between testing and isolation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r>
              <m:rPr>
                <m:sty m:val="p"/>
              </m:rPr>
              <m:t>−</m:t>
            </m:r>
            <m:r>
              <m:t>d</m:t>
            </m:r>
          </m:sup>
        </m:sSup>
      </m:oMath>
      <w:r>
        <w:t xml:space="preserve">. Figure 1d shows that such delays have a detrimental effect on the probability of achieving prompt isolation, particularly by making isolation prior to the delay (</w:t>
      </w:r>
      <m:oMath>
        <m:sSub>
          <m:e>
            <m:r>
              <m:t>t</m:t>
            </m:r>
          </m:e>
          <m:sub>
            <m:r>
              <m:t>i</m:t>
            </m:r>
            <m:r>
              <m:t>s</m:t>
            </m:r>
            <m:r>
              <m:t>o</m:t>
            </m:r>
          </m:sub>
        </m:sSub>
        <m:r>
          <m:rPr>
            <m:sty m:val="p"/>
          </m:rPr>
          <m:t>&lt;</m:t>
        </m:r>
        <m:r>
          <m:t>d</m:t>
        </m:r>
      </m:oMath>
      <w:r>
        <w:t xml:space="preserve">) impossible.</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with the reduction in</w:t>
      </w:r>
      <w:r>
        <w:t xml:space="preserve"> </w:t>
      </w:r>
      <m:oMath>
        <m:sSub>
          <m:e>
            <m:r>
              <m:rPr>
                <m:sty m:val="p"/>
                <m:scr m:val="script"/>
              </m:rPr>
              <m:t>R</m:t>
            </m:r>
          </m:e>
          <m:sub>
            <m:r>
              <m:t>i</m:t>
            </m:r>
            <m:r>
              <m:t>s</m:t>
            </m:r>
            <m:r>
              <m:t>o</m:t>
            </m:r>
          </m:sub>
        </m:sSub>
      </m:oMath>
      <w:r>
        <w:t xml:space="preserve"> </w:t>
      </w:r>
      <w:r>
        <w:t xml:space="preserve">due to isolation estimated from infectiousness on day</w:t>
      </w:r>
      <w:r>
        <w:t xml:space="preserve"> </w:t>
      </w:r>
      <m:oMath>
        <m:r>
          <m:t>τ</m:t>
        </m:r>
      </m:oMath>
      <w:r>
        <w:t xml:space="preserve"> </w:t>
      </w:r>
      <w:r>
        <w:t xml:space="preserve">weighted by the probability of being isolated on day</w:t>
      </w:r>
      <w:r>
        <w:t xml:space="preserve"> </w:t>
      </w:r>
      <m:oMath>
        <m:r>
          <m:t>τ</m:t>
        </m:r>
      </m:oMath>
      <w:r>
        <w:t xml:space="preserve">. Discretizing, this gives:</w:t>
      </w:r>
    </w:p>
    <w:p>
      <w:pPr>
        <w:pStyle w:val="BodyText"/>
      </w:pPr>
      <m:oMathPara>
        <m:oMathParaPr>
          <m:jc m:val="center"/>
        </m:oMathParaPr>
        <m:oMath>
          <m:sSub>
            <m:e>
              <m:r>
                <m:rPr>
                  <m:sty m:val="p"/>
                  <m:scr m:val="script"/>
                </m:rPr>
                <m:t>R</m:t>
              </m:r>
            </m:e>
            <m:sub>
              <m:r>
                <m:t>i</m:t>
              </m:r>
              <m:r>
                <m:t>s</m:t>
              </m:r>
              <m:r>
                <m:t>o</m:t>
              </m:r>
            </m:sub>
          </m:sSub>
          <m:r>
            <m:rPr>
              <m:sty m:val="p"/>
            </m:rPr>
            <m:t>=</m:t>
          </m:r>
          <m:r>
            <m:rPr>
              <m:sty m:val="p"/>
              <m:scr m:val="script"/>
            </m:rPr>
            <m:t>R</m:t>
          </m:r>
          <m:r>
            <m:rPr>
              <m:sty m:val="p"/>
            </m:rPr>
            <m:t>−</m:t>
          </m:r>
          <m:nary>
            <m:naryPr>
              <m:chr m:val="∑"/>
              <m:limLoc m:val="undOvr"/>
              <m:subHide m:val="0"/>
              <m:supHide m:val="0"/>
            </m:naryPr>
            <m:sub>
              <m:r>
                <m:t>τ</m:t>
              </m:r>
              <m:r>
                <m:rPr>
                  <m:sty m:val="p"/>
                </m:rPr>
                <m:t>=</m:t>
              </m:r>
              <m:sSub>
                <m:e>
                  <m:r>
                    <m:t>t</m:t>
                  </m:r>
                </m:e>
                <m:sub>
                  <m:r>
                    <m:t>l</m:t>
                  </m:r>
                  <m:r>
                    <m:t>a</m:t>
                  </m:r>
                  <m:r>
                    <m:t>t</m:t>
                  </m:r>
                  <m:r>
                    <m:t>e</m:t>
                  </m:r>
                  <m:r>
                    <m:t>n</m:t>
                  </m:r>
                  <m:r>
                    <m:t>t</m:t>
                  </m:r>
                </m:sub>
              </m:sSub>
              <m:r>
                <m:rPr>
                  <m:sty m:val="p"/>
                </m:rPr>
                <m:t>+</m:t>
              </m:r>
              <m:r>
                <m:t>d</m:t>
              </m:r>
            </m:sub>
            <m:sup>
              <m:sSub>
                <m:e>
                  <m:r>
                    <m:t>t</m:t>
                  </m:r>
                </m:e>
                <m:sub>
                  <m:r>
                    <m:t>t</m:t>
                  </m:r>
                  <m:r>
                    <m:t>o</m:t>
                  </m:r>
                  <m:r>
                    <m:t>t</m:t>
                  </m:r>
                </m:sub>
              </m:sSub>
            </m:sup>
            <m:e>
              <m:sSub>
                <m:e>
                  <m:r>
                    <m:t>r</m:t>
                  </m:r>
                </m:e>
                <m:sub>
                  <m:r>
                    <m:t>τ</m:t>
                  </m:r>
                </m:sub>
              </m:sSub>
            </m:e>
          </m:nary>
          <m:r>
            <m:rPr>
              <m:sty m:val="p"/>
            </m:rPr>
            <m:t>(</m:t>
          </m:r>
          <m:r>
            <m:t>1</m:t>
          </m:r>
          <m:r>
            <m:rPr>
              <m:sty m:val="p"/>
            </m:rPr>
            <m:t>−</m:t>
          </m:r>
          <m:r>
            <m:rPr>
              <m:sty m:val="p"/>
            </m:rPr>
            <m:t>(</m:t>
          </m:r>
          <m:r>
            <m:t>1</m:t>
          </m:r>
          <m:r>
            <m:rPr>
              <m:sty m:val="p"/>
            </m:rPr>
            <m:t>−</m:t>
          </m:r>
          <m:f>
            <m:fPr>
              <m:type m:val="bar"/>
            </m:fPr>
            <m:num>
              <m:r>
                <m:t>f</m:t>
              </m:r>
            </m:num>
            <m:den>
              <m:r>
                <m:t>7</m:t>
              </m:r>
            </m:den>
          </m:f>
          <m:sSup>
            <m:e>
              <m:r>
                <m:rPr>
                  <m:sty m:val="p"/>
                </m:rPr>
                <m:t>)</m:t>
              </m:r>
            </m:e>
            <m:sup>
              <m:r>
                <m:t>τ</m:t>
              </m:r>
              <m:r>
                <m:rPr>
                  <m:sty m:val="p"/>
                </m:rPr>
                <m:t>−</m:t>
              </m:r>
              <m:sSub>
                <m:e>
                  <m:r>
                    <m:t>t</m:t>
                  </m:r>
                </m:e>
                <m:sub>
                  <m:r>
                    <m:t>l</m:t>
                  </m:r>
                  <m:r>
                    <m:t>a</m:t>
                  </m:r>
                  <m:r>
                    <m:t>t</m:t>
                  </m:r>
                  <m:r>
                    <m:t>e</m:t>
                  </m:r>
                  <m:r>
                    <m:t>n</m:t>
                  </m:r>
                  <m:r>
                    <m:t>t</m:t>
                  </m:r>
                </m:sub>
              </m:sSub>
              <m:r>
                <m:rPr>
                  <m:sty m:val="p"/>
                </m:rPr>
                <m:t>−</m:t>
              </m:r>
              <m:r>
                <m:t>d</m:t>
              </m:r>
            </m:sup>
          </m:sSup>
          <m:r>
            <m:rPr>
              <m:sty m:val="p"/>
            </m:rPr>
            <m:t>)</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7</m:t>
        </m:r>
      </m:oMath>
      <w:r>
        <w:t xml:space="preserve">) to biweekly (</w:t>
      </w:r>
      <m:oMath>
        <m:r>
          <m:t>f</m:t>
        </m:r>
        <m:r>
          <m:rPr>
            <m:sty m:val="p"/>
          </m:rPr>
          <m:t>=</m:t>
        </m:r>
        <m:r>
          <m:t>0.5</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similar when testing every day (</w:t>
      </w:r>
      <m:oMath>
        <m:r>
          <m:t>f</m:t>
        </m:r>
        <m:r>
          <m:rPr>
            <m:sty m:val="p"/>
          </m:rPr>
          <m:t>=</m:t>
        </m:r>
        <m:r>
          <m:t>7</m:t>
        </m:r>
      </m:oMath>
      <w:r>
        <w:t xml:space="preserve">) with a two-day turnaround time for test results (</w:t>
      </w:r>
      <m:oMath>
        <m:r>
          <m:t>d</m:t>
        </m:r>
        <m:r>
          <m:rPr>
            <m:sty m:val="p"/>
          </m:rPr>
          <m:t>=</m:t>
        </m:r>
        <m:r>
          <m:t>2</m:t>
        </m:r>
      </m:oMath>
      <w:r>
        <w:t xml:space="preserve">) vs testing twice per week (</w:t>
      </w:r>
      <m:oMath>
        <m:r>
          <m:t>f</m:t>
        </m:r>
        <m:r>
          <m:rPr>
            <m:sty m:val="p"/>
          </m:rPr>
          <m:t>=</m:t>
        </m:r>
        <m:r>
          <m:t>2</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2</m:t>
        </m:r>
        <m:r>
          <m:rPr>
            <m:sty m:val="p"/>
          </m:rPr>
          <m:t>)</m:t>
        </m:r>
        <m:r>
          <m:rPr>
            <m:sty m:val="p"/>
          </m:rPr>
          <m:t>=</m:t>
        </m:r>
      </m:oMath>
      <w:r>
        <w:t xml:space="preserve"> </w:t>
      </w:r>
      <w:r>
        <w:t xml:space="preserve">0.4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7</m:t>
        </m:r>
        <m:r>
          <m:rPr>
            <m:sty m:val="p"/>
          </m:rPr>
          <m:t>)</m:t>
        </m:r>
        <m:r>
          <m:rPr>
            <m:sty m:val="p"/>
          </m:rPr>
          <m:t>=</m:t>
        </m:r>
      </m:oMath>
      <w:r>
        <w:t xml:space="preserve"> </w:t>
      </w:r>
      <w:r>
        <w:t xml:space="preserve">0.33, respectively).</w:t>
      </w:r>
    </w:p>
    <w:p>
      <w:pPr>
        <w:pStyle w:val="CaptionedFigure"/>
      </w:pPr>
      <w:r>
        <w:drawing>
          <wp:inline>
            <wp:extent cx="5334000" cy="4000500"/>
            <wp:effectExtent b="0" l="0" r="0" t="0"/>
            <wp:docPr descr="Figure 1. Analytic framework exploring effects of variable infectiousness through time, testing frequencies, and delays on SARS-CoV-2 transmission."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Analytic framework exploring effects of variable infectiousness through time, testing frequencies, and delays on SARS-CoV-2 transmission.</w:t>
      </w:r>
    </w:p>
    <w:p>
      <w:pPr>
        <w:pStyle w:val="BodyText"/>
      </w:pPr>
      <w:r>
        <w:rPr>
          <w:iCs/>
          <w:i/>
        </w:rPr>
        <w:t xml:space="preserve">[Fig 1 caption continued]</w:t>
      </w:r>
      <w:r>
        <w:br/>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oMath>
      <w:r>
        <w:t xml:space="preserve"> </w:t>
      </w:r>
      <w:r>
        <w:t xml:space="preserve">4,</w:t>
      </w:r>
      <w:r>
        <w:t xml:space="preserve"> </w:t>
      </w:r>
      <m:oMath>
        <m:sSub>
          <m:e>
            <m:r>
              <m:t>t</m:t>
            </m:r>
          </m:e>
          <m:sub>
            <m:r>
              <m:t>i</m:t>
            </m:r>
            <m:r>
              <m:t>n</m:t>
            </m:r>
            <m:r>
              <m:t>c</m:t>
            </m:r>
            <m:r>
              <m:t>u</m:t>
            </m:r>
            <m:r>
              <m:t>b</m:t>
            </m:r>
            <m:r>
              <m:t>a</m:t>
            </m:r>
            <m:r>
              <m:t>t</m:t>
            </m:r>
            <m:r>
              <m:t>i</m:t>
            </m:r>
            <m:r>
              <m:t>o</m:t>
            </m:r>
            <m:r>
              <m:t>n</m:t>
            </m:r>
          </m:sub>
        </m:sSub>
        <m:r>
          <m:rPr>
            <m:sty m:val="p"/>
          </m:rPr>
          <m:t>=</m:t>
        </m:r>
      </m:oMath>
      <w:r>
        <w:t xml:space="preserve"> </w:t>
      </w:r>
      <w:r>
        <w:t xml:space="preserve">5,</w:t>
      </w:r>
      <w:r>
        <w:t xml:space="preserve"> </w:t>
      </w:r>
      <m:oMath>
        <m:sSub>
          <m:e>
            <m:r>
              <m:t>t</m:t>
            </m:r>
          </m:e>
          <m:sub>
            <m:r>
              <m:t>i</m:t>
            </m:r>
            <m:r>
              <m:t>n</m:t>
            </m:r>
            <m:r>
              <m:t>f</m:t>
            </m:r>
            <m:r>
              <m:t>e</m:t>
            </m:r>
            <m:r>
              <m:t>c</m:t>
            </m:r>
            <m:r>
              <m:t>t</m:t>
            </m:r>
            <m:r>
              <m:t>i</m:t>
            </m:r>
            <m:r>
              <m:t>o</m:t>
            </m:r>
            <m:r>
              <m:t>u</m:t>
            </m:r>
            <m:r>
              <m:t>s</m:t>
            </m:r>
          </m:sub>
        </m:sSub>
        <m:r>
          <m:rPr>
            <m:sty m:val="p"/>
          </m:rPr>
          <m:t>=</m:t>
        </m:r>
      </m:oMath>
      <w:r>
        <w:t xml:space="preserve"> </w:t>
      </w:r>
      <w:r>
        <w:t xml:space="preserve">9, with line indicating infectiousness (</w:t>
      </w:r>
      <m:oMath>
        <m:sSub>
          <m:e>
            <m:r>
              <m:t>r</m:t>
            </m:r>
          </m:e>
          <m:sub>
            <m:r>
              <m:t>t</m:t>
            </m:r>
          </m:sub>
        </m:sSub>
      </m:oMath>
      <w:r>
        <w:t xml:space="preserve">) through time and shaded area demonstrating infectiousness slice removed if isolation occurs at two days after symptom onset,</w:t>
      </w:r>
      <w:r>
        <w:t xml:space="preserve"> </w:t>
      </w:r>
      <m:oMath>
        <m:sSub>
          <m:e>
            <m:r>
              <m:t>t</m:t>
            </m:r>
          </m:e>
          <m:sub>
            <m:r>
              <m:t>i</m:t>
            </m:r>
            <m:r>
              <m:t>s</m:t>
            </m:r>
            <m:r>
              <m:t>o</m:t>
            </m:r>
          </m:sub>
        </m:sSub>
        <m:r>
          <m:rPr>
            <m:sty m:val="p"/>
          </m:rPr>
          <m:t>=</m:t>
        </m:r>
      </m:oMath>
      <w:r>
        <w:t xml:space="preserve"> </w:t>
      </w:r>
      <w:r>
        <w:t xml:space="preserve">7, leading to</w:t>
      </w:r>
      <w:r>
        <w:t xml:space="preserve"> </w:t>
      </w:r>
      <m:oMath>
        <m:sSub>
          <m:e>
            <m:r>
              <m:rPr>
                <m:sty m:val="p"/>
                <m:scr m:val="script"/>
              </m:rPr>
              <m:t>R</m:t>
            </m:r>
          </m:e>
          <m:sub>
            <m:r>
              <m:t>i</m:t>
            </m:r>
            <m:r>
              <m:t>s</m:t>
            </m:r>
            <m:r>
              <m:t>o</m:t>
            </m:r>
          </m:sub>
        </m:sSub>
        <m:r>
          <m:rPr>
            <m:sty m:val="p"/>
          </m:rPr>
          <m:t>=</m:t>
        </m:r>
      </m:oMath>
      <w:r>
        <w:t xml:space="preserve"> </w:t>
      </w:r>
      <w:r>
        <w:t xml:space="preserve">0.5.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sSub>
          <m:e>
            <m:r>
              <m:rPr>
                <m:sty m:val="p"/>
                <m:scr m:val="script"/>
              </m:rPr>
              <m:t>R</m:t>
            </m:r>
          </m:e>
          <m:sub>
            <m:r>
              <m:t>i</m:t>
            </m:r>
            <m:r>
              <m:t>s</m:t>
            </m:r>
            <m:r>
              <m:t>o</m:t>
            </m:r>
          </m:sub>
        </m:sSub>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and interquartile range.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τ</m:t>
        </m:r>
      </m:oMath>
      <w:r>
        <w:t xml:space="preserve">, demonstrating that delays in testing substantially reduce the probability of prompt isolation, particularly in more frequent testing scenarios.</w:t>
      </w:r>
    </w:p>
    <w:bookmarkEnd w:id="25"/>
    <w:bookmarkStart w:id="29" w:name="individual-based-model-simulations"/>
    <w:p>
      <w:pPr>
        <w:pStyle w:val="Heading2"/>
      </w:pPr>
      <w:r>
        <w:t xml:space="preserve">Individual-based model simulations</w:t>
      </w:r>
    </w:p>
    <w:bookmarkStart w:id="26" w:name="model-setup"/>
    <w:p>
      <w:pPr>
        <w:pStyle w:val="Heading3"/>
      </w:pPr>
      <w:r>
        <w:t xml:space="preserve">Model setup</w:t>
      </w:r>
    </w:p>
    <w:p>
      <w:pPr>
        <w:pStyle w:val="FirstParagraph"/>
      </w:pPr>
      <w:r>
        <w:t xml:space="preserve">We next describe the development and simulation of an individual based model to incorporate staff schedules and expand the modeling framework above to a facility-level setting. In a modeled facility,</w:t>
      </w:r>
      <w:r>
        <w:t xml:space="preserve"> </w:t>
      </w:r>
      <m:oMath>
        <m:r>
          <m:t>n</m:t>
        </m:r>
      </m:oMath>
      <w:r>
        <w:t xml:space="preserve"> </w:t>
      </w:r>
      <w:r>
        <w:t xml:space="preserve">staff are assigned a work schedule that determines time frames when they are in the facility interacting with residents and other staff working at the same time.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also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according to the community prevalence when they are not working (</w:t>
      </w:r>
      <m:oMath>
        <m:r>
          <m:rPr>
            <m:sty m:val="p"/>
            <m:scr m:val="script"/>
          </m:rPr>
          <m:t>W</m:t>
        </m:r>
        <m:r>
          <m:rPr>
            <m:sty m:val="p"/>
          </m:rPr>
          <m:t>(</m:t>
        </m:r>
        <m:sSub>
          <m:e>
            <m:r>
              <m:t>w</m:t>
            </m:r>
          </m:e>
          <m:sub>
            <m:r>
              <m:t>i</m:t>
            </m:r>
            <m:r>
              <m:t>t</m:t>
            </m:r>
          </m:sub>
        </m:sSub>
        <m:r>
          <m:rPr>
            <m:sty m:val="p"/>
          </m:rPr>
          <m:t>)</m:t>
        </m:r>
        <m:r>
          <m:rPr>
            <m:sty m:val="p"/>
          </m:rPr>
          <m:t>=</m:t>
        </m:r>
        <m:r>
          <m:t>0</m:t>
        </m:r>
      </m:oMath>
      <w:r>
        <w:t xml:space="preserve">) or from fellow staff when working (</w:t>
      </w:r>
      <m:oMath>
        <m:r>
          <m:rPr>
            <m:sty m:val="p"/>
            <m:scr m:val="script"/>
          </m:rPr>
          <m:t>W</m:t>
        </m:r>
        <m:r>
          <m:rPr>
            <m:sty m:val="p"/>
          </m:rPr>
          <m:t>(</m:t>
        </m:r>
        <m:sSub>
          <m:e>
            <m:r>
              <m:t>w</m:t>
            </m:r>
          </m:e>
          <m:sub>
            <m:r>
              <m:t>i</m:t>
            </m:r>
            <m:r>
              <m:t>t</m:t>
            </m:r>
          </m:sub>
        </m:sSub>
        <m:r>
          <m:rPr>
            <m:sty m:val="p"/>
          </m:rPr>
          <m:t>)</m:t>
        </m:r>
        <m:r>
          <m:rPr>
            <m:sty m:val="p"/>
          </m:rPr>
          <m:t>=</m:t>
        </m:r>
        <m:r>
          <m:t>1</m:t>
        </m:r>
      </m:oMath>
      <w:r>
        <w:t xml:space="preserve">), where the force of infection is</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The main outcome for the model simulations is the number of infections in the facility generated by staff, estimated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6"/>
    <w:bookmarkStart w:id="28" w:name="staffing-and-testing-strategies"/>
    <w:p>
      <w:pPr>
        <w:pStyle w:val="Heading3"/>
      </w:pPr>
      <w:r>
        <w:t xml:space="preserve">Staffing and testing strategies</w:t>
      </w:r>
    </w:p>
    <w:p>
      <w:pPr>
        <w:pStyle w:val="FirstParagraph"/>
      </w:pPr>
      <w:r>
        <w:t xml:space="preserve">CDCR collects extensive operations records including information on custody workdays (e.g., Mon-Thurs), work shifts (e.g., morning, evening, night), and SARS-CoV2 testing schedules. We use this information to generate a realistic representation of staff working schedules in model simulations by sampling from work schedules commonly observed among CDCR custody staff.</w:t>
      </w:r>
    </w:p>
    <w:p>
      <w:pPr>
        <w:pStyle w:val="BodyText"/>
      </w:pPr>
      <w:r>
        <w:t xml:space="preserve">Two experimental testing strategies were considered in model simulations. Under a random testing strategy, testing for each worker occurs at random during their work shifts depending on the frequency (i.e. with</w:t>
      </w:r>
      <w:r>
        <w:t xml:space="preserve"> </w:t>
      </w:r>
      <m:oMath>
        <m:r>
          <m:t>f</m:t>
        </m:r>
        <m:r>
          <m:rPr>
            <m:sty m:val="p"/>
          </m:rPr>
          <m:t>=</m:t>
        </m:r>
        <m:r>
          <m:t>2</m:t>
        </m:r>
      </m:oMath>
      <w:r>
        <w:t xml:space="preserve">, workers would be tested during two of their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day of their work week;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first four work days in a week.</w:t>
      </w:r>
    </w:p>
    <w:p>
      <w:pPr>
        <w:pStyle w:val="BodyText"/>
      </w:pPr>
      <w:r>
        <w:t xml:space="preserve">We assume all tests conducted when</w:t>
      </w:r>
      <w:r>
        <w:t xml:space="preserve"> </w:t>
      </w:r>
      <m:oMath>
        <m:sSub>
          <m:e>
            <m:r>
              <m:t>β</m:t>
            </m:r>
          </m:e>
          <m:sub>
            <m:r>
              <m:t>i</m:t>
            </m:r>
            <m:r>
              <m:t>t</m:t>
            </m:r>
          </m:sub>
        </m:sSub>
        <m:r>
          <m:rPr>
            <m:sty m:val="p"/>
          </m:rP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p>
      <w:pPr>
        <w:pStyle w:val="BodyText"/>
      </w:pPr>
      <w:r>
        <w:t xml:space="preserve">All simulations, analyses, and visualizations were compiled in R software version 4.0.4 CITE with aid from the tidyverse CITE, triangle CITE, and patchwork CITE packages. Code is made available freely online at</w:t>
      </w:r>
      <w:r>
        <w:t xml:space="preserve"> </w:t>
      </w:r>
      <w:hyperlink r:id="rId27">
        <w:r>
          <w:rPr>
            <w:rStyle w:val="Hyperlink"/>
          </w:rPr>
          <w:t xml:space="preserve">https://github.com/cmhoove14/CDCR-Staff-Testing</w:t>
        </w:r>
      </w:hyperlink>
      <w:r>
        <w:t xml:space="preserve">.</w:t>
      </w:r>
    </w:p>
    <w:bookmarkEnd w:id="28"/>
    <w:bookmarkEnd w:id="29"/>
    <w:bookmarkEnd w:id="30"/>
    <w:bookmarkStart w:id="35" w:name="results"/>
    <w:p>
      <w:pPr>
        <w:pStyle w:val="Heading1"/>
      </w:pPr>
      <w:r>
        <w:t xml:space="preserve">Results</w:t>
      </w:r>
    </w:p>
    <w:bookmarkStart w:id="31" w:name="cdcr-staff-working-and-testing-schedules"/>
    <w:p>
      <w:pPr>
        <w:pStyle w:val="Heading2"/>
      </w:pPr>
      <w:r>
        <w:t xml:space="preserve">CDCR Staff Working and Testing schedules</w:t>
      </w:r>
    </w:p>
    <w:p>
      <w:pPr>
        <w:pStyle w:val="FirstParagraph"/>
      </w:pPr>
      <w:r>
        <w:t xml:space="preserve">Four typical staff workweek schedules were identified using K-means clustering. Most common was a four-day workweek in which the staff member worked four consecutive days (e.g., Monday-Thursday), though the first day of the workweek varied across staff (Figure 2). Work shifts also tended to show consistent patterns. Staff typically worked either the morning, evening, or night shift, though alternating between morning and evening shifts was also common. Generation of work schedules in simulations was informed by these observed CDCR schedules by sampling one of the consecutive 4-day sequences of work days shown in figure 2 and a regular shift (morning, evening, night) for each worker. A fifth shift was then added to each worker’s weekly schedule by randomly sampling from all other potential shifts.</w:t>
      </w:r>
      <w:r>
        <w:br/>
      </w:r>
      <w:r>
        <w:t xml:space="preserve">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implying testing was rarely conducted in a systematic manner in relation to structured work schedules. Test results were usually returned on the same day or were delayed by one day from specimen collection, and almost all test results were received within 2 days of specimen collection.</w:t>
      </w:r>
    </w:p>
    <w:p>
      <w:pPr>
        <w:pStyle w:val="BodyText"/>
      </w:pPr>
      <w:r>
        <w:t xml:space="preserve">[Figure 2]</w:t>
      </w:r>
    </w:p>
    <w:p>
      <w:pPr>
        <w:pStyle w:val="BodyText"/>
      </w:pPr>
      <w:r>
        <w:rPr>
          <w:bCs/>
          <w:b/>
        </w:rPr>
        <w:t xml:space="preserve">Figure 2. Staff working and testing schedules.</w:t>
      </w:r>
      <w:r>
        <w:t xml:space="preserve"> </w:t>
      </w:r>
      <w:r>
        <w:t xml:space="preserve">Four typical weekly work schedules (y-axis) were identified among CDCR custody staff. These include a Monday to Thursday workweek (21% staff), a Thursday to Sunday workweek (22% staff), a Tuesday to Saturday workweek (33% staff), and a Saturday to Tuesday workweek (24% staff). The red shading shows the mean proportion of staff workdays that consist of a particular day of the week (x-axis; i.e. darker shades of red indicate that staff with the specified schedule very commonly work on that day). The size of the black circles represents the mean proportion of the total number of tests administered to each group that were given on the specified day.</w:t>
      </w:r>
    </w:p>
    <w:bookmarkEnd w:id="31"/>
    <w:bookmarkStart w:id="34"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3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random vs systematic testing strategies across testing frequencies, levels of community prevalence, and within-facility</w:t>
      </w:r>
      <w:r>
        <w:t xml:space="preserve"> </w:t>
      </w:r>
      <m:oMath>
        <m:r>
          <m:rPr>
            <m:sty m:val="p"/>
            <m:scr m:val="script"/>
          </m:rPr>
          <m:t>R</m:t>
        </m:r>
      </m:oMath>
      <w:r>
        <w:t xml:space="preserve"> </w:t>
      </w:r>
      <w:r>
        <w:t xml:space="preserve">with either no delay or a one day delay between test administration and isolation of infectious workers.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no testing led to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111.65 (IQR 108.13 - 114.73). Testing randomly once per week with no delay to isolation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47.48 (IQR 44.52 - 50.3; Fig 3 right panel, rightmost yellow circle),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31.31 (IQR 29.48 - 33.21; Fig 3 right panel, rightmost yellow square). However, systematic testing that is accompanied by a one day delay leads to</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53.71 (IQR 50.98 - 55.87; Fig 3 right panel, rightmost yellow cross). Across all transmission scenarios, biweekly systematic testing with no delay to isolation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and average of 90% of transmissions versus 80% of transmissions when testing randomly.</w:t>
      </w:r>
    </w:p>
    <w:p>
      <w:pPr>
        <w:pStyle w:val="BodyText"/>
      </w:pPr>
      <w:r>
        <w:t xml:space="preserve">The horizontal gray line in figure 3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(e.g.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3810000"/>
            <wp:effectExtent b="0" l="0" r="0" t="0"/>
            <wp:docPr descr="Figure 3. Number of expected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More infections are expected in transmission scenarios with higher within facility \mathcal{R} 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rPr>
          <w:bCs/>
          <w:b/>
        </w:rPr>
        <w:t xml:space="preserve">Figure 3. Number of expected infections generated in a facility from model simulations comparing random and systematic testing strategies across transmission scenarios, test frequencies, and test delays</w:t>
      </w:r>
      <w:r>
        <w:t xml:space="preserve">. Systematic testing strategies ([squares], [crosses]) prevent more infections than random strategies ([circles], [triangles]) across all transmission scenarios and test frequencies. More infections are expected in transmission scenarios with higher within facility</w:t>
      </w:r>
      <w:r>
        <w:t xml:space="preserve"> </w:t>
      </w:r>
      <m:oMath>
        <m:r>
          <m:rPr>
            <m:sty m:val="p"/>
            <m:scr m:val="script"/>
          </m:rPr>
          <m:t>R</m:t>
        </m:r>
      </m:oMath>
      <w:r>
        <w:t xml:space="preserve"> </w:t>
      </w:r>
      <w:r>
        <w:t xml:space="preserve">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lastRow="0" w:firstColumn="0" w:lastColumn="0" w:noHBand="0" w:noVBand="0" w:val="0020"/>
      </w:tblPr>
      <w:tblGrid/>
      <w:tr>
        <w:tc>
          <w:p>
            <w:pPr>
              <w:pStyle w:val="Compact"/>
              <w:jc w:val="left"/>
            </w:pPr>
            <w:r>
              <w:t xml:space="preserve">Community Prevalence</w:t>
            </w:r>
          </w:p>
        </w:tc>
        <w:tc>
          <w:p>
            <w:pPr>
              <w:pStyle w:val="Compact"/>
              <w:jc w:val="right"/>
            </w:pPr>
            <w:r>
              <w:t xml:space="preserve">0.5</w:t>
            </w:r>
          </w:p>
        </w:tc>
        <w:tc>
          <w:p>
            <w:pPr>
              <w:pStyle w:val="Compact"/>
              <w:jc w:val="right"/>
            </w:pPr>
            <w:r>
              <w:t xml:space="preserve">1</w:t>
            </w:r>
          </w:p>
        </w:tc>
        <w:tc>
          <w:p>
            <w:pPr>
              <w:pStyle w:val="Compact"/>
              <w:jc w:val="right"/>
            </w:pPr>
            <w:r>
              <w:t xml:space="preserve">1.5</w:t>
            </w:r>
          </w:p>
        </w:tc>
      </w:tr>
      <w:tr>
        <w:tc>
          <w:p>
            <w:pPr>
              <w:pStyle w:val="Compact"/>
              <w:jc w:val="left"/>
            </w:pPr>
            <w:r>
              <w:t xml:space="preserve">0.1%</w:t>
            </w:r>
          </w:p>
        </w:tc>
        <w:tc>
          <w:p>
            <w:pPr>
              <w:pStyle w:val="Compact"/>
              <w:jc w:val="right"/>
            </w:pPr>
            <w:r>
              <w:t xml:space="preserve">0.0</w:t>
            </w:r>
          </w:p>
        </w:tc>
        <w:tc>
          <w:p>
            <w:pPr>
              <w:pStyle w:val="Compact"/>
              <w:jc w:val="right"/>
            </w:pPr>
            <w:r>
              <w:t xml:space="preserve">0</w:t>
            </w:r>
          </w:p>
        </w:tc>
        <w:tc>
          <w:p>
            <w:pPr>
              <w:pStyle w:val="Compact"/>
              <w:jc w:val="right"/>
            </w:pPr>
            <w:r>
              <w:t xml:space="preserve">0.0</w:t>
            </w:r>
          </w:p>
        </w:tc>
      </w:tr>
      <w:tr>
        <w:tc>
          <w:p>
            <w:pPr>
              <w:pStyle w:val="Compact"/>
              <w:jc w:val="left"/>
            </w:pPr>
            <w:r>
              <w:t xml:space="preserve">0.5%</w:t>
            </w:r>
          </w:p>
        </w:tc>
        <w:tc>
          <w:p>
            <w:pPr>
              <w:pStyle w:val="Compact"/>
              <w:jc w:val="right"/>
            </w:pPr>
            <w:r>
              <w:t xml:space="preserve">0.5</w:t>
            </w:r>
          </w:p>
        </w:tc>
        <w:tc>
          <w:p>
            <w:pPr>
              <w:pStyle w:val="Compact"/>
              <w:jc w:val="right"/>
            </w:pPr>
            <w:r>
              <w:t xml:space="preserve">1</w:t>
            </w:r>
          </w:p>
        </w:tc>
        <w:tc>
          <w:p>
            <w:pPr>
              <w:pStyle w:val="Compact"/>
              <w:jc w:val="right"/>
            </w:pPr>
            <w:r>
              <w:t xml:space="preserve">2.0</w:t>
            </w:r>
          </w:p>
        </w:tc>
      </w:tr>
      <w:tr>
        <w:tc>
          <w:p>
            <w:pPr>
              <w:pStyle w:val="Compact"/>
              <w:jc w:val="left"/>
            </w:pPr>
            <w:r>
              <w:t xml:space="preserve">1%</w:t>
            </w:r>
          </w:p>
        </w:tc>
        <w:tc>
          <w:p>
            <w:pPr>
              <w:pStyle w:val="Compact"/>
              <w:jc w:val="right"/>
            </w:pPr>
            <w:r>
              <w:t xml:space="preserve">1.0</w:t>
            </w:r>
          </w:p>
        </w:tc>
        <w:tc>
          <w:p>
            <w:pPr>
              <w:pStyle w:val="Compact"/>
              <w:jc w:val="right"/>
            </w:pPr>
            <w:r>
              <w:t xml:space="preserve">2</w:t>
            </w:r>
          </w:p>
        </w:tc>
        <w:tc>
          <w:p>
            <w:pPr>
              <w:pStyle w:val="Compact"/>
              <w:jc w:val="right"/>
            </w:pPr>
            <w:r>
              <w:t xml:space="preserve">2.0</w:t>
            </w:r>
          </w:p>
        </w:tc>
      </w:tr>
      <w:tr>
        <w:tc>
          <w:p>
            <w:pPr>
              <w:pStyle w:val="Compact"/>
              <w:jc w:val="left"/>
            </w:pPr>
            <w:r>
              <w:t xml:space="preserve">0.1%</w:t>
            </w:r>
          </w:p>
        </w:tc>
        <w:tc>
          <w:p>
            <w:pPr>
              <w:pStyle w:val="Compact"/>
              <w:jc w:val="right"/>
            </w:pPr>
            <w:r>
              <w:t xml:space="preserve">0.0</w:t>
            </w:r>
          </w:p>
        </w:tc>
        <w:tc>
          <w:p>
            <w:pPr>
              <w:pStyle w:val="Compact"/>
              <w:jc w:val="right"/>
            </w:pPr>
            <w:r>
              <w:t xml:space="preserve">0</w:t>
            </w:r>
          </w:p>
        </w:tc>
        <w:tc>
          <w:p>
            <w:pPr>
              <w:pStyle w:val="Compact"/>
              <w:jc w:val="right"/>
            </w:pPr>
            <w:r>
              <w:t xml:space="preserve">0.5</w:t>
            </w:r>
          </w:p>
        </w:tc>
      </w:tr>
      <w:tr>
        <w:tc>
          <w:p>
            <w:pPr>
              <w:pStyle w:val="Compact"/>
              <w:jc w:val="left"/>
            </w:pPr>
            <w:r>
              <w:t xml:space="preserve">0.5%</w:t>
            </w:r>
          </w:p>
        </w:tc>
        <w:tc>
          <w:p>
            <w:pPr>
              <w:pStyle w:val="Compact"/>
              <w:jc w:val="right"/>
            </w:pPr>
            <w:r>
              <w:t xml:space="preserve">0.5</w:t>
            </w:r>
          </w:p>
        </w:tc>
        <w:tc>
          <w:p>
            <w:pPr>
              <w:pStyle w:val="Compact"/>
              <w:jc w:val="right"/>
            </w:pPr>
            <w:r>
              <w:t xml:space="preserve">2</w:t>
            </w:r>
          </w:p>
        </w:tc>
        <w:tc>
          <w:p>
            <w:pPr>
              <w:pStyle w:val="Compact"/>
              <w:jc w:val="right"/>
            </w:pPr>
            <w:r>
              <w:t xml:space="preserve">4.0</w:t>
            </w:r>
          </w:p>
        </w:tc>
      </w:tr>
      <w:tr>
        <w:tc>
          <w:p>
            <w:pPr>
              <w:pStyle w:val="Compact"/>
              <w:jc w:val="left"/>
            </w:pPr>
            <w:r>
              <w:t xml:space="preserve">1%</w:t>
            </w:r>
          </w:p>
        </w:tc>
        <w:tc>
          <w:p>
            <w:pPr>
              <w:pStyle w:val="Compact"/>
              <w:jc w:val="right"/>
            </w:pPr>
            <w:r>
              <w:t xml:space="preserve">1.0</w:t>
            </w:r>
          </w:p>
        </w:tc>
        <w:tc>
          <w:p>
            <w:pPr>
              <w:pStyle w:val="Compact"/>
              <w:jc w:val="right"/>
            </w:pPr>
            <w:r>
              <w:t xml:space="preserve">4</w:t>
            </w:r>
          </w:p>
        </w:tc>
        <w:tc>
          <w:p>
            <w:pPr>
              <w:pStyle w:val="Compact"/>
              <w:jc w:val="right"/>
            </w:pPr>
            <w:r>
              <w:t xml:space="preserve">NA</w:t>
            </w:r>
          </w:p>
        </w:tc>
      </w:tr>
    </w:tbl>
    <w:p>
      <w:pPr>
        <w:pStyle w:val="BodyText"/>
      </w:pPr>
      <w:r>
        <w:t xml:space="preserve">An alternative threshold approach to aid decision-making, particularly in resource-constrained settings, is the ITER. Figure 4 shows estimates of the ITER across transmission scenarios, test strategies, and test frequencies.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systematically on the first day of every other work week with no delay (</w:t>
      </w:r>
      <m:oMath>
        <m:r>
          <m:t>f</m:t>
        </m:r>
        <m:r>
          <m:rPr>
            <m:sty m:val="p"/>
          </m:rPr>
          <m:t>=</m:t>
        </m:r>
        <m:r>
          <m:t>0.5</m:t>
        </m:r>
        <m:r>
          <m:rPr>
            <m:sty m:val="p"/>
          </m:rPr>
          <m:t>,</m:t>
        </m:r>
        <m:r>
          <m:t>d</m:t>
        </m:r>
        <m:r>
          <m:rPr>
            <m:sty m:val="p"/>
          </m:rPr>
          <m:t>=</m:t>
        </m:r>
        <m:r>
          <m:t>0</m:t>
        </m:r>
      </m:oMath>
      <w:r>
        <w:t xml:space="preserve">, fig 4 squares) leads to</w:t>
      </w:r>
      <w:r>
        <w:t xml:space="preserve"> </w:t>
      </w:r>
      <m:oMath>
        <m:r>
          <m:t>I</m:t>
        </m:r>
        <m:r>
          <m:t>T</m:t>
        </m:r>
        <m:r>
          <m:t>E</m:t>
        </m:r>
        <m:r>
          <m:t>R</m:t>
        </m:r>
        <m:r>
          <m:rPr>
            <m:sty m:val="p"/>
          </m:rPr>
          <m:t>=</m:t>
        </m:r>
      </m:oMath>
      <w:r>
        <w:t xml:space="preserve"> </w:t>
      </w:r>
      <w:r>
        <w:t xml:space="preserve">180.89 (IQR 168.01 - 196.5), while increasing test frequency to weekly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181.72 (IQR 178.78 - 186.08), to twice weekly (</w:t>
      </w:r>
      <m:oMath>
        <m:r>
          <m:t>f</m:t>
        </m:r>
        <m:r>
          <m:rPr>
            <m:sty m:val="p"/>
          </m:rPr>
          <m:t>=</m:t>
        </m:r>
        <m:r>
          <m:t>2</m:t>
        </m:r>
      </m:oMath>
      <w:r>
        <w:t xml:space="preserve">):</w:t>
      </w:r>
      <w:r>
        <w:t xml:space="preserve"> </w:t>
      </w:r>
      <m:oMath>
        <m:r>
          <m:t>I</m:t>
        </m:r>
        <m:r>
          <m:t>T</m:t>
        </m:r>
        <m:r>
          <m:t>E</m:t>
        </m:r>
        <m:r>
          <m:t>R</m:t>
        </m:r>
        <m:r>
          <m:rPr>
            <m:sty m:val="p"/>
          </m:rPr>
          <m:t>=</m:t>
        </m:r>
      </m:oMath>
      <w:r>
        <w:t xml:space="preserve"> </w:t>
      </w:r>
      <w:r>
        <w:t xml:space="preserve">293.02 (IQR 288.91 - 295.6), and to every shift (</w:t>
      </w:r>
      <m:oMath>
        <m:r>
          <m:t>f</m:t>
        </m:r>
        <m:r>
          <m:rPr>
            <m:sty m:val="p"/>
          </m:rPr>
          <m:t>=</m:t>
        </m:r>
        <m:r>
          <m:t>4</m:t>
        </m:r>
      </m:oMath>
      <w:r>
        <w:t xml:space="preserve">):</w:t>
      </w:r>
      <w:r>
        <w:t xml:space="preserve"> </w:t>
      </w:r>
      <m:oMath>
        <m:r>
          <m:t>I</m:t>
        </m:r>
        <m:r>
          <m:t>T</m:t>
        </m:r>
        <m:r>
          <m:t>E</m:t>
        </m:r>
        <m:r>
          <m:t>R</m:t>
        </m:r>
        <m:r>
          <m:rPr>
            <m:sty m:val="p"/>
          </m:rPr>
          <m:t>=</m:t>
        </m:r>
      </m:oMath>
      <w:r>
        <w:t xml:space="preserve"> </w:t>
      </w:r>
      <w:r>
        <w:t xml:space="preserve">545.36 (IQR 541.58 - 550.61). These values approximately correspond to test positivity rates of 0.55%, 0.55%, 0.34%, and 0.18% due to the interpretation of the ITER as the number of tests per positive result. Figure 4 also provides an example reference line at</w:t>
      </w:r>
      <w:r>
        <w:t xml:space="preserve"> </w:t>
      </w:r>
      <m:oMath>
        <m:r>
          <m:t>I</m:t>
        </m:r>
        <m:r>
          <m:t>T</m:t>
        </m:r>
        <m:r>
          <m:t>E</m:t>
        </m:r>
        <m:r>
          <m:t>R</m:t>
        </m:r>
        <m:r>
          <m:rPr>
            <m:sty m:val="p"/>
          </m:rPr>
          <m:t>=</m:t>
        </m:r>
        <m:r>
          <m:t>1000</m:t>
        </m:r>
      </m:oMath>
      <w:r>
        <w:t xml:space="preserve">, corresponding to an approximate</w:t>
      </w:r>
      <w:r>
        <w:t xml:space="preserve"> </w:t>
      </w:r>
      <m:oMath>
        <m:r>
          <m:t>0.1</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3048000"/>
            <wp:effectExtent b="0" l="0" r="0" t="0"/>
            <wp:docPr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10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Cs/>
          <w:b/>
        </w:rPr>
        <w:t xml:space="preserve">Figure 4. Incremental test effectiveness ratio (ITER) from simulations across transmission scenarios and testing frequencies and strategies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1000</m:t>
        </m:r>
      </m:oMath>
      <w:r>
        <w:t xml:space="preserve"> </w:t>
      </w:r>
      <w:r>
        <w:t xml:space="preserve">is provided to aid visual comparison across scenarios. Error bars represent the interquartile range of expected infections derived from 100 simulations per scenario.</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2021-11-06T17:33:53Z</dcterms:created>
  <dcterms:modified xsi:type="dcterms:W3CDTF">2021-11-06T17:33:53Z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