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Why</w:t>
      </w:r>
      <w:r>
        <w:t xml:space="preserve"> </w:t>
      </w:r>
      <w:r>
        <w:t xml:space="preserve">does</w:t>
      </w:r>
      <w:r>
        <w:t xml:space="preserve"> </w:t>
      </w:r>
      <w:r>
        <w:t xml:space="preserve">schistosomiasis</w:t>
      </w:r>
      <w:r>
        <w:t xml:space="preserve"> </w:t>
      </w:r>
      <w:r>
        <w:t xml:space="preserve">rebound?</w:t>
      </w:r>
      <w:r>
        <w:t xml:space="preserve"> </w:t>
      </w:r>
      <w:r>
        <w:t xml:space="preserve">Sources</w:t>
      </w:r>
      <w:r>
        <w:t xml:space="preserve"> </w:t>
      </w:r>
      <w:r>
        <w:t xml:space="preserve">of</w:t>
      </w:r>
      <w:r>
        <w:t xml:space="preserve"> </w:t>
      </w:r>
      <w:r>
        <w:t xml:space="preserve">resilience</w:t>
      </w:r>
      <w:r>
        <w:t xml:space="preserve"> </w:t>
      </w:r>
      <w:r>
        <w:t xml:space="preserve">to</w:t>
      </w:r>
      <w:r>
        <w:t xml:space="preserve"> </w:t>
      </w:r>
      <w:r>
        <w:t xml:space="preserve">mass</w:t>
      </w:r>
      <w:r>
        <w:t xml:space="preserve"> </w:t>
      </w:r>
      <w:r>
        <w:t xml:space="preserve">drug</w:t>
      </w:r>
      <w:r>
        <w:t xml:space="preserve"> </w:t>
      </w:r>
      <w:r>
        <w:t xml:space="preserve">administration</w:t>
      </w:r>
      <w:r>
        <w:t xml:space="preserve"> </w:t>
      </w:r>
      <w:r>
        <w:t xml:space="preserve">and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control</w:t>
      </w:r>
      <w:r>
        <w:t xml:space="preserve"> </w:t>
      </w:r>
      <w:r>
        <w:t xml:space="preserve">strategies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Hoover,</w:t>
      </w:r>
      <w:r>
        <w:t xml:space="preserve"> </w:t>
      </w:r>
      <w:r>
        <w:t xml:space="preserve">etc.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global-burden-and-current-controlelimination-strategiesprogress"/>
      <w:bookmarkEnd w:id="22"/>
      <w:r>
        <w:t xml:space="preserve">Global burden and current control/elimination strategies/progress</w:t>
      </w:r>
    </w:p>
    <w:p>
      <w:pPr>
        <w:pStyle w:val="Compact"/>
        <w:numPr>
          <w:numId w:val="1001"/>
          <w:ilvl w:val="0"/>
        </w:numPr>
      </w:pPr>
      <w:r>
        <w:t xml:space="preserve">Global burden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Guidelines rely on MDA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MDA successful in many areas (examples)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but not so much in other areas …</w:t>
      </w:r>
    </w:p>
    <w:p>
      <w:pPr>
        <w:pStyle w:val="Heading3"/>
      </w:pPr>
      <w:bookmarkStart w:id="23" w:name="persistent-hotspots-rapid-rebound-and-resilience-to-controlelimination"/>
      <w:bookmarkEnd w:id="23"/>
      <w:r>
        <w:t xml:space="preserve">“</w:t>
      </w:r>
      <w:r>
        <w:t xml:space="preserve">Persistent hotspots</w:t>
      </w:r>
      <w:r>
        <w:t xml:space="preserve">”</w:t>
      </w:r>
      <w:r>
        <w:t xml:space="preserve">, rapid rebound, and resilience to control/elimination</w:t>
      </w:r>
    </w:p>
    <w:p>
      <w:pPr>
        <w:pStyle w:val="Compact"/>
        <w:numPr>
          <w:numId w:val="1002"/>
          <w:ilvl w:val="0"/>
        </w:numPr>
      </w:pPr>
      <w:r>
        <w:t xml:space="preserve">Logistical challenges coordinating drug donation and administration in areas where it’s most needed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MDA alone successful in many places, while others rapidly return to pre-MDA infection levels even before the next round of MDA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Persistent hotspots in SCORE trials, finescale variation in</w:t>
      </w:r>
      <w:r>
        <w:t xml:space="preserve"> </w:t>
      </w:r>
      <w:r>
        <w:t xml:space="preserve">“</w:t>
      </w:r>
      <w:r>
        <w:t xml:space="preserve">responder</w:t>
      </w:r>
      <w:r>
        <w:t xml:space="preserve">”</w:t>
      </w:r>
      <w:r>
        <w:t xml:space="preserve"> </w:t>
      </w:r>
      <w:r>
        <w:t xml:space="preserve">vs.</w:t>
      </w:r>
      <w:r>
        <w:t xml:space="preserve"> </w:t>
      </w:r>
      <w:r>
        <w:t xml:space="preserve">“</w:t>
      </w:r>
      <w:r>
        <w:t xml:space="preserve">hotspot</w:t>
      </w:r>
      <w:r>
        <w:t xml:space="preserve">”</w:t>
      </w:r>
      <w:r>
        <w:t xml:space="preserve"> </w:t>
      </w:r>
      <w:r>
        <w:t xml:space="preserve">communities</w:t>
      </w:r>
    </w:p>
    <w:p>
      <w:pPr>
        <w:pStyle w:val="Heading3"/>
      </w:pPr>
      <w:bookmarkStart w:id="24" w:name="environmental-control-history-recent-evidence-explanations"/>
      <w:bookmarkEnd w:id="24"/>
      <w:r>
        <w:t xml:space="preserve">“</w:t>
      </w:r>
      <w:r>
        <w:t xml:space="preserve">Environmental</w:t>
      </w:r>
      <w:r>
        <w:t xml:space="preserve">”</w:t>
      </w:r>
      <w:r>
        <w:t xml:space="preserve"> </w:t>
      </w:r>
      <w:r>
        <w:t xml:space="preserve">control: history, recent evidence, explanations</w:t>
      </w:r>
    </w:p>
    <w:p>
      <w:pPr>
        <w:pStyle w:val="Compact"/>
        <w:numPr>
          <w:numId w:val="1003"/>
          <w:ilvl w:val="0"/>
        </w:numPr>
      </w:pPr>
      <w:r>
        <w:t xml:space="preserve">Summary of current (WHO, other agencies?) guidelines/strategies for control options other than MDA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Sanna’s paper on history of schisto elimination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Contradiction(s) between current guidelines and evidence base? What can models tell us?…</w:t>
      </w:r>
    </w:p>
    <w:p>
      <w:pPr>
        <w:pStyle w:val="Heading3"/>
      </w:pPr>
      <w:bookmarkStart w:id="25" w:name="modeling-schistosomiasis-control-density-dependence-breakpoints-non-linearities"/>
      <w:bookmarkEnd w:id="25"/>
      <w:r>
        <w:t xml:space="preserve">Modeling schistosomiasis control: density dependence, breakpoints, non-linearities</w:t>
      </w:r>
    </w:p>
    <w:p>
      <w:pPr>
        <w:pStyle w:val="Compact"/>
        <w:numPr>
          <w:numId w:val="1004"/>
          <w:ilvl w:val="0"/>
        </w:numPr>
      </w:pPr>
      <w:r>
        <w:t xml:space="preserve">History of modeling schistosomiasis dynamics in the context of control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Density dependence and presence of a transmission breakpoint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Importance and implications of the breakpoint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Sources of resilience and brief explanations: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Non-linear man-to-snail transmission dynamics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Density-dependent fecundity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Acquired immunity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Changes in worm burden distribution among infected individuals</w:t>
      </w:r>
    </w:p>
    <w:p>
      <w:pPr>
        <w:pStyle w:val="Heading3"/>
      </w:pPr>
      <w:bookmarkStart w:id="26" w:name="framing-of-the-problem"/>
      <w:bookmarkEnd w:id="26"/>
      <w:r>
        <w:t xml:space="preserve">Framing of the problem</w:t>
      </w:r>
    </w:p>
    <w:p>
      <w:pPr>
        <w:pStyle w:val="Compact"/>
        <w:numPr>
          <w:numId w:val="1005"/>
          <w:ilvl w:val="0"/>
        </w:numPr>
      </w:pPr>
      <w:r>
        <w:t xml:space="preserve">Systematic investigation of sources of resilience and their implications for control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Quantifying the influence of sources of resilience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Identifying (optimal?) control strategies when accounting for sources of resilience</w:t>
      </w:r>
    </w:p>
    <w:p>
      <w:pPr>
        <w:pStyle w:val="Heading1"/>
      </w:pPr>
      <w:bookmarkStart w:id="27" w:name="methods"/>
      <w:bookmarkEnd w:id="27"/>
      <w:r>
        <w:t xml:space="preserve">Methods</w:t>
      </w:r>
    </w:p>
    <w:p>
      <w:pPr>
        <w:pStyle w:val="FirstParagraph"/>
      </w:pPr>
      <w:r>
        <w:t xml:space="preserve">We expand on classic</w:t>
      </w:r>
      <w:r>
        <w:t xml:space="preserve"> </w:t>
      </w:r>
      <w:r>
        <w:t xml:space="preserve">“</w:t>
      </w:r>
      <w:r>
        <w:t xml:space="preserve">MacDonald-type</w:t>
      </w:r>
      <w:r>
        <w:t xml:space="preserve">”</w:t>
      </w:r>
      <w:r>
        <w:t xml:space="preserve"> </w:t>
      </w:r>
      <w:r>
        <w:t xml:space="preserve">models and our more recently published models incorporating logistic snail population growth to explore the role of X, Y, and Z on schistosomiasis transmission dynamics as the parasite population is affected by routine MDA.</w:t>
      </w:r>
    </w:p>
    <w:p>
      <w:pPr>
        <w:pStyle w:val="Heading3"/>
      </w:pPr>
      <w:bookmarkStart w:id="28" w:name="infection-dynamics-in-intermediate-host-snails"/>
      <w:bookmarkEnd w:id="28"/>
      <w:r>
        <w:t xml:space="preserve">Infection dynamics in intermediate host snails</w:t>
      </w:r>
    </w:p>
    <w:p>
      <w:pPr>
        <w:pStyle w:val="FirstParagraph"/>
      </w:pPr>
      <w:r>
        <w:t xml:space="preserve">Schistosome infection among intermediate host snails follows a susceptible-exposed-infected (S-E-I) framework in order to account for the delay (pre-patent period) between infection and active shedding of cercariae (patency). Logistic population growth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t>(</m:t>
        </m:r>
        <m:r>
          <m:t>1</m:t>
        </m:r>
        <m:r>
          <m:t>−</m:t>
        </m:r>
        <m:f>
          <m:fPr>
            <m:type m:val="bar"/>
          </m:fPr>
          <m:num>
            <m:r>
              <m:t>N</m:t>
            </m:r>
          </m:num>
          <m:den>
            <m:r>
              <m:t>K</m:t>
            </m:r>
          </m:den>
        </m:f>
        <m:r>
          <m:t>)</m:t>
        </m:r>
        <m:r>
          <m:t>(</m:t>
        </m:r>
        <m:r>
          <m:t>S</m:t>
        </m:r>
        <m:r>
          <m:t>+</m:t>
        </m:r>
        <m:r>
          <m:t>E</m:t>
        </m:r>
        <m:r>
          <m:t>)</m:t>
        </m:r>
        <m:r>
          <m:t>−</m:t>
        </m:r>
        <m:sSub>
          <m:e>
            <m:r>
              <m:t>μ</m:t>
            </m:r>
          </m:e>
          <m:sub>
            <m:r>
              <m:t>N</m:t>
            </m:r>
          </m:sub>
        </m:sSub>
        <m:r>
          <m:t>S</m:t>
        </m:r>
        <m:r>
          <m:t>−</m:t>
        </m:r>
        <m:r>
          <m:t>Λ</m:t>
        </m:r>
        <m:r>
          <m:t>S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E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Λ</m:t>
        </m:r>
        <m:r>
          <m:t>S</m:t>
        </m:r>
        <m:r>
          <m:t>−</m:t>
        </m:r>
        <m:r>
          <m:t>(</m:t>
        </m:r>
        <m:sSub>
          <m:e>
            <m:r>
              <m:t>μ</m:t>
            </m:r>
          </m:e>
          <m:sub>
            <m:r>
              <m:t>N</m:t>
            </m:r>
          </m:sub>
        </m:sSub>
        <m:r>
          <m:t>+</m:t>
        </m:r>
        <m:r>
          <m:t>σ</m:t>
        </m:r>
        <m:r>
          <m:t>)</m:t>
        </m:r>
        <m:r>
          <m:t>E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σ</m:t>
        </m:r>
        <m:r>
          <m:t>E</m:t>
        </m:r>
        <m:r>
          <m:t>−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I</m:t>
        </m:r>
      </m:oMath>
    </w:p>
    <w:p>
      <w:pPr>
        <w:pStyle w:val="Heading3"/>
      </w:pPr>
      <w:bookmarkStart w:id="29" w:name="infection-dynamics-in-human-hosts"/>
      <w:bookmarkEnd w:id="29"/>
      <w:r>
        <w:t xml:space="preserve">Infection dynamics in human hosts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W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λ</m:t>
        </m:r>
        <m:r>
          <m:t>I</m:t>
        </m:r>
        <m:r>
          <m:t>−</m:t>
        </m:r>
        <m:r>
          <m:t>(</m:t>
        </m:r>
        <m:sSub>
          <m:e>
            <m:r>
              <m:t>μ</m:t>
            </m:r>
          </m:e>
          <m:sub>
            <m:r>
              <m:t>W</m:t>
            </m:r>
          </m:sub>
        </m:sSub>
        <m:r>
          <m:t>+</m:t>
        </m:r>
        <m:sSub>
          <m:e>
            <m:r>
              <m:t>μ</m:t>
            </m:r>
          </m:e>
          <m:sub>
            <m:r>
              <m:t>H</m:t>
            </m:r>
          </m:sub>
        </m:sSub>
        <m:r>
          <m:t>)</m:t>
        </m:r>
        <m:r>
          <m:t>W</m:t>
        </m:r>
      </m:oMath>
    </w:p>
    <w:p>
      <w:pPr>
        <w:pStyle w:val="Heading3"/>
      </w:pPr>
      <w:bookmarkStart w:id="30" w:name="sources-of-resilience-and-their-representation-in-the-model"/>
      <w:bookmarkEnd w:id="30"/>
      <w:r>
        <w:t xml:space="preserve">Sources of resilience and their representation in the model</w:t>
      </w:r>
    </w:p>
    <w:p>
      <w:pPr>
        <w:pStyle w:val="Heading4"/>
      </w:pPr>
      <w:bookmarkStart w:id="31" w:name="non-linear-snail-foi"/>
      <w:bookmarkEnd w:id="31"/>
      <w:r>
        <w:t xml:space="preserve">Non linear snail FOI</w:t>
      </w:r>
    </w:p>
    <w:p>
      <w:pPr>
        <w:pStyle w:val="FirstParagraph"/>
      </w:pPr>
      <m:oMath>
        <m:r>
          <m:t>Λ</m:t>
        </m:r>
        <m:r>
          <m:t>=</m:t>
        </m:r>
        <m:sSub>
          <m:e>
            <m:r>
              <m:t>Λ</m:t>
            </m:r>
          </m:e>
          <m:sub>
            <m:r>
              <m:t>0</m:t>
            </m:r>
          </m:sub>
        </m:sSub>
        <m:r>
          <m:t>(</m:t>
        </m:r>
        <m:r>
          <m:t>1</m:t>
        </m:r>
        <m:r>
          <m:t>−</m:t>
        </m:r>
        <m:sSup>
          <m:e>
            <m:r>
              <m:t>e</m:t>
            </m:r>
          </m:e>
          <m:sup>
            <m:f>
              <m:fPr>
                <m:type m:val="bar"/>
              </m:fPr>
              <m:num>
                <m:r>
                  <m:t>β</m:t>
                </m:r>
                <m:r>
                  <m:t>M</m:t>
                </m:r>
              </m:num>
              <m:den>
                <m:r>
                  <m:t>N</m:t>
                </m:r>
              </m:den>
            </m:f>
          </m:sup>
        </m:sSup>
        <m:r>
          <m:t>)</m:t>
        </m:r>
      </m:oMath>
    </w:p>
    <w:p>
      <w:pPr>
        <w:pStyle w:val="BodyText"/>
      </w:pPr>
      <w:r>
        <w:t xml:space="preserve">Man-to-snail transmission is a saturating function of miracidial density,</w:t>
      </w:r>
      <w:r>
        <w:t xml:space="preserve"> </w:t>
      </w:r>
      <m:oMath>
        <m:r>
          <m:t>M</m:t>
        </m:r>
      </m:oMath>
      <w:r>
        <w:t xml:space="preserve">, as in Gurarie, Lo, Ndeffo-Mbah, Durham, and King (2018)</w:t>
      </w:r>
    </w:p>
    <w:p>
      <w:pPr>
        <w:pStyle w:val="Heading4"/>
      </w:pPr>
      <w:bookmarkStart w:id="32" w:name="reservoirs-of-infection"/>
      <w:bookmarkEnd w:id="32"/>
      <w:r>
        <w:t xml:space="preserve">Reservoirs of infection</w:t>
      </w:r>
    </w:p>
    <w:p>
      <w:pPr>
        <w:pStyle w:val="FirstParagraph"/>
      </w:pPr>
      <w:r>
        <w:t xml:space="preserve">Miracidial input estimated as the sum of infectious input across all definitive human host populations: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/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j</m:t>
                  </m:r>
                </m:sub>
                <m:sup/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sSub>
            <m:e>
              <m:r>
                <m:t>H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Φ</m:t>
          </m:r>
          <m:r>
            <m:t>(</m:t>
          </m:r>
          <m:sSub>
            <m:e>
              <m:r>
                <m:t>W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sSub>
            <m:e>
              <m:r>
                <m:t>α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 mean worm burden,</w:t>
      </w:r>
      <w:r>
        <w:t xml:space="preserve"> </w:t>
      </w:r>
      <m:oMath>
        <m:r>
          <m:t>W</m:t>
        </m:r>
      </m:oMath>
      <w:r>
        <w:t xml:space="preserve">, is modeled separately for different age groups,</w:t>
      </w:r>
      <w:r>
        <w:t xml:space="preserve"> </w:t>
      </w:r>
      <m:oMath>
        <m:r>
          <m:t>i</m:t>
        </m:r>
      </m:oMath>
      <w:r>
        <w:t xml:space="preserve">, and treatment groups,</w:t>
      </w:r>
      <w:r>
        <w:t xml:space="preserve"> </w:t>
      </w:r>
      <m:oMath>
        <m:r>
          <m:t>j</m:t>
        </m:r>
      </m:oMath>
      <w:r>
        <w:t xml:space="preserve">;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number of individuals in the group;</w:t>
      </w:r>
      <w:r>
        <w:t xml:space="preserve"> </w:t>
      </w:r>
      <m:oMath>
        <m:r>
          <m:t>Φ</m:t>
        </m:r>
        <m:r>
          <m:t>(</m:t>
        </m:r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  <m:r>
          <m:t>)</m:t>
        </m:r>
      </m:oMath>
      <w:r>
        <w:t xml:space="preserve"> </w:t>
      </w:r>
      <w:r>
        <w:t xml:space="preserve">is the mating probability of adult worms in each population with the dispersion parameter of the negative binomially distributed worm population,</w:t>
      </w:r>
      <w:r>
        <w:t xml:space="preserve"> </w:t>
      </w:r>
      <m:oMath>
        <m:sSub>
          <m:e>
            <m:r>
              <m:t>κ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estimated as a function of the mean worm burden,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(see below); and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an estimate of the amount of infectious material from each group that reaches the intermediate host snail population.</w:t>
      </w:r>
    </w:p>
    <w:p>
      <w:pPr>
        <w:pStyle w:val="BodyText"/>
      </w:pPr>
      <w:r>
        <w:t xml:space="preserve">MDA in the affected population is modeled as a reduction in the mean worm burden by</w:t>
      </w:r>
      <w:r>
        <w:t xml:space="preserve"> </w:t>
      </w:r>
      <m:oMath>
        <m:r>
          <m:t>ϵ</m:t>
        </m:r>
      </m:oMath>
      <w:r>
        <w:t xml:space="preserve">, the efficacy of the drug intervention, in the following timestep of the model: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  <m:r>
              <m:t>t</m:t>
            </m:r>
          </m:sub>
        </m:sSub>
        <m:r>
          <m:t>=</m:t>
        </m:r>
        <m:r>
          <m:t>ϵ</m:t>
        </m:r>
        <m:sSub>
          <m:e>
            <m:r>
              <m:t>W</m:t>
            </m:r>
          </m:e>
          <m:sub>
            <m:r>
              <m:t>i</m:t>
            </m:r>
            <m:r>
              <m:t>j</m:t>
            </m:r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. Mean worm burden in the other populations remain unaffected except via reductions in the man-to-snail FOI as a result of treating the affected population.</w:t>
      </w:r>
    </w:p>
    <w:p>
      <w:pPr>
        <w:pStyle w:val="Heading4"/>
      </w:pPr>
      <w:bookmarkStart w:id="33" w:name="dispersion-parameter-responsive-to-worm-burden-in-each-population"/>
      <w:bookmarkEnd w:id="33"/>
      <w:r>
        <w:t xml:space="preserve">Dispersion parameter responsive to worm burden in each population</w:t>
      </w:r>
    </w:p>
    <w:p>
      <w:pPr>
        <w:pStyle w:val="FirstParagraph"/>
      </w:pPr>
      <m:oMath>
        <m:sSub>
          <m:e>
            <m:r>
              <m:t>κ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~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Heading4"/>
      </w:pPr>
      <w:bookmarkStart w:id="34" w:name="density-dependent-fecundity"/>
      <w:bookmarkEnd w:id="34"/>
      <w:r>
        <w:t xml:space="preserve">Density dependent fecundity</w:t>
      </w:r>
    </w:p>
    <w:p>
      <w:pPr>
        <w:pStyle w:val="FirstParagraph"/>
      </w:pPr>
      <m:oMath>
        <m:r>
          <m:t>γ</m:t>
        </m:r>
        <m:r>
          <m:t>=</m:t>
        </m:r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−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ω</m:t>
                </m:r>
              </m:sup>
            </m:sSup>
            <m:r>
              <m:t>)</m:t>
            </m:r>
            <m:r>
              <m:t>W</m:t>
            </m:r>
          </m:num>
          <m:den>
            <m:r>
              <m:t>κ</m:t>
            </m:r>
          </m:den>
        </m:f>
        <m:sSup>
          <m:e>
            <m:r>
              <m:t>)</m:t>
            </m:r>
          </m:e>
          <m:sup>
            <m:r>
              <m:t>−</m:t>
            </m:r>
            <m:r>
              <m:t>(</m:t>
            </m:r>
            <m:r>
              <m:t>κ</m:t>
            </m:r>
            <m:r>
              <m:t>+</m:t>
            </m:r>
            <m:r>
              <m:t>1</m:t>
            </m:r>
            <m:r>
              <m:t>)</m:t>
            </m:r>
          </m:sup>
        </m:sSup>
      </m:oMath>
    </w:p>
    <w:p>
      <w:pPr>
        <w:pStyle w:val="Heading4"/>
      </w:pPr>
      <w:bookmarkStart w:id="35" w:name="acquired-immunity"/>
      <w:bookmarkEnd w:id="35"/>
      <w:r>
        <w:t xml:space="preserve">Acquired immunity</w:t>
      </w:r>
    </w:p>
    <w:p>
      <w:pPr>
        <w:pStyle w:val="FirstParagraph"/>
      </w:pPr>
      <m:oMath>
        <m:r>
          <m:t>ρ</m:t>
        </m:r>
        <m:r>
          <m:t>=</m:t>
        </m:r>
        <m:sSup>
          <m:e>
            <m:r>
              <m:t>e</m:t>
            </m:r>
          </m:e>
          <m:sup>
            <m:r>
              <m:t>(</m:t>
            </m:r>
            <m:r>
              <m:t>1</m:t>
            </m:r>
            <m:r>
              <m:t>−</m:t>
            </m:r>
            <m:r>
              <m:t>v</m:t>
            </m:r>
            <m:r>
              <m:t>W</m:t>
            </m:r>
            <m:r>
              <m:t>−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v</m:t>
                </m:r>
                <m:r>
                  <m:t>W</m:t>
                </m:r>
              </m:sup>
            </m:sSup>
            <m:r>
              <m:t>)</m:t>
            </m:r>
          </m:sup>
        </m:sSup>
      </m:oMath>
    </w:p>
    <w:p>
      <w:pPr>
        <w:pStyle w:val="Heading2"/>
      </w:pPr>
      <w:bookmarkStart w:id="36" w:name="r_eff-and-w_bp-derivation-estimation-and-response-to-different-control-strategies"/>
      <w:bookmarkEnd w:id="36"/>
      <m:oMath>
        <m:sSub>
          <m:e>
            <m:r>
              <m:t>R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: derivation, estimation, and response to different control strategies</w:t>
      </w:r>
    </w:p>
    <w:p>
      <w:pPr>
        <w:pStyle w:val="Heading2"/>
      </w:pPr>
      <w:bookmarkStart w:id="37" w:name="stochastic-model-simulating-control-strategies-and-probability-of-elimination-as-a-metric-of-potential-success"/>
      <w:bookmarkEnd w:id="37"/>
      <w:r>
        <w:t xml:space="preserve">Stochastic model simulating control strategies and probability of elimination as a metric of potential success</w:t>
      </w:r>
    </w:p>
    <w:p>
      <w:pPr>
        <w:pStyle w:val="Compact"/>
        <w:numPr>
          <w:numId w:val="1006"/>
          <w:ilvl w:val="0"/>
        </w:numPr>
      </w:pPr>
      <w:r>
        <w:t xml:space="preserve">No intervention (baseline)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School-based MDA (coverage informed by estimates from Senegal? Score?)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Community-wide MDA (coverage informed by estimates from Senegal? Score?)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Each MDA strategy with snail control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Initial</w:t>
      </w:r>
      <w:r>
        <w:t xml:space="preserve"> </w:t>
      </w:r>
      <w:r>
        <w:rPr>
          <w:rStyle w:val="VerbatimChar"/>
        </w:rPr>
        <w:t xml:space="preserve">_</w:t>
      </w:r>
      <w:r>
        <w:t xml:space="preserve">% reduction in snail habitat followed by</w:t>
      </w:r>
      <w:r>
        <w:t xml:space="preserve"> </w:t>
      </w:r>
      <w:r>
        <w:rPr>
          <w:rStyle w:val="VerbatimChar"/>
        </w:rPr>
        <w:t xml:space="preserve">___</w:t>
      </w:r>
      <w:r>
        <w:t xml:space="preserve"> </w:t>
      </w:r>
      <w:r>
        <w:t xml:space="preserve">MDA strategy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Gradual</w:t>
      </w:r>
      <w:r>
        <w:t xml:space="preserve"> </w:t>
      </w:r>
      <w:r>
        <w:rPr>
          <w:rStyle w:val="VerbatimChar"/>
        </w:rPr>
        <w:t xml:space="preserve">_</w:t>
      </w:r>
      <w:r>
        <w:t xml:space="preserve">% reduction in snail habitat in conjunction with</w:t>
      </w:r>
      <w:r>
        <w:t xml:space="preserve"> </w:t>
      </w:r>
      <w:r>
        <w:rPr>
          <w:rStyle w:val="VerbatimChar"/>
        </w:rPr>
        <w:t xml:space="preserve">___</w:t>
      </w:r>
      <w:r>
        <w:t xml:space="preserve"> </w:t>
      </w:r>
      <w:r>
        <w:t xml:space="preserve">MDA strategy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Gradual improvements in sanitation and hygiene in conjunction with MDA</w:t>
      </w:r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3"/>
      </w:pPr>
      <w:bookmarkStart w:id="39" w:name="potential-figures-in-no-particular-order"/>
      <w:bookmarkEnd w:id="39"/>
      <w:r>
        <w:t xml:space="preserve">Potential Figures (in no particular order)</w:t>
      </w:r>
    </w:p>
    <w:p>
      <w:pPr>
        <w:pStyle w:val="Heading4"/>
      </w:pPr>
      <w:bookmarkStart w:id="40" w:name="r_eff-curve-pointing-out-w_bp"/>
      <w:bookmarkEnd w:id="40"/>
      <w:r>
        <w:t xml:space="preserve">-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</m:oMath>
      <w:r>
        <w:t xml:space="preserve"> </w:t>
      </w:r>
      <w:r>
        <w:t xml:space="preserve">curve pointing out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,</w:t>
      </w:r>
    </w:p>
    <w:p>
      <w:pPr>
        <w:pStyle w:val="Heading4"/>
      </w:pPr>
      <w:bookmarkStart w:id="41" w:name="r_eff-time-series"/>
      <w:bookmarkEnd w:id="41"/>
      <w:r>
        <w:t xml:space="preserve">-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</m:oMath>
      <w:r>
        <w:t xml:space="preserve"> </w:t>
      </w:r>
      <w:r>
        <w:t xml:space="preserve">time series</w:t>
      </w:r>
    </w:p>
    <w:p>
      <w:pPr>
        <w:pStyle w:val="FirstParagraph"/>
      </w:pPr>
      <w:r>
        <w:t xml:space="preserve">Shows that MDA except at extremely high levels of coverage increases transmission (as measured by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f</m:t>
            </m:r>
            <m:r>
              <m:t>f</m:t>
            </m:r>
          </m:sub>
        </m:sSub>
      </m:oMath>
      <w:r>
        <w:t xml:space="preserve">) by reducing influence of negative density dependence, leads to return towards pre-intervention levels of infection</w:t>
      </w:r>
    </w:p>
    <w:p>
      <w:pPr>
        <w:pStyle w:val="Heading4"/>
      </w:pPr>
      <w:bookmarkStart w:id="42" w:name="w_bp-comparisons-between-models-to-show-influence-of-sources-of-resilience-on-the-breakpoint-population-size.-e.g.what-is-breakpoint-with-no-pdd-with-pdd-with-pddnon-linear-huma-snail-foi-etc"/>
      <w:bookmarkEnd w:id="42"/>
      <w:r>
        <w:t xml:space="preserve">-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 </w:t>
      </w:r>
      <w:r>
        <w:t xml:space="preserve">comparisons between models to show influence of sources of resilience on the breakpoint population size. e.g. what is breakpoint with no PDD, with PDD, with PDD+non-linear huma-snail FOI, etc…</w:t>
      </w:r>
    </w:p>
    <w:p>
      <w:pPr>
        <w:pStyle w:val="Heading4"/>
      </w:pPr>
      <w:bookmarkStart w:id="43" w:name="w_bp-across-values-of-parameters-that-can-be-changed-via-control-measures"/>
      <w:bookmarkEnd w:id="43"/>
      <w:r>
        <w:t xml:space="preserve">-</w:t>
      </w:r>
      <w:r>
        <w:t xml:space="preserve"> </w:t>
      </w:r>
      <m:oMath>
        <m:sSub>
          <m:e>
            <m:r>
              <m:t>W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 </w:t>
      </w:r>
      <w:r>
        <w:t xml:space="preserve">across values of parameters that can be changed via control measures</w:t>
      </w:r>
    </w:p>
    <w:p>
      <w:pPr>
        <w:pStyle w:val="Heading4"/>
      </w:pPr>
      <w:bookmarkStart w:id="44" w:name="example-stochastic-time-series-from-different-control-strategies-delineate-chains-that-successfully-controleliminate-based-on-who-definition-from-those-that-rebound-with-different-colors"/>
      <w:bookmarkEnd w:id="44"/>
      <w:r>
        <w:t xml:space="preserve">- Example stochastic time series from different control strategies, delineate chains that successfully control/eliminate (based on WHO definition) from those that rebound with different colors</w:t>
      </w:r>
    </w:p>
    <w:p>
      <w:pPr>
        <w:pStyle w:val="Heading3"/>
      </w:pPr>
      <w:bookmarkStart w:id="45" w:name="table-further-divided-by-intervention-strategy"/>
      <w:bookmarkEnd w:id="45"/>
      <w:r>
        <w:t xml:space="preserve">Table (further divided by intervention strategy):</w:t>
      </w:r>
    </w:p>
    <w:tbl>
      <w:tblPr>
        <w:tblStyle w:val="TableNormal"/>
        <w:tblW w:type="pct" w:w="5000.0"/>
        <w:tblLook w:firstRow="1"/>
      </w:tblPr>
      <w:tblGrid>
        <w:gridCol w:w="1370"/>
        <w:gridCol w:w="1878"/>
        <w:gridCol w:w="2792"/>
        <w:gridCol w:w="187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Probability.of.transmission.control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Probability.of.elimination.as.a.public.health.problem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Probability.of.outright.elimination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prevalence setting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Medium prevalence setting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prevalence setting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1"/>
      </w:pPr>
      <w:bookmarkStart w:id="46" w:name="discussion"/>
      <w:bookmarkEnd w:id="46"/>
      <w:r>
        <w:t xml:space="preserve">Discussion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3517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6046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does schistosomiasis rebound? Sources of resilience to mass drug administration and implications for control strategies</dc:title>
  <dc:creator>Chris Hoover, etc.</dc:creator>
  <dcterms:created xsi:type="dcterms:W3CDTF">2019-07-22T05:11:51Z</dcterms:created>
  <dcterms:modified xsi:type="dcterms:W3CDTF">2019-07-22T05:11:51Z</dcterms:modified>
</cp:coreProperties>
</file>