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Schisto</w:t>
      </w:r>
      <w:r>
        <w:t xml:space="preserve"> </w:t>
      </w:r>
      <w:r>
        <w:t xml:space="preserve">questions</w:t>
      </w:r>
      <w:r>
        <w:t xml:space="preserve"> </w:t>
      </w:r>
      <w:r>
        <w:t xml:space="preserve">and</w:t>
      </w:r>
      <w:r>
        <w:t xml:space="preserve"> </w:t>
      </w:r>
      <w:r>
        <w:t xml:space="preserve">hypotheses</w:t>
      </w:r>
    </w:p>
    <w:p>
      <w:pPr>
        <w:pStyle w:val="Author"/>
      </w:pPr>
      <w:r>
        <w:t xml:space="preserve">Chris</w:t>
      </w:r>
      <w:r>
        <w:t xml:space="preserve"> </w:t>
      </w:r>
      <w:r>
        <w:t xml:space="preserve">Hoover</w:t>
      </w:r>
    </w:p>
    <w:p>
      <w:pPr>
        <w:pStyle w:val="Date"/>
      </w:pPr>
      <w:r>
        <w:t xml:space="preserve">October</w:t>
      </w:r>
      <w:r>
        <w:t xml:space="preserve"> </w:t>
      </w:r>
      <w:r>
        <w:t xml:space="preserve">6,</w:t>
      </w:r>
      <w:r>
        <w:t xml:space="preserve"> </w:t>
      </w:r>
      <w:r>
        <w:t xml:space="preserve">2019</w:t>
      </w:r>
    </w:p>
    <w:p>
      <w:pPr>
        <w:pStyle w:val="Heading1"/>
      </w:pPr>
      <w:bookmarkStart w:id="21" w:name="question-1-how-does-the-population-distn-of-infection-intensity-change-following-interventions-and-what-are-the-implications-for-control"/>
      <w:bookmarkEnd w:id="21"/>
      <w:r>
        <w:t xml:space="preserve">Question 1: How does the population dist’n of infection intensity change following interventions and what are the implications for control?</w:t>
      </w:r>
    </w:p>
    <w:p>
      <w:pPr>
        <w:pStyle w:val="Heading2"/>
      </w:pPr>
      <w:bookmarkStart w:id="22" w:name="hypothesis-1-individual-susceptibility-is-the-main-determinant-of-risk-and-of-reinfection-patterns-and-does-not-change-over-time-therefore-the-distn-of-infection-intensity-is-likely-to-remain-relatively-stable-over-time-but-mean-infection-intensity-is-likely-to-decrease-same-kappa-decreased-mean-infection-intensity"/>
      <w:bookmarkEnd w:id="22"/>
      <w:r>
        <w:t xml:space="preserve">Hypothesis 1: Individual susceptibility is the main determinant of risk and of reinfection patterns, and does not change over time, therefore the dist’n of infection intensity is likely to remain relatively stable over time, but mean infection intensity is likely to decrease (same</w:t>
      </w:r>
      <w:r>
        <w:t xml:space="preserve"> </w:t>
      </w:r>
      <m:oMath>
        <m:r>
          <m:t>κ</m:t>
        </m:r>
      </m:oMath>
      <w:r>
        <w:t xml:space="preserve">, decreased mean infection intensity)</w:t>
      </w:r>
    </w:p>
    <w:p>
      <w:pPr>
        <w:pStyle w:val="Heading2"/>
      </w:pPr>
      <w:bookmarkStart w:id="23" w:name="hypothesis-2-individual-exposures-become-more-rare-and-worm-acquisition-becomes-more-stochastic-leading-to-even-more-skewed-distributions-as-transmission-is-reduced-and-mean-intensity-decreases-decreased-kappa-and-mean-infection-intensity"/>
      <w:bookmarkEnd w:id="23"/>
      <w:r>
        <w:t xml:space="preserve">Hypothesis 2: Individual exposures become more rare, and worm acquisition becomes more stochastic, leading to even more skewed distributions as transmission is reduced and mean intensity decreases (decreased</w:t>
      </w:r>
      <w:r>
        <w:t xml:space="preserve"> </w:t>
      </w:r>
      <m:oMath>
        <m:r>
          <m:t>κ</m:t>
        </m:r>
      </m:oMath>
      <w:r>
        <w:t xml:space="preserve"> </w:t>
      </w:r>
      <w:r>
        <w:t xml:space="preserve">and mean infection intensity)</w:t>
      </w:r>
    </w:p>
    <w:p>
      <w:pPr>
        <w:pStyle w:val="Heading2"/>
      </w:pPr>
      <w:bookmarkStart w:id="24" w:name="datasets"/>
      <w:bookmarkEnd w:id="24"/>
      <w:r>
        <w:t xml:space="preserve">Datasets</w:t>
      </w:r>
    </w:p>
    <w:p>
      <w:pPr>
        <w:pStyle w:val="Heading2"/>
      </w:pPr>
      <w:bookmarkStart w:id="25" w:name="approaches"/>
      <w:bookmarkEnd w:id="25"/>
      <w:r>
        <w:t xml:space="preserve">Approaches</w:t>
      </w:r>
    </w:p>
    <w:p>
      <w:pPr>
        <w:pStyle w:val="Heading3"/>
      </w:pPr>
      <w:bookmarkStart w:id="26" w:name="ibm-model-linked-with-spatially-distributed-snail-infection-model"/>
      <w:bookmarkEnd w:id="26"/>
      <w:r>
        <w:t xml:space="preserve">IBM model linked with (Spatially distributed?) snail infection model</w:t>
      </w:r>
    </w:p>
    <w:p>
      <w:pPr>
        <w:pStyle w:val="FirstParagraph"/>
      </w:pPr>
      <w:r>
        <w:t xml:space="preserve">Explicitly model individual variability in susceptibility and cercarial exposure as in</w:t>
      </w:r>
      <w:r>
        <w:t xml:space="preserve"> </w:t>
      </w:r>
      <w:r>
        <w:t xml:space="preserve">[1]</w:t>
      </w:r>
      <w:r>
        <w:t xml:space="preserve">, but link it with a snail infection model. Key phenomena to consider are extremely rare detections of both cercariae and infected snails at low human worm burdens.</w:t>
      </w:r>
    </w:p>
    <w:p>
      <w:pPr>
        <w:pStyle w:val="Heading3"/>
      </w:pPr>
      <w:bookmarkStart w:id="27" w:name="village-level-individual-infection-intensities-moving-from-endemic-setting-to-lownear-elimination-setting"/>
      <w:bookmarkEnd w:id="27"/>
      <w:r>
        <w:t xml:space="preserve">Village-level individual infection intensities moving from ~endemic setting to low/near elimination setting</w:t>
      </w:r>
    </w:p>
    <w:p>
      <w:pPr>
        <w:pStyle w:val="FirstParagraph"/>
      </w:pPr>
      <w:r>
        <w:t xml:space="preserve">Does negative binomial dist’n remain a good descriptor of population dist’n of infection? If so, what is the relationship between its parameters and control efforts? What are the implications of dynamic distributions for control and elimination efforts?</w:t>
      </w:r>
    </w:p>
    <w:p>
      <w:pPr>
        <w:pStyle w:val="Compact"/>
        <w:numPr>
          <w:numId w:val="1001"/>
          <w:ilvl w:val="0"/>
        </w:numPr>
      </w:pPr>
      <w:r>
        <w:t xml:space="preserve">Goodness of fit test of NB dist’n as intensity decreases</w:t>
      </w:r>
      <w:r>
        <w:br w:type="textWrapping"/>
      </w:r>
    </w:p>
    <w:p>
      <w:pPr>
        <w:pStyle w:val="Compact"/>
        <w:numPr>
          <w:numId w:val="1001"/>
          <w:ilvl w:val="0"/>
        </w:numPr>
      </w:pPr>
      <w:r>
        <w:t xml:space="preserve">Statistical model relating mean intensity and clumping parameter to control efforts</w:t>
      </w:r>
    </w:p>
    <w:p>
      <w:pPr>
        <w:pStyle w:val="Heading1"/>
      </w:pPr>
      <w:bookmarkStart w:id="28" w:name="question-2-what-explains-high-rebound-rates-following-mda-and-persistent-hotspot-phenomenon"/>
      <w:bookmarkEnd w:id="28"/>
      <w:r>
        <w:t xml:space="preserve">Question 2: What explains high rebound rates following MDA and persistent hotspot phenomenon?</w:t>
      </w:r>
    </w:p>
    <w:p>
      <w:pPr>
        <w:pStyle w:val="Heading2"/>
      </w:pPr>
      <w:bookmarkStart w:id="29" w:name="hypotheses"/>
      <w:bookmarkEnd w:id="29"/>
      <w:r>
        <w:t xml:space="preserve">Hypotheses</w:t>
      </w:r>
    </w:p>
    <w:p>
      <w:pPr>
        <w:pStyle w:val="Heading3"/>
      </w:pPr>
      <w:bookmarkStart w:id="30" w:name="hypothesis-1-high-transmission-rates-cause-individuals-to-re-acquire-infection-rapidly-following-mda.-high-transmission-could-be-explained-by-a-number-of-factors-including-a-large-reservoir-of-infection-in-the-snail-population-in-connected-human-populations-or-in-zoonotic-reservoirs-high-exposure-rates-due-to-common-water-contact-with-infected-water-bodies-or-poor-sanitation-that-causes-a-steady-input-of-infectious-material-into-the-environmental-reservoir-even-after-treatment-related-to-infection-reservoir"/>
      <w:bookmarkEnd w:id="30"/>
      <w:r>
        <w:t xml:space="preserve">Hypothesis 1: High transmission rates cause individuals to re-acquire infection rapidly following MDA. High transmission could be explained by a number of factors including a large reservoir of infection in the snail population, in connected human populations, or in zoonotic reservoirs; high exposure rates due to common water contact with infected water bodies; or poor sanitation that causes a steady input of infectious material into the environmental reservoir even after treatment (related to infection reservoir)</w:t>
      </w:r>
    </w:p>
    <w:p>
      <w:pPr>
        <w:pStyle w:val="Heading3"/>
      </w:pPr>
      <w:bookmarkStart w:id="31" w:name="hypothesis-2-imperfect-treatment-causes-individuals-particularly-those-with-heavy-infections-to-remain-infected-albeit-with-reduced-intensity"/>
      <w:bookmarkEnd w:id="31"/>
      <w:r>
        <w:t xml:space="preserve">Hypothesis 2: Imperfect treatment causes individuals, particularly those with heavy infections, to remain infected, albeit with reduced intensity</w:t>
      </w:r>
    </w:p>
    <w:p>
      <w:pPr>
        <w:pStyle w:val="Heading3"/>
      </w:pPr>
      <w:bookmarkStart w:id="32" w:name="hypothesis-3-negative-density-dependent-effects-allow-for-increased-egg-output-even-among-reduced-parasite-populations-meaning-infection-intensity-is-reduced-but-transmission-intensity-remains-similar-could-be-related-to-h2-if-heavily-infected-individuals-retain-a-few-mated-pairs-that-produce-more-eggs"/>
      <w:bookmarkEnd w:id="32"/>
      <w:r>
        <w:t xml:space="preserve">Hypothesis 3: Negative density dependent effects allow for increased egg output even among reduced parasite populations, meaning infection intensity is reduced, but transmission intensity remains similar (could be related to H2 if heavily infected individuals retain a few mated pairs that produce more eggs)</w:t>
      </w:r>
    </w:p>
    <w:p>
      <w:pPr>
        <w:pStyle w:val="Heading2"/>
      </w:pPr>
      <w:bookmarkStart w:id="33" w:name="datasets-1"/>
      <w:bookmarkEnd w:id="33"/>
      <w:r>
        <w:t xml:space="preserve">Datasets</w:t>
      </w:r>
    </w:p>
    <w:p>
      <w:pPr>
        <w:pStyle w:val="Heading2"/>
      </w:pPr>
      <w:bookmarkStart w:id="34" w:name="approaches-1"/>
      <w:bookmarkEnd w:id="34"/>
      <w:r>
        <w:t xml:space="preserve">Approaches</w:t>
      </w:r>
    </w:p>
    <w:p>
      <w:pPr>
        <w:pStyle w:val="Heading3"/>
      </w:pPr>
      <w:bookmarkStart w:id="35" w:name="theory-of-critical-transitions"/>
      <w:bookmarkEnd w:id="35"/>
      <w:r>
        <w:t xml:space="preserve">Theory of critical transitions</w:t>
      </w:r>
    </w:p>
    <w:p>
      <w:pPr>
        <w:pStyle w:val="FirstParagraph"/>
      </w:pPr>
      <w:r>
        <w:t xml:space="preserve">Critical transitions thought of in terms of a general process</w:t>
      </w:r>
    </w:p>
    <w:p>
      <w:pPr>
        <w:pStyle w:val="BodyText"/>
      </w:pPr>
      <m:oMathPara>
        <m:oMathParaPr>
          <m:jc m:val="center"/>
        </m:oMathParaPr>
        <m:oMath>
          <m:r>
            <m:t>d</m:t>
          </m:r>
          <m:r>
            <m:t>x</m:t>
          </m:r>
          <m:r>
            <m:t>=</m:t>
          </m:r>
          <m:r>
            <m:t>f</m:t>
          </m:r>
          <m:r>
            <m:t>(</m:t>
          </m:r>
          <m:r>
            <m:t>x</m:t>
          </m:r>
          <m:r>
            <m:t>,</m:t>
          </m:r>
          <m:r>
            <m:t>θ</m:t>
          </m:r>
          <m:r>
            <m:t>)</m:t>
          </m:r>
          <m:r>
            <m:t>g</m:t>
          </m:r>
          <m:r>
            <m:t>(</m:t>
          </m:r>
          <m:r>
            <m:t>x</m:t>
          </m:r>
          <m:r>
            <m:t>,</m:t>
          </m:r>
          <m:r>
            <m:t>θ</m:t>
          </m:r>
          <m:r>
            <m:t>)</m:t>
          </m:r>
          <m:r>
            <m:t>d</m:t>
          </m:r>
          <m:r>
            <m:t>W</m:t>
          </m:r>
        </m:oMath>
      </m:oMathPara>
    </w:p>
    <w:p>
      <w:pPr>
        <w:pStyle w:val="FirstParagraph"/>
      </w:pPr>
      <w:r>
        <w:t xml:space="preserve">where x i the state of the system,</w:t>
      </w:r>
      <w:r>
        <w:t xml:space="preserve"> </w:t>
      </w:r>
      <m:oMath>
        <m:r>
          <m:t>f</m:t>
        </m:r>
        <m:r>
          <m:t>(</m:t>
        </m:r>
        <m:r>
          <m:t>x</m:t>
        </m:r>
        <m:r>
          <m:t>,</m:t>
        </m:r>
        <m:r>
          <m:t>θ</m:t>
        </m:r>
        <m:r>
          <m:t>)</m:t>
        </m:r>
      </m:oMath>
      <w:r>
        <w:t xml:space="preserve"> </w:t>
      </w:r>
      <w:r>
        <w:t xml:space="preserve">describes the deterministic part of the system, and</w:t>
      </w:r>
      <w:r>
        <w:t xml:space="preserve"> </w:t>
      </w:r>
      <m:oMath>
        <m:r>
          <m:t>g</m:t>
        </m:r>
        <m:r>
          <m:t>(</m:t>
        </m:r>
        <m:r>
          <m:t>x</m:t>
        </m:r>
        <m:r>
          <m:t>,</m:t>
        </m:r>
        <m:r>
          <m:t>θ</m:t>
        </m:r>
        <m:r>
          <m:t>)</m:t>
        </m:r>
      </m:oMath>
      <w:r>
        <w:t xml:space="preserve"> </w:t>
      </w:r>
      <w:r>
        <w:t xml:space="preserve">describes how stochasticity interacts with the system. Changes in</w:t>
      </w:r>
      <w:r>
        <w:t xml:space="preserve"> </w:t>
      </w:r>
      <m:oMath>
        <m:r>
          <m:t>θ</m:t>
        </m:r>
      </m:oMath>
      <w:r>
        <w:t xml:space="preserve"> </w:t>
      </w:r>
      <w:r>
        <w:t xml:space="preserve">can move the system closer to a threshold where a transition is likely to occur. In a disease setting, particularly for parasitic diseases where transmission is a function of infection intensity,</w:t>
      </w:r>
      <w:r>
        <w:t xml:space="preserve"> </w:t>
      </w:r>
      <m:oMath>
        <m:r>
          <m:t>f</m:t>
        </m:r>
        <m:r>
          <m:t>(</m:t>
        </m:r>
        <m:r>
          <m:t>x</m:t>
        </m:r>
        <m:r>
          <m:t>,</m:t>
        </m:r>
        <m:r>
          <m:t>θ</m:t>
        </m:r>
        <m:r>
          <m:t>)</m:t>
        </m:r>
        <m:r>
          <m:t>≈</m:t>
        </m:r>
        <m:sSub>
          <m:e>
            <m:r>
              <m:t>R</m:t>
            </m:r>
          </m:e>
          <m:sub>
            <m:r>
              <m:t>e</m:t>
            </m:r>
            <m:r>
              <m:t>f</m:t>
            </m:r>
            <m:r>
              <m:t>f</m:t>
            </m:r>
          </m:sub>
        </m:sSub>
      </m:oMath>
      <w:r>
        <w:t xml:space="preserve">,</w:t>
      </w:r>
      <w:r>
        <w:t xml:space="preserve"> </w:t>
      </w:r>
      <m:oMath>
        <m:r>
          <m:t>θ</m:t>
        </m:r>
        <m:r>
          <m:t>≈</m:t>
        </m:r>
        <m:sSub>
          <m:e>
            <m:r>
              <m:t>R</m:t>
            </m:r>
          </m:e>
          <m:sub>
            <m:r>
              <m:t>0</m:t>
            </m:r>
          </m:sub>
        </m:sSub>
      </m:oMath>
      <w:r>
        <w:t xml:space="preserve">,</w:t>
      </w:r>
      <w:r>
        <w:t xml:space="preserve"> </w:t>
      </w:r>
      <m:oMath>
        <m:r>
          <m:t>x</m:t>
        </m:r>
        <m:r>
          <m:t>≈</m:t>
        </m:r>
        <m:r>
          <m:t>W</m:t>
        </m:r>
      </m:oMath>
      <w:r>
        <w:t xml:space="preserve"> </w:t>
      </w:r>
      <w:r>
        <w:t xml:space="preserve">(system state = infection intensity), and</w:t>
      </w:r>
      <w:r>
        <w:t xml:space="preserve"> </w:t>
      </w:r>
      <m:oMath>
        <m:r>
          <m:t>g</m:t>
        </m:r>
        <m:r>
          <m:t>(</m:t>
        </m:r>
        <m:r>
          <m:t>x</m:t>
        </m:r>
        <m:r>
          <m:t>,</m:t>
        </m:r>
        <m:r>
          <m:t>θ</m:t>
        </m:r>
        <m:r>
          <m:t>)</m:t>
        </m:r>
        <m:r>
          <m:t>≈</m:t>
        </m:r>
        <m:r>
          <m:t>?</m:t>
        </m:r>
      </m:oMath>
      <w:r>
        <w:t xml:space="preserve"> </w:t>
      </w:r>
      <w:r>
        <w:t xml:space="preserve">(stochastic components include heterogeneities in egg shedding, susceptibility, unkown inputs from external sources).</w:t>
      </w:r>
    </w:p>
    <w:p>
      <w:pPr>
        <w:pStyle w:val="BodyText"/>
      </w:pPr>
      <w:r>
        <w:t xml:space="preserve">For schistosomiasis and other helminths,</w:t>
      </w:r>
      <w:r>
        <w:t xml:space="preserve"> </w:t>
      </w:r>
      <m:oMath>
        <m:sSub>
          <m:e>
            <m:r>
              <m:t>R</m:t>
            </m:r>
          </m:e>
          <m:sub>
            <m:r>
              <m:t>e</m:t>
            </m:r>
            <m:r>
              <m:t>f</m:t>
            </m:r>
            <m:r>
              <m:t>f</m:t>
            </m:r>
          </m:sub>
        </m:sSub>
      </m:oMath>
      <w:r>
        <w:t xml:space="preserve"> </w:t>
      </w:r>
      <w:r>
        <w:t xml:space="preserve">can be measured as the product of</w:t>
      </w:r>
      <w:r>
        <w:t xml:space="preserve"> </w:t>
      </w:r>
      <m:oMath>
        <m:sSub>
          <m:e>
            <m:r>
              <m:t>R</m:t>
            </m:r>
          </m:e>
          <m:sub>
            <m:r>
              <m:t>0</m:t>
            </m:r>
          </m:sub>
        </m:sSub>
      </m:oMath>
      <w:r>
        <w:t xml:space="preserve"> </w:t>
      </w:r>
      <w:r>
        <w:t xml:space="preserve">and the magnitude of density dependencies at a particular system state, measured in terms of worm burden,</w:t>
      </w:r>
      <w:r>
        <w:t xml:space="preserve"> </w:t>
      </w:r>
      <m:oMath>
        <m:r>
          <m:t>W</m:t>
        </m:r>
      </m:oMath>
      <w:r>
        <w:t xml:space="preserve">. Density dependencies common to helminths include positive density dependent mate limitation,</w:t>
      </w:r>
      <m:oMath>
        <m:r>
          <m:t>Φ</m:t>
        </m:r>
      </m:oMath>
      <w:r>
        <w:t xml:space="preserve">, and negative density dependent fecundity due to crowding,</w:t>
      </w:r>
      <w:r>
        <w:t xml:space="preserve"> </w:t>
      </w:r>
      <m:oMath>
        <m:r>
          <m:t>ρ</m:t>
        </m:r>
      </m:oMath>
      <w:r>
        <w:t xml:space="preserve">. Both of these quantities can be estimated from data on the distribution of parasites among definitive hosts, often assumed to be negative binomially distributed and measured in terms of the mean worm burden,</w:t>
      </w:r>
      <w:r>
        <w:t xml:space="preserve"> </w:t>
      </w:r>
      <m:oMath>
        <m:r>
          <m:t>W</m:t>
        </m:r>
      </m:oMath>
      <w:r>
        <w:t xml:space="preserve">, and its dispersion among the population,</w:t>
      </w:r>
      <w:r>
        <w:t xml:space="preserve"> </w:t>
      </w:r>
      <m:oMath>
        <m:r>
          <m:t>κ</m:t>
        </m:r>
      </m:oMath>
      <w:r>
        <w:t xml:space="preserve">, thus we have:</w:t>
      </w:r>
    </w:p>
    <w:p>
      <w:pPr>
        <w:pStyle w:val="BodyText"/>
      </w:pPr>
      <m:oMathPara>
        <m:oMathParaPr>
          <m:jc m:val="center"/>
        </m:oMathParaPr>
        <m:oMath>
          <m:sSub>
            <m:e>
              <m:r>
                <m:t>R</m:t>
              </m:r>
            </m:e>
            <m:sub>
              <m:r>
                <m:t>e</m:t>
              </m:r>
              <m:r>
                <m:t>f</m:t>
              </m:r>
              <m:r>
                <m:t>f</m:t>
              </m:r>
            </m:sub>
          </m:sSub>
          <m:r>
            <m:t>(</m:t>
          </m:r>
          <m:r>
            <m:t>W</m:t>
          </m:r>
          <m:r>
            <m:t>)</m:t>
          </m:r>
          <m:r>
            <m:t>=</m:t>
          </m:r>
          <m:sSub>
            <m:e>
              <m:r>
                <m:t>R</m:t>
              </m:r>
            </m:e>
            <m:sub>
              <m:r>
                <m:t>0</m:t>
              </m:r>
            </m:sub>
          </m:sSub>
          <m:r>
            <m:t>Φ</m:t>
          </m:r>
          <m:r>
            <m:t>(</m:t>
          </m:r>
          <m:r>
            <m:t>W</m:t>
          </m:r>
          <m:r>
            <m:t>,</m:t>
          </m:r>
          <m:r>
            <m:t>κ</m:t>
          </m:r>
          <m:r>
            <m:t>)</m:t>
          </m:r>
          <m:r>
            <m:t>ρ</m:t>
          </m:r>
          <m:r>
            <m:t>(</m:t>
          </m:r>
          <m:r>
            <m:t>W</m:t>
          </m:r>
          <m:r>
            <m:t>,</m:t>
          </m:r>
          <m:r>
            <m:t>κ</m:t>
          </m:r>
          <m:r>
            <m:t>)</m:t>
          </m:r>
        </m:oMath>
      </m:oMathPara>
    </w:p>
    <w:p>
      <w:pPr>
        <w:pStyle w:val="FirstParagraph"/>
      </w:pPr>
      <w:r>
        <w:t xml:space="preserve">Before any sort of intervention such as PZQ administration (e.g. perturbation to the system), we can assume the system is at its endemic equilibrium where</w:t>
      </w:r>
      <w:r>
        <w:t xml:space="preserve"> </w:t>
      </w:r>
      <m:oMath>
        <m:sSub>
          <m:e>
            <m:r>
              <m:t>R</m:t>
            </m:r>
          </m:e>
          <m:sub>
            <m:r>
              <m:t>e</m:t>
            </m:r>
            <m:r>
              <m:t>f</m:t>
            </m:r>
            <m:r>
              <m:t>f</m:t>
            </m:r>
          </m:sub>
        </m:sSub>
        <m:r>
          <m:t>=</m:t>
        </m:r>
        <m:r>
          <m:t>1</m:t>
        </m:r>
      </m:oMath>
      <w:r>
        <w:t xml:space="preserve">, thus we can estimate</w:t>
      </w:r>
      <w:r>
        <w:t xml:space="preserve"> </w:t>
      </w:r>
      <m:oMath>
        <m:sSub>
          <m:e>
            <m:r>
              <m:t>R</m:t>
            </m:r>
          </m:e>
          <m:sub>
            <m:r>
              <m:t>0</m:t>
            </m:r>
          </m:sub>
        </m:sSub>
        <m:r>
          <m:t>=</m:t>
        </m:r>
        <m:r>
          <m:t>(</m:t>
        </m:r>
        <m:r>
          <m:t>Φ</m:t>
        </m:r>
        <m:r>
          <m:t>(</m:t>
        </m:r>
        <m:r>
          <m:t>W</m:t>
        </m:r>
        <m:r>
          <m:t>,</m:t>
        </m:r>
        <m:r>
          <m:t>κ</m:t>
        </m:r>
        <m:r>
          <m:t>)</m:t>
        </m:r>
        <m:r>
          <m:t>ρ</m:t>
        </m:r>
        <m:r>
          <m:t>(</m:t>
        </m:r>
        <m:r>
          <m:t>W</m:t>
        </m:r>
        <m:r>
          <m:t>,</m:t>
        </m:r>
        <m:r>
          <m:t>κ</m:t>
        </m:r>
        <m:r>
          <m:t>)</m:t>
        </m:r>
        <m:sSup>
          <m:e>
            <m:r>
              <m:t>)</m:t>
            </m:r>
          </m:e>
          <m:sup>
            <m:r>
              <m:t>−</m:t>
            </m:r>
            <m:r>
              <m:t>1</m:t>
            </m:r>
          </m:sup>
        </m:sSup>
      </m:oMath>
      <w:r>
        <w:t xml:space="preserve">.</w:t>
      </w:r>
    </w:p>
    <w:p>
      <w:pPr>
        <w:pStyle w:val="Heading4"/>
      </w:pPr>
      <w:bookmarkStart w:id="36" w:name="model-and-connection-to-epidemiological-data"/>
      <w:bookmarkEnd w:id="36"/>
      <w:r>
        <w:t xml:space="preserve">Model and connection to epidemiological data</w:t>
      </w:r>
    </w:p>
    <w:p>
      <w:pPr>
        <w:pStyle w:val="FirstParagraph"/>
      </w:pPr>
      <w:r>
        <w:t xml:space="preserve">We can connect this to a simplified helminth model with two state variables: the prevalence of infection in the environmental reservoir,</w:t>
      </w:r>
      <w:r>
        <w:t xml:space="preserve"> </w:t>
      </w:r>
      <m:oMath>
        <m:r>
          <m:t>y</m:t>
        </m:r>
      </m:oMath>
      <w:r>
        <w:t xml:space="preserve">, (e.g. snail infection for schistosomiasis) and the mean parasite burden in the definitive human host population,</w:t>
      </w:r>
      <w:r>
        <w:t xml:space="preserve"> </w:t>
      </w:r>
      <m:oMath>
        <m:r>
          <m:t>W</m:t>
        </m:r>
      </m:oMath>
      <w:r>
        <w:t xml:space="preserve">:</w:t>
      </w:r>
    </w:p>
    <w:p>
      <w:pPr>
        <w:pStyle w:val="BodyText"/>
      </w:pPr>
      <m:oMathPara>
        <m:oMathParaPr>
          <m:jc m:val="center"/>
        </m:oMathParaPr>
        <m:oMath>
          <m:f>
            <m:fPr>
              <m:type m:val="bar"/>
            </m:fPr>
            <m:num>
              <m:r>
                <m:t>d</m:t>
              </m:r>
              <m:r>
                <m:t>W</m:t>
              </m:r>
            </m:num>
            <m:den>
              <m:r>
                <m:t>d</m:t>
              </m:r>
              <m:r>
                <m:t>t</m:t>
              </m:r>
            </m:den>
          </m:f>
          <m:r>
            <m:t>=</m:t>
          </m:r>
          <m:r>
            <m:t>α</m:t>
          </m:r>
          <m:r>
            <m:t>y</m:t>
          </m:r>
          <m:r>
            <m:t>N</m:t>
          </m:r>
          <m:r>
            <m:t>−</m:t>
          </m:r>
          <m:sSub>
            <m:e>
              <m:r>
                <m:t>μ</m:t>
              </m:r>
            </m:e>
            <m:sub>
              <m:r>
                <m:t>W</m:t>
              </m:r>
            </m:sub>
          </m:sSub>
          <m:r>
            <m:t>W</m:t>
          </m:r>
        </m:oMath>
      </m:oMathPara>
    </w:p>
    <w:p>
      <w:pPr>
        <w:pStyle w:val="FirstParagraph"/>
      </w:pPr>
      <m:oMathPara>
        <m:oMathParaPr>
          <m:jc m:val="center"/>
        </m:oMathParaPr>
        <m:oMath>
          <m:f>
            <m:fPr>
              <m:type m:val="bar"/>
            </m:fPr>
            <m:num>
              <m:r>
                <m:t>d</m:t>
              </m:r>
              <m:r>
                <m:t>y</m:t>
              </m:r>
            </m:num>
            <m:den>
              <m:r>
                <m:t>d</m:t>
              </m:r>
              <m:r>
                <m:t>t</m:t>
              </m:r>
            </m:den>
          </m:f>
          <m:r>
            <m:t>=</m:t>
          </m:r>
          <m:r>
            <m:t>β</m:t>
          </m:r>
          <m:r>
            <m:t>0.5</m:t>
          </m:r>
          <m:r>
            <m:t>W</m:t>
          </m:r>
          <m:r>
            <m:t>H</m:t>
          </m:r>
          <m:r>
            <m:t>Φ</m:t>
          </m:r>
          <m:r>
            <m:t>(</m:t>
          </m:r>
          <m:r>
            <m:t>W</m:t>
          </m:r>
          <m:r>
            <m:t>,</m:t>
          </m:r>
          <m:r>
            <m:t>κ</m:t>
          </m:r>
          <m:r>
            <m:t>)</m:t>
          </m:r>
          <m:r>
            <m:t>ρ</m:t>
          </m:r>
          <m:r>
            <m:t>(</m:t>
          </m:r>
          <m:r>
            <m:t>W</m:t>
          </m:r>
          <m:r>
            <m:t>,</m:t>
          </m:r>
          <m:r>
            <m:t>κ</m:t>
          </m:r>
          <m:r>
            <m:t>)</m:t>
          </m:r>
          <m:r>
            <m:t>m</m:t>
          </m:r>
          <m:r>
            <m:t>(</m:t>
          </m:r>
          <m:r>
            <m:t>1</m:t>
          </m:r>
          <m:r>
            <m:t>−</m:t>
          </m:r>
          <m:r>
            <m:t>y</m:t>
          </m:r>
          <m:r>
            <m:t>)</m:t>
          </m:r>
          <m:r>
            <m:t>−</m:t>
          </m:r>
          <m:sSub>
            <m:e>
              <m:r>
                <m:t>μ</m:t>
              </m:r>
            </m:e>
            <m:sub>
              <m:r>
                <m:t>y</m:t>
              </m:r>
            </m:sub>
          </m:sSub>
          <m:r>
            <m:t>y</m:t>
          </m:r>
        </m:oMath>
      </m:oMathPara>
    </w:p>
    <w:p>
      <w:pPr>
        <w:pStyle w:val="FirstParagraph"/>
      </w:pPr>
      <w:r>
        <w:t xml:space="preserve">We can also express snail infection dynamics in terms of egg output from infected individuals, estimated as</w:t>
      </w:r>
      <w:r>
        <w:t xml:space="preserve"> </w:t>
      </w:r>
      <m:oMath>
        <m:r>
          <m:rPr>
            <m:sty m:val="p"/>
            <m:scr m:val="script"/>
          </m:rPr>
          <m:t>E</m:t>
        </m:r>
        <m:r>
          <m:t>=</m:t>
        </m:r>
        <m:r>
          <m:t>0.5</m:t>
        </m:r>
        <m:r>
          <m:t>W</m:t>
        </m:r>
        <m:r>
          <m:t>Φ</m:t>
        </m:r>
        <m:r>
          <m:t>(</m:t>
        </m:r>
        <m:r>
          <m:t>W</m:t>
        </m:r>
        <m:r>
          <m:t>,</m:t>
        </m:r>
        <m:r>
          <m:t>κ</m:t>
        </m:r>
        <m:r>
          <m:t>)</m:t>
        </m:r>
        <m:r>
          <m:t>ρ</m:t>
        </m:r>
        <m:r>
          <m:t>(</m:t>
        </m:r>
        <m:r>
          <m:t>W</m:t>
        </m:r>
        <m:r>
          <m:t>,</m:t>
        </m:r>
        <m:r>
          <m:t>κ</m:t>
        </m:r>
        <m:r>
          <m:t>)</m:t>
        </m:r>
      </m:oMath>
      <w:r>
        <w:t xml:space="preserve"> </w:t>
      </w:r>
      <w:r>
        <w:t xml:space="preserve">to give:</w:t>
      </w:r>
      <w:r>
        <w:br w:type="textWrapping"/>
      </w:r>
    </w:p>
    <w:p>
      <w:pPr>
        <w:pStyle w:val="BodyText"/>
      </w:pPr>
      <m:oMathPara>
        <m:oMathParaPr>
          <m:jc m:val="center"/>
        </m:oMathParaPr>
        <m:oMath>
          <m:f>
            <m:fPr>
              <m:type m:val="bar"/>
            </m:fPr>
            <m:num>
              <m:r>
                <m:t>d</m:t>
              </m:r>
              <m:r>
                <m:t>y</m:t>
              </m:r>
            </m:num>
            <m:den>
              <m:r>
                <m:t>d</m:t>
              </m:r>
              <m:r>
                <m:t>t</m:t>
              </m:r>
            </m:den>
          </m:f>
          <m:r>
            <m:t>=</m:t>
          </m:r>
          <m:r>
            <m:t>β</m:t>
          </m:r>
          <m:r>
            <m:rPr>
              <m:sty m:val="p"/>
              <m:scr m:val="script"/>
            </m:rPr>
            <m:t>E</m:t>
          </m:r>
          <m:r>
            <m:t>(</m:t>
          </m:r>
          <m:r>
            <m:t>W</m:t>
          </m:r>
          <m:r>
            <m:t>,</m:t>
          </m:r>
          <m:r>
            <m:t>κ</m:t>
          </m:r>
          <m:r>
            <m:t>)</m:t>
          </m:r>
          <m:r>
            <m:t>H</m:t>
          </m:r>
          <m:r>
            <m:t>(</m:t>
          </m:r>
          <m:r>
            <m:t>1</m:t>
          </m:r>
          <m:r>
            <m:t>−</m:t>
          </m:r>
          <m:r>
            <m:t>y</m:t>
          </m:r>
          <m:r>
            <m:t>)</m:t>
          </m:r>
          <m:r>
            <m:t>−</m:t>
          </m:r>
          <m:sSub>
            <m:e>
              <m:r>
                <m:t>μ</m:t>
              </m:r>
            </m:e>
            <m:sub>
              <m:r>
                <m:t>y</m:t>
              </m:r>
            </m:sub>
          </m:sSub>
          <m:r>
            <m:t>y</m:t>
          </m:r>
        </m:oMath>
      </m:oMathPara>
    </w:p>
    <w:p>
      <w:pPr>
        <w:pStyle w:val="FirstParagraph"/>
      </w:pPr>
      <w:r>
        <w:t xml:space="preserve">We can then use equilibrated mean worm burden,</w:t>
      </w:r>
      <w:r>
        <w:t xml:space="preserve"> </w:t>
      </w:r>
      <m:oMath>
        <m:sSup>
          <m:e>
            <m:r>
              <m:t>W</m:t>
            </m:r>
          </m:e>
          <m:sup>
            <m:r>
              <m:t>*</m:t>
            </m:r>
          </m:sup>
        </m:sSup>
        <m:r>
          <m:t>=</m:t>
        </m:r>
        <m:f>
          <m:fPr>
            <m:type m:val="bar"/>
          </m:fPr>
          <m:num>
            <m:r>
              <m:t>α</m:t>
            </m:r>
            <m:r>
              <m:t>y</m:t>
            </m:r>
            <m:r>
              <m:t>N</m:t>
            </m:r>
          </m:num>
          <m:den>
            <m:sSub>
              <m:e>
                <m:r>
                  <m:t>μ</m:t>
                </m:r>
              </m:e>
              <m:sub>
                <m:r>
                  <m:t>W</m:t>
                </m:r>
              </m:sub>
            </m:sSub>
          </m:den>
        </m:f>
      </m:oMath>
      <w:r>
        <w:t xml:space="preserve">, to reduce the snail equation to:</w:t>
      </w:r>
    </w:p>
    <w:p>
      <w:pPr>
        <w:pStyle w:val="BodyText"/>
      </w:pPr>
      <m:oMathPara>
        <m:oMathParaPr>
          <m:jc m:val="center"/>
        </m:oMathParaPr>
        <m:oMath>
          <m:f>
            <m:fPr>
              <m:type m:val="bar"/>
            </m:fPr>
            <m:num>
              <m:r>
                <m:t>d</m:t>
              </m:r>
              <m:r>
                <m:t>y</m:t>
              </m:r>
            </m:num>
            <m:den>
              <m:r>
                <m:t>d</m:t>
              </m:r>
              <m:r>
                <m:t>t</m:t>
              </m:r>
            </m:den>
          </m:f>
          <m:r>
            <m:t>=</m:t>
          </m:r>
          <m:r>
            <m:t>β</m:t>
          </m:r>
          <m:r>
            <m:t>0.5</m:t>
          </m:r>
          <m:r>
            <m:t>W</m:t>
          </m:r>
          <m:r>
            <m:t>H</m:t>
          </m:r>
          <m:r>
            <m:t>Φ</m:t>
          </m:r>
          <m:r>
            <m:t>(</m:t>
          </m:r>
          <m:r>
            <m:t>W</m:t>
          </m:r>
          <m:r>
            <m:t>,</m:t>
          </m:r>
          <m:r>
            <m:t>κ</m:t>
          </m:r>
          <m:r>
            <m:t>)</m:t>
          </m:r>
          <m:r>
            <m:t>ρ</m:t>
          </m:r>
          <m:r>
            <m:t>(</m:t>
          </m:r>
          <m:r>
            <m:t>W</m:t>
          </m:r>
          <m:r>
            <m:t>,</m:t>
          </m:r>
          <m:r>
            <m:t>κ</m:t>
          </m:r>
          <m:r>
            <m:t>)</m:t>
          </m:r>
          <m:r>
            <m:t>m</m:t>
          </m:r>
          <m:r>
            <m:t>(</m:t>
          </m:r>
          <m:r>
            <m:t>1</m:t>
          </m:r>
          <m:r>
            <m:t>−</m:t>
          </m:r>
          <m:r>
            <m:t>y</m:t>
          </m:r>
          <m:r>
            <m:t>)</m:t>
          </m:r>
          <m:r>
            <m:t>−</m:t>
          </m:r>
          <m:sSub>
            <m:e>
              <m:r>
                <m:t>μ</m:t>
              </m:r>
            </m:e>
            <m:sub>
              <m:r>
                <m:t>y</m:t>
              </m:r>
            </m:sub>
          </m:sSub>
          <m:r>
            <m:t>y</m:t>
          </m:r>
        </m:oMath>
      </m:oMathPara>
    </w:p>
    <w:p>
      <w:pPr>
        <w:pStyle w:val="FirstParagraph"/>
      </w:pPr>
      <w:r>
        <w:t xml:space="preserve">Methods for detecting</w:t>
      </w:r>
      <w:r>
        <w:t xml:space="preserve"> </w:t>
      </w:r>
      <w:r>
        <w:t xml:space="preserve">“</w:t>
      </w:r>
      <w:r>
        <w:t xml:space="preserve">early warning signals</w:t>
      </w:r>
      <w:r>
        <w:t xml:space="preserve">”</w:t>
      </w:r>
      <w:r>
        <w:t xml:space="preserve"> </w:t>
      </w:r>
      <w:r>
        <w:t xml:space="preserve">of critical transitions abound and typically draw from the theory that the rate of return to an equilibirum is decreased as the system approaches a transition (i.e. perturb an unstable system far from the equilibrium and it takes a long time to return). This can be measured e.g. via increased autocorrelation in dense time series.</w:t>
      </w:r>
    </w:p>
    <w:p>
      <w:pPr>
        <w:pStyle w:val="BodyText"/>
      </w:pPr>
      <w:r>
        <w:t xml:space="preserve">This also implies that systems that return rapidly to the pre-purturbation equilibrium are very stable and are far from a critical transition. Persistent hotspot phenomena in which community infection intensities return to pre-treatment levels even before the next treatment can be thought of as a highly stable system, far from a critical transition. This is why perturbations to the system (MDA) have little long term impact. Communities with lower bounce back rates are less stable and therefore take longer to return to their endemic (pre-treatment) equilibirum. This implies lower transmission potential, here embodied by</w:t>
      </w:r>
      <w:r>
        <w:t xml:space="preserve"> </w:t>
      </w:r>
      <m:oMath>
        <m:sSub>
          <m:e>
            <m:r>
              <m:t>R</m:t>
            </m:r>
          </m:e>
          <m:sub>
            <m:r>
              <m:t>0</m:t>
            </m:r>
          </m:sub>
        </m:sSub>
      </m:oMath>
      <w:r>
        <w:t xml:space="preserve">.</w:t>
      </w:r>
    </w:p>
    <w:p>
      <w:pPr>
        <w:pStyle w:val="BodyText"/>
      </w:pPr>
      <w:r>
        <w:t xml:space="preserve">Rebound can be measured by the bounce back rate,</w:t>
      </w:r>
      <w:r>
        <w:t xml:space="preserve"> </w:t>
      </w:r>
      <m:oMath>
        <m:r>
          <m:t>B</m:t>
        </m:r>
        <m:r>
          <m:t>B</m:t>
        </m:r>
        <m:r>
          <m:t>R</m:t>
        </m:r>
      </m:oMath>
      <w:r>
        <w:t xml:space="preserve">, an empirical estimator of</w:t>
      </w:r>
      <w:r>
        <w:t xml:space="preserve"> </w:t>
      </w:r>
      <m:oMath>
        <m:sSub>
          <m:e>
            <m:r>
              <m:t>R</m:t>
            </m:r>
          </m:e>
          <m:sub>
            <m:r>
              <m:t>e</m:t>
            </m:r>
            <m:r>
              <m:t>f</m:t>
            </m:r>
            <m:r>
              <m:t>f</m:t>
            </m:r>
          </m:sub>
        </m:sSub>
      </m:oMath>
      <w:r>
        <w:t xml:space="preserve">. It is expected to be high in areas with conditions suggestive of a high</w:t>
      </w:r>
      <w:r>
        <w:t xml:space="preserve"> </w:t>
      </w:r>
      <m:oMath>
        <m:sSub>
          <m:e>
            <m:r>
              <m:t>R</m:t>
            </m:r>
          </m:e>
          <m:sub>
            <m:r>
              <m:t>0</m:t>
            </m:r>
          </m:sub>
        </m:sSub>
      </m:oMath>
      <w:r>
        <w:t xml:space="preserve">, indicative of a stable system far from a tipping point. This could be tested in an empirical statistical model with sufficient data pertaining to the determinants of</w:t>
      </w:r>
      <w:r>
        <w:t xml:space="preserve"> </w:t>
      </w:r>
      <m:oMath>
        <m:sSub>
          <m:e>
            <m:r>
              <m:t>R</m:t>
            </m:r>
          </m:e>
          <m:sub>
            <m:r>
              <m:t>0</m:t>
            </m:r>
          </m:sub>
        </m:sSub>
      </m:oMath>
      <w:r>
        <w:t xml:space="preserve"> </w:t>
      </w:r>
      <w:r>
        <w:t xml:space="preserve">through time and longitudinal measurement of</w:t>
      </w:r>
      <w:r>
        <w:t xml:space="preserve"> </w:t>
      </w:r>
      <m:oMath>
        <m:r>
          <m:t>B</m:t>
        </m:r>
        <m:r>
          <m:t>B</m:t>
        </m:r>
        <m:r>
          <m:t>R</m:t>
        </m:r>
      </m:oMath>
      <w:r>
        <w:t xml:space="preserve">. For instance, Spear et al</w:t>
      </w:r>
      <w:r>
        <w:t xml:space="preserve"> </w:t>
      </w:r>
      <w:r>
        <w:t xml:space="preserve">[2]</w:t>
      </w:r>
      <w:r>
        <w:t xml:space="preserve"> </w:t>
      </w:r>
      <w:r>
        <w:t xml:space="preserve">express</w:t>
      </w:r>
      <w:r>
        <w:t xml:space="preserve"> </w:t>
      </w:r>
      <m:oMath>
        <m:sSub>
          <m:e>
            <m:r>
              <m:t>R</m:t>
            </m:r>
          </m:e>
          <m:sub>
            <m:r>
              <m:t>0</m:t>
            </m:r>
          </m:sub>
        </m:sSub>
      </m:oMath>
      <w:r>
        <w:t xml:space="preserve"> </w:t>
      </w:r>
      <w:r>
        <w:t xml:space="preserve">in terms of invariant biological components of schistosomiasis transmission,</w:t>
      </w:r>
      <w:r>
        <w:t xml:space="preserve"> </w:t>
      </w:r>
      <m:oMath>
        <m:sSub>
          <m:e>
            <m:r>
              <m:t>P</m:t>
            </m:r>
          </m:e>
          <m:sub>
            <m:r>
              <m:t>b</m:t>
            </m:r>
          </m:sub>
        </m:sSub>
      </m:oMath>
      <w:r>
        <w:t xml:space="preserve">, and site-specific parameters related to the behavioral and environmental determinants of transmission,</w:t>
      </w:r>
      <w:r>
        <w:t xml:space="preserve"> </w:t>
      </w:r>
      <m:oMath>
        <m:sSub>
          <m:e>
            <m:r>
              <m:t>P</m:t>
            </m:r>
          </m:e>
          <m:sub>
            <m:r>
              <m:t>s</m:t>
            </m:r>
          </m:sub>
        </m:sSub>
      </m:oMath>
      <w:r>
        <w:t xml:space="preserve">. Parameters included in</w:t>
      </w:r>
      <w:r>
        <w:t xml:space="preserve"> </w:t>
      </w:r>
      <m:oMath>
        <m:sSub>
          <m:e>
            <m:r>
              <m:t>P</m:t>
            </m:r>
          </m:e>
          <m:sub>
            <m:r>
              <m:t>s</m:t>
            </m:r>
          </m:sub>
        </m:sSub>
      </m:oMath>
      <w:r>
        <w:t xml:space="preserve"> </w:t>
      </w:r>
      <w:r>
        <w:t xml:space="preserve">relate to human water contact, uninfected snail density, contamination behaviors related to sanitation, the amount of snail habitat, the amount of surface water, and seasonally varying factors such as temperature, rainfall, vegetation indices, and seasonal water contact patterns.</w:t>
      </w:r>
    </w:p>
    <w:p>
      <w:pPr>
        <w:pStyle w:val="SourceCode"/>
      </w:pPr>
      <w:r>
        <w:rPr>
          <w:rStyle w:val="NormalTok"/>
        </w:rPr>
        <w:t xml:space="preserve">Reff_from_R0_W &lt;-</w:t>
      </w:r>
      <w:r>
        <w:rPr>
          <w:rStyle w:val="StringTok"/>
        </w:rPr>
        <w:t xml:space="preserve"> </w:t>
      </w:r>
      <w:r>
        <w:rPr>
          <w:rStyle w:val="ControlFlowTok"/>
        </w:rPr>
        <w:t xml:space="preserve">function</w:t>
      </w:r>
      <w:r>
        <w:rPr>
          <w:rStyle w:val="NormalTok"/>
        </w:rPr>
        <w:t xml:space="preserve">(R0, W, kap, zeta){</w:t>
      </w:r>
      <w:r>
        <w:br w:type="textWrapping"/>
      </w:r>
      <w:r>
        <w:rPr>
          <w:rStyle w:val="NormalTok"/>
        </w:rPr>
        <w:t xml:space="preserve">  Reff &lt;-</w:t>
      </w:r>
      <w:r>
        <w:rPr>
          <w:rStyle w:val="StringTok"/>
        </w:rPr>
        <w:t xml:space="preserve"> </w:t>
      </w:r>
      <w:r>
        <w:rPr>
          <w:rStyle w:val="NormalTok"/>
        </w:rPr>
        <w:t xml:space="preserve">R0</w:t>
      </w:r>
      <w:r>
        <w:rPr>
          <w:rStyle w:val="OperatorTok"/>
        </w:rPr>
        <w:t xml:space="preserve">*</w:t>
      </w:r>
      <w:r>
        <w:rPr>
          <w:rStyle w:val="KeywordTok"/>
        </w:rPr>
        <w:t xml:space="preserve">phi_Wk</w:t>
      </w:r>
      <w:r>
        <w:rPr>
          <w:rStyle w:val="NormalTok"/>
        </w:rPr>
        <w:t xml:space="preserve">(W, kap)</w:t>
      </w:r>
      <w:r>
        <w:rPr>
          <w:rStyle w:val="OperatorTok"/>
        </w:rPr>
        <w:t xml:space="preserve">*</w:t>
      </w:r>
      <w:r>
        <w:rPr>
          <w:rStyle w:val="KeywordTok"/>
        </w:rPr>
        <w:t xml:space="preserve">rho_Wk</w:t>
      </w:r>
      <w:r>
        <w:rPr>
          <w:rStyle w:val="NormalTok"/>
        </w:rPr>
        <w:t xml:space="preserve">(W, zeta, kap)</w:t>
      </w:r>
      <w:r>
        <w:br w:type="textWrapping"/>
      </w:r>
      <w:r>
        <w:br w:type="textWrapping"/>
      </w:r>
      <w:r>
        <w:rPr>
          <w:rStyle w:val="NormalTok"/>
        </w:rPr>
        <w:t xml:space="preserve">  </w:t>
      </w:r>
      <w:r>
        <w:rPr>
          <w:rStyle w:val="KeywordTok"/>
        </w:rPr>
        <w:t xml:space="preserve">return</w:t>
      </w:r>
      <w:r>
        <w:rPr>
          <w:rStyle w:val="NormalTok"/>
        </w:rPr>
        <w:t xml:space="preserve">(Reff)</w:t>
      </w:r>
      <w:r>
        <w:br w:type="textWrapping"/>
      </w:r>
      <w:r>
        <w:rPr>
          <w:rStyle w:val="NormalTok"/>
        </w:rPr>
        <w:t xml:space="preserve">}</w:t>
      </w:r>
      <w:r>
        <w:br w:type="textWrapping"/>
      </w:r>
      <w:r>
        <w:br w:type="textWrapping"/>
      </w:r>
      <w:r>
        <w:rPr>
          <w:rStyle w:val="NormalTok"/>
        </w:rPr>
        <w:t xml:space="preserve">Intensity_from_W_kap_zeta_m &lt;-</w:t>
      </w:r>
      <w:r>
        <w:rPr>
          <w:rStyle w:val="StringTok"/>
        </w:rPr>
        <w:t xml:space="preserve"> </w:t>
      </w:r>
      <w:r>
        <w:rPr>
          <w:rStyle w:val="ControlFlowTok"/>
        </w:rPr>
        <w:t xml:space="preserve">function</w:t>
      </w:r>
      <w:r>
        <w:rPr>
          <w:rStyle w:val="NormalTok"/>
        </w:rPr>
        <w:t xml:space="preserve">(W, kap, zeta, m){</w:t>
      </w:r>
      <w:r>
        <w:br w:type="textWrapping"/>
      </w:r>
      <w:r>
        <w:rPr>
          <w:rStyle w:val="NormalTok"/>
        </w:rPr>
        <w:t xml:space="preserve">  </w:t>
      </w:r>
      <w:r>
        <w:rPr>
          <w:rStyle w:val="FloatTok"/>
        </w:rPr>
        <w:t xml:space="preserve">0.5</w:t>
      </w:r>
      <w:r>
        <w:rPr>
          <w:rStyle w:val="OperatorTok"/>
        </w:rPr>
        <w:t xml:space="preserve">*</w:t>
      </w:r>
      <w:r>
        <w:rPr>
          <w:rStyle w:val="NormalTok"/>
        </w:rPr>
        <w:t xml:space="preserve">W</w:t>
      </w:r>
      <w:r>
        <w:rPr>
          <w:rStyle w:val="OperatorTok"/>
        </w:rPr>
        <w:t xml:space="preserve">*</w:t>
      </w:r>
      <w:r>
        <w:rPr>
          <w:rStyle w:val="KeywordTok"/>
        </w:rPr>
        <w:t xml:space="preserve">phi_Wk</w:t>
      </w:r>
      <w:r>
        <w:rPr>
          <w:rStyle w:val="NormalTok"/>
        </w:rPr>
        <w:t xml:space="preserve">(W, kap)</w:t>
      </w:r>
      <w:r>
        <w:rPr>
          <w:rStyle w:val="OperatorTok"/>
        </w:rPr>
        <w:t xml:space="preserve">*</w:t>
      </w:r>
      <w:r>
        <w:rPr>
          <w:rStyle w:val="KeywordTok"/>
        </w:rPr>
        <w:t xml:space="preserve">rho_Wk</w:t>
      </w:r>
      <w:r>
        <w:rPr>
          <w:rStyle w:val="NormalTok"/>
        </w:rPr>
        <w:t xml:space="preserve">(W, zeta, kap)</w:t>
      </w:r>
      <w:r>
        <w:rPr>
          <w:rStyle w:val="OperatorTok"/>
        </w:rPr>
        <w:t xml:space="preserve">*</w:t>
      </w:r>
      <w:r>
        <w:rPr>
          <w:rStyle w:val="NormalTok"/>
        </w:rPr>
        <w:t xml:space="preserve">m</w:t>
      </w:r>
      <w:r>
        <w:br w:type="textWrapping"/>
      </w:r>
      <w:r>
        <w:rPr>
          <w:rStyle w:val="NormalTok"/>
        </w:rPr>
        <w:t xml:space="preserve">}</w:t>
      </w:r>
      <w:r>
        <w:br w:type="textWrapping"/>
      </w:r>
      <w:r>
        <w:br w:type="textWrapping"/>
      </w:r>
      <w:r>
        <w:rPr>
          <w:rStyle w:val="NormalTok"/>
        </w:rPr>
        <w:t xml:space="preserve">Prev_from_W_kap &lt;-</w:t>
      </w:r>
      <w:r>
        <w:rPr>
          <w:rStyle w:val="StringTok"/>
        </w:rPr>
        <w:t xml:space="preserve"> </w:t>
      </w:r>
      <w:r>
        <w:rPr>
          <w:rStyle w:val="ControlFlowTok"/>
        </w:rPr>
        <w:t xml:space="preserve">function</w:t>
      </w:r>
      <w:r>
        <w:rPr>
          <w:rStyle w:val="NormalTok"/>
        </w:rPr>
        <w:t xml:space="preserve">(W, kap){</w:t>
      </w:r>
      <w:r>
        <w:br w:type="textWrapping"/>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kap))</w:t>
      </w:r>
      <w:r>
        <w:rPr>
          <w:rStyle w:val="OperatorTok"/>
        </w:rPr>
        <w:t xml:space="preserve">^-</w:t>
      </w:r>
      <w:r>
        <w:rPr>
          <w:rStyle w:val="NormalTok"/>
        </w:rPr>
        <w:t xml:space="preserve">kap)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w:t>
      </w:r>
      <w:r>
        <w:rPr>
          <w:rStyle w:val="OperatorTok"/>
        </w:rPr>
        <w:t xml:space="preserve">/</w:t>
      </w:r>
      <w:r>
        <w:rPr>
          <w:rStyle w:val="NormalTok"/>
        </w:rPr>
        <w:t xml:space="preserve">kap)</w:t>
      </w:r>
      <w:r>
        <w:rPr>
          <w:rStyle w:val="OperatorTok"/>
        </w:rPr>
        <w:t xml:space="preserve">^-</w:t>
      </w:r>
      <w:r>
        <w:rPr>
          <w:rStyle w:val="NormalTok"/>
        </w:rPr>
        <w:t xml:space="preserve">kap</w:t>
      </w:r>
      <w:r>
        <w:br w:type="textWrapping"/>
      </w:r>
      <w:r>
        <w:rPr>
          <w:rStyle w:val="NormalTok"/>
        </w:rPr>
        <w:t xml:space="preserve">}</w:t>
      </w:r>
      <w:r>
        <w:br w:type="textWrapping"/>
      </w:r>
      <w:r>
        <w:br w:type="textWrapping"/>
      </w:r>
      <w:r>
        <w:rPr>
          <w:rStyle w:val="NormalTok"/>
        </w:rPr>
        <w:t xml:space="preserve">Reff_Grid &lt;-</w:t>
      </w:r>
      <w:r>
        <w:rPr>
          <w:rStyle w:val="StringTok"/>
        </w:rPr>
        <w:t xml:space="preserve"> </w:t>
      </w:r>
      <w:r>
        <w:rPr>
          <w:rStyle w:val="KeywordTok"/>
        </w:rPr>
        <w:t xml:space="preserve">expand.grid</w:t>
      </w:r>
      <w:r>
        <w:rPr>
          <w:rStyle w:val="NormalTok"/>
        </w:rPr>
        <w:t xml:space="preserve">(</w:t>
      </w:r>
      <w:r>
        <w:rPr>
          <w:rStyle w:val="DataTypeTok"/>
        </w:rPr>
        <w:t xml:space="preserve">R0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FloatTok"/>
        </w:rPr>
        <w:t xml:space="preserve">0.1</w:t>
      </w:r>
      <w:r>
        <w:rPr>
          <w:rStyle w:val="NormalTok"/>
        </w:rPr>
        <w:t xml:space="preserve">),</w:t>
      </w:r>
      <w:r>
        <w:br w:type="textWrapping"/>
      </w:r>
      <w:r>
        <w:rPr>
          <w:rStyle w:val="NormalTok"/>
        </w:rPr>
        <w:t xml:space="preserve">                         </w:t>
      </w:r>
      <w:r>
        <w:rPr>
          <w:rStyle w:val="DataTypeTok"/>
        </w:rPr>
        <w:t xml:space="preserve">W =</w:t>
      </w:r>
      <w:r>
        <w:rPr>
          <w:rStyle w:val="NormalTok"/>
        </w:rPr>
        <w:t xml:space="preserve"> </w:t>
      </w:r>
      <w:r>
        <w:rPr>
          <w:rStyle w:val="KeywordTok"/>
        </w:rPr>
        <w:t xml:space="preserve">exp_seq</w:t>
      </w:r>
      <w:r>
        <w:rPr>
          <w:rStyle w:val="NormalTok"/>
        </w:rPr>
        <w:t xml:space="preserve">(</w:t>
      </w:r>
      <w:r>
        <w:rPr>
          <w:rStyle w:val="FloatTok"/>
        </w:rPr>
        <w:t xml:space="preserve">1e-3</w:t>
      </w:r>
      <w:r>
        <w:rPr>
          <w:rStyle w:val="NormalTok"/>
        </w:rPr>
        <w:t xml:space="preserve">, </w:t>
      </w:r>
      <w:r>
        <w:rPr>
          <w:rStyle w:val="DecValTok"/>
        </w:rPr>
        <w:t xml:space="preserve">100</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kap =</w:t>
      </w:r>
      <w:r>
        <w:rPr>
          <w:rStyle w:val="NormalTok"/>
        </w:rPr>
        <w:t xml:space="preserve"> </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zeta =</w:t>
      </w:r>
      <w:r>
        <w:rPr>
          <w:rStyle w:val="NormalTok"/>
        </w:rPr>
        <w:t xml:space="preserve"> </w:t>
      </w:r>
      <w:r>
        <w:rPr>
          <w:rStyle w:val="FloatTok"/>
        </w:rPr>
        <w:t xml:space="preserve">0.08</w:t>
      </w:r>
      <w:r>
        <w:rPr>
          <w:rStyle w:val="NormalTok"/>
        </w:rPr>
        <w:t xml:space="preserve">)</w:t>
      </w:r>
      <w:r>
        <w:br w:type="textWrapping"/>
      </w:r>
      <w:r>
        <w:br w:type="textWrapping"/>
      </w:r>
      <w:r>
        <w:rPr>
          <w:rStyle w:val="NormalTok"/>
        </w:rPr>
        <w:t xml:space="preserve">Reff_Grid</w:t>
      </w:r>
      <w:r>
        <w:rPr>
          <w:rStyle w:val="OperatorTok"/>
        </w:rPr>
        <w:t xml:space="preserve">$</w:t>
      </w:r>
      <w:r>
        <w:rPr>
          <w:rStyle w:val="NormalTok"/>
        </w:rPr>
        <w:t xml:space="preserve">Intensity &lt;-</w:t>
      </w:r>
      <w:r>
        <w:rPr>
          <w:rStyle w:val="StringTok"/>
        </w:rPr>
        <w:t xml:space="preserve"> </w:t>
      </w:r>
      <w:r>
        <w:rPr>
          <w:rStyle w:val="KeywordTok"/>
        </w:rPr>
        <w:t xml:space="preserve">mapply</w:t>
      </w:r>
      <w:r>
        <w:rPr>
          <w:rStyle w:val="NormalTok"/>
        </w:rPr>
        <w:t xml:space="preserve">(Intensity_from_W_kap_zeta_m, </w:t>
      </w:r>
      <w:r>
        <w:br w:type="textWrapping"/>
      </w:r>
      <w:r>
        <w:rPr>
          <w:rStyle w:val="NormalTok"/>
        </w:rPr>
        <w:t xml:space="preserve">                              Reff_Grid</w:t>
      </w:r>
      <w:r>
        <w:rPr>
          <w:rStyle w:val="OperatorTok"/>
        </w:rPr>
        <w:t xml:space="preserve">$</w:t>
      </w:r>
      <w:r>
        <w:rPr>
          <w:rStyle w:val="NormalTok"/>
        </w:rPr>
        <w:t xml:space="preserve">W, Reff_Grid</w:t>
      </w:r>
      <w:r>
        <w:rPr>
          <w:rStyle w:val="OperatorTok"/>
        </w:rPr>
        <w:t xml:space="preserve">$</w:t>
      </w:r>
      <w:r>
        <w:rPr>
          <w:rStyle w:val="NormalTok"/>
        </w:rPr>
        <w:t xml:space="preserve">kap, Reff_Grid</w:t>
      </w:r>
      <w:r>
        <w:rPr>
          <w:rStyle w:val="OperatorTok"/>
        </w:rPr>
        <w:t xml:space="preserve">$</w:t>
      </w:r>
      <w:r>
        <w:rPr>
          <w:rStyle w:val="NormalTok"/>
        </w:rPr>
        <w:t xml:space="preserve">zeta,</w:t>
      </w:r>
      <w:r>
        <w:br w:type="textWrapping"/>
      </w:r>
      <w:r>
        <w:rPr>
          <w:rStyle w:val="NormalTok"/>
        </w:rPr>
        <w:t xml:space="preserve">                              </w:t>
      </w:r>
      <w:r>
        <w:rPr>
          <w:rStyle w:val="DataTypeTok"/>
        </w:rPr>
        <w:t xml:space="preserve">MoreArgs =</w:t>
      </w:r>
      <w:r>
        <w:rPr>
          <w:rStyle w:val="NormalTok"/>
        </w:rPr>
        <w:t xml:space="preserve"> </w:t>
      </w:r>
      <w:r>
        <w:rPr>
          <w:rStyle w:val="KeywordTok"/>
        </w:rPr>
        <w:t xml:space="preserve">list</w:t>
      </w:r>
      <w:r>
        <w:rPr>
          <w:rStyle w:val="NormalTok"/>
        </w:rPr>
        <w:t xml:space="preserve">(</w:t>
      </w:r>
      <w:r>
        <w:rPr>
          <w:rStyle w:val="DataTypeTok"/>
        </w:rPr>
        <w:t xml:space="preserve">m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Reff_Grid</w:t>
      </w:r>
      <w:r>
        <w:rPr>
          <w:rStyle w:val="OperatorTok"/>
        </w:rPr>
        <w:t xml:space="preserve">$</w:t>
      </w:r>
      <w:r>
        <w:rPr>
          <w:rStyle w:val="NormalTok"/>
        </w:rPr>
        <w:t xml:space="preserve">Prevalence &lt;-</w:t>
      </w:r>
      <w:r>
        <w:rPr>
          <w:rStyle w:val="StringTok"/>
        </w:rPr>
        <w:t xml:space="preserve"> </w:t>
      </w:r>
      <w:r>
        <w:rPr>
          <w:rStyle w:val="KeywordTok"/>
        </w:rPr>
        <w:t xml:space="preserve">mapply</w:t>
      </w:r>
      <w:r>
        <w:rPr>
          <w:rStyle w:val="NormalTok"/>
        </w:rPr>
        <w:t xml:space="preserve">(Prev_from_W_kap,</w:t>
      </w:r>
      <w:r>
        <w:br w:type="textWrapping"/>
      </w:r>
      <w:r>
        <w:rPr>
          <w:rStyle w:val="NormalTok"/>
        </w:rPr>
        <w:t xml:space="preserve">                               Reff_Grid</w:t>
      </w:r>
      <w:r>
        <w:rPr>
          <w:rStyle w:val="OperatorTok"/>
        </w:rPr>
        <w:t xml:space="preserve">$</w:t>
      </w:r>
      <w:r>
        <w:rPr>
          <w:rStyle w:val="NormalTok"/>
        </w:rPr>
        <w:t xml:space="preserve">W, Reff_Grid</w:t>
      </w:r>
      <w:r>
        <w:rPr>
          <w:rStyle w:val="OperatorTok"/>
        </w:rPr>
        <w:t xml:space="preserve">$</w:t>
      </w:r>
      <w:r>
        <w:rPr>
          <w:rStyle w:val="NormalTok"/>
        </w:rPr>
        <w:t xml:space="preserve">kap)</w:t>
      </w:r>
      <w:r>
        <w:br w:type="textWrapping"/>
      </w:r>
      <w:r>
        <w:br w:type="textWrapping"/>
      </w:r>
      <w:r>
        <w:rPr>
          <w:rStyle w:val="NormalTok"/>
        </w:rPr>
        <w:t xml:space="preserve">Reff_Grid</w:t>
      </w:r>
      <w:r>
        <w:rPr>
          <w:rStyle w:val="OperatorTok"/>
        </w:rPr>
        <w:t xml:space="preserve">$</w:t>
      </w:r>
      <w:r>
        <w:rPr>
          <w:rStyle w:val="NormalTok"/>
        </w:rPr>
        <w:t xml:space="preserve">Reff &lt;-</w:t>
      </w:r>
      <w:r>
        <w:rPr>
          <w:rStyle w:val="StringTok"/>
        </w:rPr>
        <w:t xml:space="preserve"> </w:t>
      </w:r>
      <w:r>
        <w:rPr>
          <w:rStyle w:val="KeywordTok"/>
        </w:rPr>
        <w:t xml:space="preserve">mapply</w:t>
      </w:r>
      <w:r>
        <w:rPr>
          <w:rStyle w:val="NormalTok"/>
        </w:rPr>
        <w:t xml:space="preserve">(Reff_from_R0_W, Reff_Grid</w:t>
      </w:r>
      <w:r>
        <w:rPr>
          <w:rStyle w:val="OperatorTok"/>
        </w:rPr>
        <w:t xml:space="preserve">$</w:t>
      </w:r>
      <w:r>
        <w:rPr>
          <w:rStyle w:val="NormalTok"/>
        </w:rPr>
        <w:t xml:space="preserve">R0, Reff_Grid</w:t>
      </w:r>
      <w:r>
        <w:rPr>
          <w:rStyle w:val="OperatorTok"/>
        </w:rPr>
        <w:t xml:space="preserve">$</w:t>
      </w:r>
      <w:r>
        <w:rPr>
          <w:rStyle w:val="NormalTok"/>
        </w:rPr>
        <w:t xml:space="preserve">W, </w:t>
      </w:r>
      <w:r>
        <w:br w:type="textWrapping"/>
      </w:r>
      <w:r>
        <w:rPr>
          <w:rStyle w:val="NormalTok"/>
        </w:rPr>
        <w:t xml:space="preserve">                         Reff_Grid</w:t>
      </w:r>
      <w:r>
        <w:rPr>
          <w:rStyle w:val="OperatorTok"/>
        </w:rPr>
        <w:t xml:space="preserve">$</w:t>
      </w:r>
      <w:r>
        <w:rPr>
          <w:rStyle w:val="NormalTok"/>
        </w:rPr>
        <w:t xml:space="preserve">kap, Reff_Grid</w:t>
      </w:r>
      <w:r>
        <w:rPr>
          <w:rStyle w:val="OperatorTok"/>
        </w:rPr>
        <w:t xml:space="preserve">$</w:t>
      </w:r>
      <w:r>
        <w:rPr>
          <w:rStyle w:val="NormalTok"/>
        </w:rPr>
        <w:t xml:space="preserve">zeta)</w:t>
      </w:r>
      <w:r>
        <w:br w:type="textWrapping"/>
      </w:r>
      <w:r>
        <w:br w:type="textWrapping"/>
      </w:r>
      <w:r>
        <w:rPr>
          <w:rStyle w:val="NormalTok"/>
        </w:rPr>
        <w:t xml:space="preserve">Reff_Grid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 </w:t>
      </w:r>
      <w:r>
        <w:rPr>
          <w:rStyle w:val="DataTypeTok"/>
        </w:rPr>
        <w:t xml:space="preserve">y =</w:t>
      </w:r>
      <w:r>
        <w:rPr>
          <w:rStyle w:val="NormalTok"/>
        </w:rPr>
        <w:t xml:space="preserve"> Intensity, </w:t>
      </w:r>
      <w:r>
        <w:rPr>
          <w:rStyle w:val="DataTypeTok"/>
        </w:rPr>
        <w:t xml:space="preserve">col =</w:t>
      </w:r>
      <w:r>
        <w:rPr>
          <w:rStyle w:val="NormalTok"/>
        </w:rPr>
        <w:t xml:space="preserve"> </w:t>
      </w:r>
      <w:r>
        <w:rPr>
          <w:rStyle w:val="KeywordTok"/>
        </w:rPr>
        <w:t xml:space="preserve">as.factor</w:t>
      </w:r>
      <w:r>
        <w:rPr>
          <w:rStyle w:val="NormalTok"/>
        </w:rPr>
        <w:t xml:space="preserve">(kap)))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Questions_hypotheses_files/figure-docx/unnamed-chunk-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Reff_Grid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R0, </w:t>
      </w:r>
      <w:r>
        <w:rPr>
          <w:rStyle w:val="DataTypeTok"/>
        </w:rPr>
        <w:t xml:space="preserve">y =</w:t>
      </w:r>
      <w:r>
        <w:rPr>
          <w:rStyle w:val="NormalTok"/>
        </w:rPr>
        <w:t xml:space="preserve"> W, </w:t>
      </w:r>
      <w:r>
        <w:rPr>
          <w:rStyle w:val="DataTypeTok"/>
        </w:rPr>
        <w:t xml:space="preserve">fill =</w:t>
      </w:r>
      <w:r>
        <w:rPr>
          <w:rStyle w:val="NormalTok"/>
        </w:rPr>
        <w:t xml:space="preserve"> Reff, </w:t>
      </w:r>
      <w:r>
        <w:rPr>
          <w:rStyle w:val="DataTypeTok"/>
        </w:rPr>
        <w:t xml:space="preserve">z =</w:t>
      </w:r>
      <w:r>
        <w:rPr>
          <w:rStyle w:val="NormalTok"/>
        </w:rPr>
        <w:t xml:space="preserve"> Reff))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geom_contour</w:t>
      </w:r>
      <w:r>
        <w:rPr>
          <w:rStyle w:val="NormalTok"/>
        </w:rPr>
        <w:t xml:space="preserve">(</w:t>
      </w:r>
      <w:r>
        <w:rPr>
          <w:rStyle w:val="DataTypeTok"/>
        </w:rPr>
        <w:t xml:space="preserve">breaks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trans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FloatTok"/>
        </w:rPr>
        <w:t xml:space="preserve">1e-3</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DecValTok"/>
        </w:rPr>
        <w:t xml:space="preserve">500</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"0.001"</w:t>
      </w:r>
      <w:r>
        <w:rPr>
          <w:rStyle w:val="NormalTok"/>
        </w:rPr>
        <w:t xml:space="preserve">, </w:t>
      </w:r>
      <w:r>
        <w:rPr>
          <w:rStyle w:val="StringTok"/>
        </w:rPr>
        <w:t xml:space="preserve">"1"</w:t>
      </w:r>
      <w:r>
        <w:rPr>
          <w:rStyle w:val="NormalTok"/>
        </w:rPr>
        <w:t xml:space="preserve">, </w:t>
      </w:r>
      <w:r>
        <w:rPr>
          <w:rStyle w:val="StringTok"/>
        </w:rPr>
        <w:t xml:space="preserve">"100"</w:t>
      </w:r>
      <w:r>
        <w:rPr>
          <w:rStyle w:val="NormalTok"/>
        </w:rPr>
        <w:t xml:space="preserve">, </w:t>
      </w:r>
      <w:r>
        <w:rPr>
          <w:rStyle w:val="StringTok"/>
        </w:rPr>
        <w:t xml:space="preserve">"500"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option =</w:t>
      </w:r>
      <w:r>
        <w:rPr>
          <w:rStyle w:val="NormalTok"/>
        </w:rPr>
        <w:t xml:space="preserve"> </w:t>
      </w:r>
      <w:r>
        <w:rPr>
          <w:rStyle w:val="StringTok"/>
        </w:rPr>
        <w:t xml:space="preserve">"magma"</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(kap</w:t>
      </w:r>
      <w:r>
        <w:rPr>
          <w:rStyle w:val="Operator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"Phase planes of W/R0 relationships across values of dispersion parameter"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s_hypotheses_files/figure-docx/unnamed-chunk-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references"/>
      <w:bookmarkEnd w:id="39"/>
      <w:r>
        <w:t xml:space="preserve">References</w:t>
      </w:r>
    </w:p>
    <w:p>
      <w:pPr>
        <w:pStyle w:val="Bibliography"/>
      </w:pPr>
      <w:r>
        <w:t xml:space="preserve">1. Wang S, Spear RC. Exploring the contribution of host susceptibility to epidemiological patterns of schistosoma japonicum infection using an individual-based model. The American Journal of Tropical Medicine and Hygiene. 2015;92: 1245–1252. doi:</w:t>
      </w:r>
      <w:hyperlink r:id="rId40">
        <w:r>
          <w:rPr>
            <w:rStyle w:val="Hyperlink"/>
          </w:rPr>
          <w:t xml:space="preserve">10.4269/ajtmh.14-0691</w:t>
        </w:r>
      </w:hyperlink>
    </w:p>
    <w:p>
      <w:pPr>
        <w:pStyle w:val="Bibliography"/>
      </w:pPr>
      <w:r>
        <w:t xml:space="preserve">2. Spear R, Zhong B, Liang S. Low transmission to elimination: Rural development as a key determinant of the end-game dynamics of schistosoma japonicum in china. Tropical Medicine and Infectious Disease. 2017;2: 35. doi:</w:t>
      </w:r>
      <w:hyperlink r:id="rId41">
        <w:r>
          <w:rPr>
            <w:rStyle w:val="Hyperlink"/>
          </w:rPr>
          <w:t xml:space="preserve">10.3390/tropicalmed2030035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d845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a6c8f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1" Target="https://doi.org/10.3390/tropicalmed2030035" TargetMode="External" /><Relationship Type="http://schemas.openxmlformats.org/officeDocument/2006/relationships/hyperlink" Id="rId40" Target="https://doi.org/10.4269/ajtmh.14-0691"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3390/tropicalmed2030035" TargetMode="External" /><Relationship Type="http://schemas.openxmlformats.org/officeDocument/2006/relationships/hyperlink" Id="rId40" Target="https://doi.org/10.4269/ajtmh.14-06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Schisto questions and hypotheses</dc:title>
  <dc:creator>Chris Hoover</dc:creator>
  <dcterms:created xsi:type="dcterms:W3CDTF">2019-10-09T23:41:12Z</dcterms:created>
  <dcterms:modified xsi:type="dcterms:W3CDTF">2019-10-09T23:41:12Z</dcterms:modified>
</cp:coreProperties>
</file>