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Allocation</w:t>
      </w:r>
      <w:r>
        <w:t xml:space="preserve"> </w:t>
      </w:r>
      <w:r>
        <w:t xml:space="preserve">Outcomes</w:t>
      </w:r>
      <w:r>
        <w:t xml:space="preserve"> </w:t>
      </w:r>
      <w:r>
        <w:t xml:space="preserve">Avoided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2022-12-08</w:t>
      </w:r>
    </w:p>
    <w:bookmarkStart w:id="20" w:name="X322be517953b4d47d994634f659bb67f37a4e6f"/>
    <w:p>
      <w:pPr>
        <w:pStyle w:val="Heading2"/>
      </w:pPr>
      <w:r>
        <w:t xml:space="preserve">Process/clean bootstrapped samples and other input data</w:t>
      </w:r>
    </w:p>
    <w:bookmarkEnd w:id="20"/>
    <w:bookmarkStart w:id="21" w:name="results-text"/>
    <w:p>
      <w:pPr>
        <w:pStyle w:val="Heading2"/>
      </w:pPr>
      <w:r>
        <w:t xml:space="preserve">Results text</w:t>
      </w:r>
    </w:p>
    <w:p>
      <w:pPr>
        <w:pStyle w:val="FirstParagraph"/>
      </w:pPr>
      <w:r>
        <w:t xml:space="preserve">For all three outcomes considered, the candidate model with the best out of sample performance contained an intervention-county interaction term, cumulative case rate, cumulative vaccinated rate, and the percent of the population aged 50 and older (Supplementary Table X). The best model for deaths also included a term for the weekly testing rate, though this model performed only marginally better than one without testing (Supplementary Table X).</w:t>
      </w:r>
    </w:p>
    <w:p>
      <w:pPr>
        <w:pStyle w:val="BodyText"/>
      </w:pPr>
      <w:r>
        <w:t xml:space="preserve">From these models, it was estimated that in the six months following the vaccine equity allocation, 99525 (95%CI: 72111 - 129162) cases, 6678 (95%CI: 4429 - 9163) hospitalizations, and 546 (95%CI: 161 - 957) deaths were averted in VEM Q1 zip codes. Most of the outcomes averted in this time period came after July 1, 2021 in the beginning of California’s Delta variant wave (Fig 1). However, 18635 (95%CI: 13562 - 24101) cases, 1214 (95%CI: 809 - 1671) hospitalizations, and 97 (95%CI: 33 - 166) deaths were averted even in the first two months following the equity allocation.</w:t>
      </w:r>
    </w:p>
    <w:p>
      <w:pPr>
        <w:pStyle w:val="BodyText"/>
      </w:pPr>
      <w:r>
        <w:t xml:space="preserve">While 27% of California’s population resides in VEM Q1 areas, residents in VEM Q1 accounted for 36% of cases, 38% of hospitalizations, and 39% of mortalities in the two months before the policy (Fig 2). From the counterfactual analysis in the absence of the policy, this discrepancy is estimated to persist or increase (Fig 2, dashed lines). However, because of the outcomes averted due to the policy, excess COVID-19 cases and–to a lesser extent–hospitalizations in VEM Q1 were reduced (Fig 2, solid lines). Briefly in April and again in July, the number of cases in VEM Q1 reached levels proportionate to the VEM Q1 population ratio, suggesting a lack of excess risk in VEM Q1 (Fig 2). In the absence of the policy, counterfactual estimates suggest that this level would not have been reached.</w:t>
      </w:r>
    </w:p>
    <w:p>
      <w:pPr>
        <w:pStyle w:val="BodyText"/>
      </w:pPr>
      <w:r>
        <w:t xml:space="preserve">There was variability in estimated outcomes avoided at the county level. Normalizing by population size, the best performing counties averted 690.75 (95%CI:-141.49 - 2345.59) cases/100,000, 83.49 (95%CI:35.57 - 154.18) hospitalizations/100,000, and 8.34 (95%CI:0.25 - 21.89) deaths/100,000, while the worst performing counties averted -5180.88 (95%CI:-16505.83 - 15.93) cases/100,000, -136.42 (95%CI:-583.6 - 20.08) hospitalizations/100,000, and -69.03 (95%CI:-235.48 - 3.42) deaths/100,000. Negative outcomes averted result from more outcomes estimated in the counterfactual scenarios than were observed, implying the policy had a negative impact in these counties. However, this occurred most commonly in counties with smaller populations. Among counties with a population larger than 100,000 (representing 97.6% of the State’s population), the net rates were 317.55 (95%CI: 235.38 - 407.95) cases/100,000 averted, 20.88 (95%CI: 14.08 - 28.51) hospitalizations/100,000 averted, and 1.87 (95%CI: 0.71 - 3.12) deaths/100,000 averted.</w:t>
      </w:r>
    </w:p>
    <w:bookmarkEnd w:id="21"/>
    <w:bookmarkStart w:id="29" w:name="figures"/>
    <w:p>
      <w:pPr>
        <w:pStyle w:val="Heading2"/>
      </w:pPr>
      <w:r>
        <w:t xml:space="preserve">Figures</w:t>
      </w:r>
    </w:p>
    <w:bookmarkStart w:id="22" w:name="cumulative-avoided-and-county-results"/>
    <w:p>
      <w:pPr>
        <w:pStyle w:val="Heading3"/>
      </w:pPr>
      <w:r>
        <w:t xml:space="preserve">Cumulative avoided and county results</w:t>
      </w:r>
    </w:p>
    <w:bookmarkEnd w:id="22"/>
    <w:bookmarkStart w:id="26" w:name="vem-quartile-ratio-figures"/>
    <w:p>
      <w:pPr>
        <w:pStyle w:val="Heading3"/>
      </w:pPr>
      <w:r>
        <w:t xml:space="preserve">VEM Quartile ratio figures</w:t>
      </w:r>
    </w:p>
    <w:p>
      <w:pPr>
        <w:pStyle w:val="FirstParagraph"/>
      </w:pPr>
      <w:r>
        <w:drawing>
          <wp:inline>
            <wp:extent cx="4620126" cy="3696101"/>
            <wp:effectExtent b="0" l="0" r="0" t="0"/>
            <wp:docPr descr="" title="" id="24" name="Picture"/>
            <a:graphic>
              <a:graphicData uri="http://schemas.openxmlformats.org/drawingml/2006/picture">
                <pic:pic>
                  <pic:nvPicPr>
                    <pic:cNvPr descr="ImpactEval_CounterfactualOutcomes_Results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8" w:name="Xc4edc9bdacfe0f9f4aad4f5e19a58724fc6a56a"/>
    <w:p>
      <w:pPr>
        <w:pStyle w:val="Heading3"/>
      </w:pPr>
      <w:r>
        <w:t xml:space="preserve">Counterfactual time series and cumulative avoided base plot</w:t>
      </w:r>
    </w:p>
    <w:p>
      <w:pPr>
        <w:pStyle w:val="SourceCode"/>
      </w:pPr>
      <w:r>
        <w:rPr>
          <w:rStyle w:val="VerbatimChar"/>
        </w:rPr>
        <w:t xml:space="preserve">## png </w:t>
      </w:r>
      <w:r>
        <w:br/>
      </w:r>
      <w:r>
        <w:rPr>
          <w:rStyle w:val="VerbatimChar"/>
        </w:rPr>
        <w:t xml:space="preserve">##   2</w:t>
      </w:r>
    </w:p>
    <w:p>
      <w:pPr>
        <w:pStyle w:val="FirstParagraph"/>
      </w:pPr>
      <w:hyperlink r:id="rId27">
        <w:r>
          <w:rPr>
            <w:rStyle w:val="Hyperlink"/>
          </w:rPr>
          <w:t xml:space="preserve">Outcomes averted summary figure</w:t>
        </w:r>
      </w:hyperlink>
    </w:p>
    <w:bookmarkEnd w:id="28"/>
    <w:bookmarkEnd w:id="29"/>
    <w:bookmarkStart w:id="30" w:name="octiles-sensitivity-analysis"/>
    <w:p>
      <w:pPr>
        <w:pStyle w:val="Heading2"/>
      </w:pPr>
      <w:r>
        <w:t xml:space="preserve">Octiles Sensitivity Analysis</w:t>
      </w:r>
    </w:p>
    <w:p>
      <w:pPr>
        <w:pStyle w:val="SourceCode"/>
      </w:pPr>
      <w:r>
        <w:rPr>
          <w:rStyle w:val="VerbatimChar"/>
        </w:rPr>
        <w:t xml:space="preserve">##  [1] "Contra Costa" "Inyo"         "Lake"         "Lassen"       "Madera"      </w:t>
      </w:r>
      <w:r>
        <w:br/>
      </w:r>
      <w:r>
        <w:rPr>
          <w:rStyle w:val="VerbatimChar"/>
        </w:rPr>
        <w:t xml:space="preserve">##  [6] "Mariposa"     "Sierra"       "Solano"       "Trinity"      "Yuba"</w:t>
      </w:r>
    </w:p>
    <w:p>
      <w:pPr>
        <w:pStyle w:val="FirstParagraph"/>
      </w:pPr>
      <w:r>
        <w:t xml:space="preserve">Restricting the counterfactual estimation procedure to VEM octiles 2 and 3 led to attenuated and highly uncertain estimates of the number of outcomes avoided. In this sensitivity analysis, -8659 (95%CI: -23099 - 6568) cases, -354 (95%CI: -1545 - 927) hospitalizations, and -199 (95%CI: -421 - 41) deaths were estimated to have been averted in VEM octile 2 zip codes. However, it should also be noted that model performance in this subset of zip codes was poor relative to the full dataset. Furthermore, ten counties were excluded from this sensitivity analysis altogether since they lacked zip codes that fall into both VEM octile 2 and 3.</w:t>
      </w:r>
    </w:p>
    <w:bookmarkEnd w:id="30"/>
    <w:bookmarkStart w:id="31" w:name="model-performance-table"/>
    <w:p>
      <w:pPr>
        <w:pStyle w:val="Heading2"/>
      </w:pPr>
      <w:r>
        <w:t xml:space="preserve">Model performance table</w:t>
      </w:r>
    </w:p>
    <w:tbl>
      <w:tblPr>
        <w:tblStyle w:val="Table"/>
        <w:tblW w:type="pct" w:w="5000"/>
        <w:tblLook w:firstRow="1" w:lastRow="0" w:firstColumn="0" w:lastColumn="0" w:noHBand="0" w:noVBand="0" w:val="0020"/>
      </w:tblPr>
      <w:tblGrid>
        <w:gridCol w:w="3622"/>
        <w:gridCol w:w="1166"/>
        <w:gridCol w:w="1780"/>
        <w:gridCol w:w="1350"/>
      </w:tblGrid>
      <w:tr>
        <w:trPr>
          <w:tblHeader w:val="true"/>
        </w:trPr>
        <w:tc>
          <w:tcPr/>
          <w:p>
            <w:pPr>
              <w:pStyle w:val="Compact"/>
              <w:jc w:val="left"/>
            </w:pPr>
            <w:r>
              <w:t xml:space="preserve">Model Terms</w:t>
            </w:r>
          </w:p>
        </w:tc>
        <w:tc>
          <w:tcPr/>
          <w:p>
            <w:pPr>
              <w:pStyle w:val="Compact"/>
              <w:jc w:val="left"/>
            </w:pPr>
            <w:r>
              <w:t xml:space="preserve">Cases MSE (range)</w:t>
            </w:r>
          </w:p>
        </w:tc>
        <w:tc>
          <w:tcPr/>
          <w:p>
            <w:pPr>
              <w:pStyle w:val="Compact"/>
              <w:jc w:val="left"/>
            </w:pPr>
            <w:r>
              <w:t xml:space="preserve">Hospitalizations MSE (range)</w:t>
            </w:r>
          </w:p>
        </w:tc>
        <w:tc>
          <w:tcPr/>
          <w:p>
            <w:pPr>
              <w:pStyle w:val="Compact"/>
              <w:jc w:val="left"/>
            </w:pPr>
            <w:r>
              <w:t xml:space="preserve">Deaths MSE (range)</w:t>
            </w:r>
          </w:p>
        </w:tc>
      </w:tr>
      <w:tr>
        <w:tc>
          <w:tcPr/>
          <w:p>
            <w:pPr>
              <w:pStyle w:val="Compact"/>
              <w:jc w:val="left"/>
            </w:pPr>
            <w:r>
              <w:t xml:space="preserve">BASE</w:t>
            </w:r>
          </w:p>
        </w:tc>
        <w:tc>
          <w:tcPr/>
          <w:p>
            <w:pPr>
              <w:pStyle w:val="Compact"/>
              <w:jc w:val="left"/>
            </w:pPr>
            <w:r>
              <w:t xml:space="preserve">761 (757 - 764)</w:t>
            </w:r>
          </w:p>
        </w:tc>
        <w:tc>
          <w:tcPr/>
          <w:p>
            <w:pPr>
              <w:pStyle w:val="Compact"/>
              <w:jc w:val="left"/>
            </w:pPr>
            <w:r>
              <w:t xml:space="preserve">4.7 (4.7 - 4.8)</w:t>
            </w:r>
          </w:p>
        </w:tc>
        <w:tc>
          <w:tcPr/>
          <w:p>
            <w:pPr>
              <w:pStyle w:val="Compact"/>
              <w:jc w:val="left"/>
            </w:pPr>
            <w:r>
              <w:t xml:space="preserve">0.764 (0.762 - 0.766)</w:t>
            </w:r>
          </w:p>
        </w:tc>
      </w:tr>
      <w:tr>
        <w:tc>
          <w:tcPr/>
          <w:p>
            <w:pPr>
              <w:pStyle w:val="Compact"/>
              <w:jc w:val="left"/>
            </w:pPr>
            <w:r>
              <w:t xml:space="preserve">BASE+int:spline</w:t>
            </w:r>
          </w:p>
        </w:tc>
        <w:tc>
          <w:tcPr/>
          <w:p>
            <w:pPr>
              <w:pStyle w:val="Compact"/>
              <w:jc w:val="left"/>
            </w:pPr>
            <w:r>
              <w:t xml:space="preserve">759 (755 - 762)</w:t>
            </w:r>
          </w:p>
        </w:tc>
        <w:tc>
          <w:tcPr/>
          <w:p>
            <w:pPr>
              <w:pStyle w:val="Compact"/>
              <w:jc w:val="left"/>
            </w:pPr>
            <w:r>
              <w:t xml:space="preserve">4.7 (4.6 - 4.8)</w:t>
            </w:r>
          </w:p>
        </w:tc>
        <w:tc>
          <w:tcPr/>
          <w:p>
            <w:pPr>
              <w:pStyle w:val="Compact"/>
              <w:jc w:val="left"/>
            </w:pPr>
            <w:r>
              <w:t xml:space="preserve">0.764 (0.762 - 0.766)</w:t>
            </w:r>
          </w:p>
        </w:tc>
      </w:tr>
      <w:tr>
        <w:tc>
          <w:tcPr/>
          <w:p>
            <w:pPr>
              <w:pStyle w:val="Compact"/>
              <w:jc w:val="left"/>
            </w:pPr>
            <w:r>
              <w:t xml:space="preserve">BASE+int:county</w:t>
            </w:r>
          </w:p>
        </w:tc>
        <w:tc>
          <w:tcPr/>
          <w:p>
            <w:pPr>
              <w:pStyle w:val="Compact"/>
              <w:jc w:val="left"/>
            </w:pPr>
            <w:r>
              <w:t xml:space="preserve">706 (702 - 712)</w:t>
            </w:r>
          </w:p>
        </w:tc>
        <w:tc>
          <w:tcPr/>
          <w:p>
            <w:pPr>
              <w:pStyle w:val="Compact"/>
              <w:jc w:val="left"/>
            </w:pPr>
            <w:r>
              <w:t xml:space="preserve">4.4 (4.4 - 4.5)</w:t>
            </w:r>
          </w:p>
        </w:tc>
        <w:tc>
          <w:tcPr/>
          <w:p>
            <w:pPr>
              <w:pStyle w:val="Compact"/>
              <w:jc w:val="left"/>
            </w:pPr>
            <w:r>
              <w:t xml:space="preserve">0.73 (0.728 - 0.733)</w:t>
            </w:r>
          </w:p>
        </w:tc>
      </w:tr>
      <w:tr>
        <w:tc>
          <w:tcPr/>
          <w:p>
            <w:pPr>
              <w:pStyle w:val="Compact"/>
              <w:jc w:val="left"/>
            </w:pPr>
            <w:r>
              <w:t xml:space="preserve">BASE+cumcasep100k</w:t>
            </w:r>
          </w:p>
        </w:tc>
        <w:tc>
          <w:tcPr/>
          <w:p>
            <w:pPr>
              <w:pStyle w:val="Compact"/>
              <w:jc w:val="left"/>
            </w:pPr>
            <w:r>
              <w:t xml:space="preserve">593 (588 - 603)</w:t>
            </w:r>
          </w:p>
        </w:tc>
        <w:tc>
          <w:tcPr/>
          <w:p>
            <w:pPr>
              <w:pStyle w:val="Compact"/>
              <w:jc w:val="left"/>
            </w:pPr>
            <w:r>
              <w:t xml:space="preserve">4.6 (4.5 - 4.6)</w:t>
            </w:r>
          </w:p>
        </w:tc>
        <w:tc>
          <w:tcPr/>
          <w:p>
            <w:pPr>
              <w:pStyle w:val="Compact"/>
              <w:jc w:val="left"/>
            </w:pPr>
            <w:r>
              <w:t xml:space="preserve">0.749 (0.747 - 0.751)</w:t>
            </w:r>
          </w:p>
        </w:tc>
      </w:tr>
      <w:tr>
        <w:tc>
          <w:tcPr/>
          <w:p>
            <w:pPr>
              <w:pStyle w:val="Compact"/>
              <w:jc w:val="left"/>
            </w:pPr>
            <w:r>
              <w:t xml:space="preserve">BASE+cumvaxp100k</w:t>
            </w:r>
          </w:p>
        </w:tc>
        <w:tc>
          <w:tcPr/>
          <w:p>
            <w:pPr>
              <w:pStyle w:val="Compact"/>
              <w:jc w:val="left"/>
            </w:pPr>
            <w:r>
              <w:t xml:space="preserve">758 (754 - 761)</w:t>
            </w:r>
          </w:p>
        </w:tc>
        <w:tc>
          <w:tcPr/>
          <w:p>
            <w:pPr>
              <w:pStyle w:val="Compact"/>
              <w:jc w:val="left"/>
            </w:pPr>
            <w:r>
              <w:t xml:space="preserve">4.5 (4.5 - 4.6)</w:t>
            </w:r>
          </w:p>
        </w:tc>
        <w:tc>
          <w:tcPr/>
          <w:p>
            <w:pPr>
              <w:pStyle w:val="Compact"/>
              <w:jc w:val="left"/>
            </w:pPr>
            <w:r>
              <w:t xml:space="preserve">0.757 (0.755 - 0.759)</w:t>
            </w:r>
          </w:p>
        </w:tc>
      </w:tr>
      <w:tr>
        <w:tc>
          <w:tcPr/>
          <w:p>
            <w:pPr>
              <w:pStyle w:val="Compact"/>
              <w:jc w:val="left"/>
            </w:pPr>
            <w:r>
              <w:t xml:space="preserve">BASE+testp100k</w:t>
            </w:r>
          </w:p>
        </w:tc>
        <w:tc>
          <w:tcPr/>
          <w:p>
            <w:pPr>
              <w:pStyle w:val="Compact"/>
              <w:jc w:val="left"/>
            </w:pPr>
            <w:r>
              <w:t xml:space="preserve">1736 (1134 - 3099)</w:t>
            </w:r>
          </w:p>
        </w:tc>
        <w:tc>
          <w:tcPr/>
          <w:p>
            <w:pPr>
              <w:pStyle w:val="Compact"/>
              <w:jc w:val="left"/>
            </w:pPr>
            <w:r>
              <w:t xml:space="preserve">4.7 (4.7 - 4.8)</w:t>
            </w:r>
          </w:p>
        </w:tc>
        <w:tc>
          <w:tcPr/>
          <w:p>
            <w:pPr>
              <w:pStyle w:val="Compact"/>
              <w:jc w:val="left"/>
            </w:pPr>
            <w:r>
              <w:t xml:space="preserve">0.762 (0.761 - 0.764)</w:t>
            </w:r>
          </w:p>
        </w:tc>
      </w:tr>
      <w:tr>
        <w:tc>
          <w:tcPr/>
          <w:p>
            <w:pPr>
              <w:pStyle w:val="Compact"/>
              <w:jc w:val="left"/>
            </w:pPr>
            <w:r>
              <w:t xml:space="preserve">BASE+per50up</w:t>
            </w:r>
          </w:p>
        </w:tc>
        <w:tc>
          <w:tcPr/>
          <w:p>
            <w:pPr>
              <w:pStyle w:val="Compact"/>
              <w:jc w:val="left"/>
            </w:pPr>
            <w:r>
              <w:t xml:space="preserve">732 (728 - 736)</w:t>
            </w:r>
          </w:p>
        </w:tc>
        <w:tc>
          <w:tcPr/>
          <w:p>
            <w:pPr>
              <w:pStyle w:val="Compact"/>
              <w:jc w:val="left"/>
            </w:pPr>
            <w:r>
              <w:t xml:space="preserve">4.7 (4.7 - 4.8)</w:t>
            </w:r>
          </w:p>
        </w:tc>
        <w:tc>
          <w:tcPr/>
          <w:p>
            <w:pPr>
              <w:pStyle w:val="Compact"/>
              <w:jc w:val="left"/>
            </w:pPr>
            <w:r>
              <w:t xml:space="preserve">0.759 (0.757 - 0.761)</w:t>
            </w:r>
          </w:p>
        </w:tc>
      </w:tr>
      <w:tr>
        <w:tc>
          <w:tcPr/>
          <w:p>
            <w:pPr>
              <w:pStyle w:val="Compact"/>
              <w:jc w:val="left"/>
            </w:pPr>
            <w:r>
              <w:t xml:space="preserve">BASE+int:county+testp100k</w:t>
            </w:r>
          </w:p>
        </w:tc>
        <w:tc>
          <w:tcPr/>
          <w:p>
            <w:pPr>
              <w:pStyle w:val="Compact"/>
              <w:jc w:val="left"/>
            </w:pPr>
            <w:r>
              <w:t xml:space="preserve">3696 (2055 - 7002)</w:t>
            </w:r>
          </w:p>
        </w:tc>
        <w:tc>
          <w:tcPr/>
          <w:p>
            <w:pPr>
              <w:pStyle w:val="Compact"/>
              <w:jc w:val="left"/>
            </w:pPr>
            <w:r>
              <w:t xml:space="preserve">4.4 (4.4 - 4.5)</w:t>
            </w:r>
          </w:p>
        </w:tc>
        <w:tc>
          <w:tcPr/>
          <w:p>
            <w:pPr>
              <w:pStyle w:val="Compact"/>
              <w:jc w:val="left"/>
            </w:pPr>
            <w:r>
              <w:t xml:space="preserve">0.727 (0.724 - 0.73)</w:t>
            </w:r>
          </w:p>
        </w:tc>
      </w:tr>
      <w:tr>
        <w:tc>
          <w:tcPr/>
          <w:p>
            <w:pPr>
              <w:pStyle w:val="Compact"/>
              <w:jc w:val="left"/>
            </w:pPr>
            <w:r>
              <w:t xml:space="preserve">BASE+int:county+cumcasep100k+cumvaxp100k</w:t>
            </w:r>
          </w:p>
        </w:tc>
        <w:tc>
          <w:tcPr/>
          <w:p>
            <w:pPr>
              <w:pStyle w:val="Compact"/>
              <w:jc w:val="left"/>
            </w:pPr>
            <w:r>
              <w:t xml:space="preserve">525 (519 - 536)</w:t>
            </w:r>
          </w:p>
        </w:tc>
        <w:tc>
          <w:tcPr/>
          <w:p>
            <w:pPr>
              <w:pStyle w:val="Compact"/>
              <w:jc w:val="left"/>
            </w:pPr>
            <w:r>
              <w:t xml:space="preserve">4.2 (4.1 - 4.2)</w:t>
            </w:r>
          </w:p>
        </w:tc>
        <w:tc>
          <w:tcPr/>
          <w:p>
            <w:pPr>
              <w:pStyle w:val="Compact"/>
              <w:jc w:val="left"/>
            </w:pPr>
            <w:r>
              <w:t xml:space="preserve">0.713 (0.71 - 0.717)</w:t>
            </w:r>
          </w:p>
        </w:tc>
      </w:tr>
      <w:tr>
        <w:tc>
          <w:tcPr/>
          <w:p>
            <w:pPr>
              <w:pStyle w:val="Compact"/>
              <w:jc w:val="left"/>
            </w:pPr>
            <w:r>
              <w:t xml:space="preserve">BASE+int:county+per50up</w:t>
            </w:r>
          </w:p>
        </w:tc>
        <w:tc>
          <w:tcPr/>
          <w:p>
            <w:pPr>
              <w:pStyle w:val="Compact"/>
              <w:jc w:val="left"/>
            </w:pPr>
            <w:r>
              <w:t xml:space="preserve">677 (672 - 681)</w:t>
            </w:r>
          </w:p>
        </w:tc>
        <w:tc>
          <w:tcPr/>
          <w:p>
            <w:pPr>
              <w:pStyle w:val="Compact"/>
              <w:jc w:val="left"/>
            </w:pPr>
            <w:r>
              <w:t xml:space="preserve">4.4 (4.4 - 4.5)</w:t>
            </w:r>
          </w:p>
        </w:tc>
        <w:tc>
          <w:tcPr/>
          <w:p>
            <w:pPr>
              <w:pStyle w:val="Compact"/>
              <w:jc w:val="left"/>
            </w:pPr>
            <w:r>
              <w:t xml:space="preserve">0.725 (0.723 - 0.727)</w:t>
            </w:r>
          </w:p>
        </w:tc>
      </w:tr>
      <w:tr>
        <w:tc>
          <w:tcPr/>
          <w:p>
            <w:pPr>
              <w:pStyle w:val="Compact"/>
              <w:jc w:val="left"/>
            </w:pPr>
            <w:r>
              <w:t xml:space="preserve">BASE+int:county+cumcasep100k+cumvaxp100k+testp100k</w:t>
            </w:r>
          </w:p>
        </w:tc>
        <w:tc>
          <w:tcPr/>
          <w:p>
            <w:pPr>
              <w:pStyle w:val="Compact"/>
              <w:jc w:val="left"/>
            </w:pPr>
            <w:r>
              <w:t xml:space="preserve">1239 (802 - 1800)</w:t>
            </w:r>
          </w:p>
        </w:tc>
        <w:tc>
          <w:tcPr/>
          <w:p>
            <w:pPr>
              <w:pStyle w:val="Compact"/>
              <w:jc w:val="left"/>
            </w:pPr>
            <w:r>
              <w:t xml:space="preserve">4.2 (4.1 - 4.2)</w:t>
            </w:r>
          </w:p>
        </w:tc>
        <w:tc>
          <w:tcPr/>
          <w:p>
            <w:pPr>
              <w:pStyle w:val="Compact"/>
              <w:jc w:val="left"/>
            </w:pPr>
            <w:r>
              <w:t xml:space="preserve">0.712 (0.709 - 0.716)</w:t>
            </w:r>
          </w:p>
        </w:tc>
      </w:tr>
      <w:tr>
        <w:tc>
          <w:tcPr/>
          <w:p>
            <w:pPr>
              <w:pStyle w:val="Compact"/>
              <w:jc w:val="left"/>
            </w:pPr>
            <w:r>
              <w:t xml:space="preserve">BASE+int:county+cumcasep100k+cumvaxp100k+per50up</w:t>
            </w:r>
          </w:p>
        </w:tc>
        <w:tc>
          <w:tcPr/>
          <w:p>
            <w:pPr>
              <w:pStyle w:val="Compact"/>
              <w:jc w:val="left"/>
            </w:pPr>
            <w:r>
              <w:t xml:space="preserve">522 (516 - 532)</w:t>
            </w:r>
          </w:p>
        </w:tc>
        <w:tc>
          <w:tcPr/>
          <w:p>
            <w:pPr>
              <w:pStyle w:val="Compact"/>
              <w:jc w:val="left"/>
            </w:pPr>
            <w:r>
              <w:t xml:space="preserve">4.1 (4 - 4.1)</w:t>
            </w:r>
          </w:p>
        </w:tc>
        <w:tc>
          <w:tcPr/>
          <w:p>
            <w:pPr>
              <w:pStyle w:val="Compact"/>
              <w:jc w:val="left"/>
            </w:pPr>
            <w:r>
              <w:t xml:space="preserve">0.697 (0.694 - 0.7)</w:t>
            </w:r>
          </w:p>
        </w:tc>
      </w:tr>
      <w:tr>
        <w:tc>
          <w:tcPr/>
          <w:p>
            <w:pPr>
              <w:pStyle w:val="Compact"/>
              <w:jc w:val="left"/>
            </w:pPr>
            <w:r>
              <w:t xml:space="preserve">BASE+int:county+cumcasep100k+cumvaxp100k+testp100k+per50up</w:t>
            </w:r>
          </w:p>
        </w:tc>
        <w:tc>
          <w:tcPr/>
          <w:p>
            <w:pPr>
              <w:pStyle w:val="Compact"/>
              <w:jc w:val="left"/>
            </w:pPr>
            <w:r>
              <w:t xml:space="preserve">968 (678 - 1373)</w:t>
            </w:r>
          </w:p>
        </w:tc>
        <w:tc>
          <w:tcPr/>
          <w:p>
            <w:pPr>
              <w:pStyle w:val="Compact"/>
              <w:jc w:val="left"/>
            </w:pPr>
            <w:r>
              <w:t xml:space="preserve">4.1 (4 - 4.1)</w:t>
            </w:r>
          </w:p>
        </w:tc>
        <w:tc>
          <w:tcPr/>
          <w:p>
            <w:pPr>
              <w:pStyle w:val="Compact"/>
              <w:jc w:val="left"/>
            </w:pPr>
            <w:r>
              <w:t xml:space="preserve">0.696 (0.693 - 0.703)</w:t>
            </w:r>
          </w:p>
        </w:tc>
      </w:tr>
      <w:tr>
        <w:tc>
          <w:tcPr/>
          <w:p>
            <w:pPr>
              <w:pStyle w:val="Compact"/>
              <w:jc w:val="left"/>
            </w:pPr>
            <w:r>
              <w:t xml:space="preserve">BASE+int:spline+testp100k</w:t>
            </w:r>
          </w:p>
        </w:tc>
        <w:tc>
          <w:tcPr/>
          <w:p>
            <w:pPr>
              <w:pStyle w:val="Compact"/>
              <w:jc w:val="left"/>
            </w:pPr>
            <w:r>
              <w:t xml:space="preserve">1258 (914 - 2014)</w:t>
            </w:r>
          </w:p>
        </w:tc>
        <w:tc>
          <w:tcPr/>
          <w:p>
            <w:pPr>
              <w:pStyle w:val="Compact"/>
              <w:jc w:val="left"/>
            </w:pPr>
            <w:r>
              <w:t xml:space="preserve">4.7 (4.6 - 4.8)</w:t>
            </w:r>
          </w:p>
        </w:tc>
        <w:tc>
          <w:tcPr/>
          <w:p>
            <w:pPr>
              <w:pStyle w:val="Compact"/>
              <w:jc w:val="left"/>
            </w:pPr>
            <w:r>
              <w:t xml:space="preserve">0.762 (0.761 - 0.764)</w:t>
            </w:r>
          </w:p>
        </w:tc>
      </w:tr>
      <w:tr>
        <w:tc>
          <w:tcPr/>
          <w:p>
            <w:pPr>
              <w:pStyle w:val="Compact"/>
              <w:jc w:val="left"/>
            </w:pPr>
            <w:r>
              <w:t xml:space="preserve">BASE+int:spline+cumcasep100k+cumvaxp100k</w:t>
            </w:r>
          </w:p>
        </w:tc>
        <w:tc>
          <w:tcPr/>
          <w:p>
            <w:pPr>
              <w:pStyle w:val="Compact"/>
              <w:jc w:val="left"/>
            </w:pPr>
            <w:r>
              <w:t xml:space="preserve">591 (586 - 601)</w:t>
            </w:r>
          </w:p>
        </w:tc>
        <w:tc>
          <w:tcPr/>
          <w:p>
            <w:pPr>
              <w:pStyle w:val="Compact"/>
              <w:jc w:val="left"/>
            </w:pPr>
            <w:r>
              <w:t xml:space="preserve">4.4 (4.3 - 4.5)</w:t>
            </w:r>
          </w:p>
        </w:tc>
        <w:tc>
          <w:tcPr/>
          <w:p>
            <w:pPr>
              <w:pStyle w:val="Compact"/>
              <w:jc w:val="left"/>
            </w:pPr>
            <w:r>
              <w:t xml:space="preserve">0.743 (0.741 - 0.745)</w:t>
            </w:r>
          </w:p>
        </w:tc>
      </w:tr>
      <w:tr>
        <w:tc>
          <w:tcPr/>
          <w:p>
            <w:pPr>
              <w:pStyle w:val="Compact"/>
              <w:jc w:val="left"/>
            </w:pPr>
            <w:r>
              <w:t xml:space="preserve">BASE+int:spline+per50up</w:t>
            </w:r>
          </w:p>
        </w:tc>
        <w:tc>
          <w:tcPr/>
          <w:p>
            <w:pPr>
              <w:pStyle w:val="Compact"/>
              <w:jc w:val="left"/>
            </w:pPr>
            <w:r>
              <w:t xml:space="preserve">730 (726 - 734)</w:t>
            </w:r>
          </w:p>
        </w:tc>
        <w:tc>
          <w:tcPr/>
          <w:p>
            <w:pPr>
              <w:pStyle w:val="Compact"/>
              <w:jc w:val="left"/>
            </w:pPr>
            <w:r>
              <w:t xml:space="preserve">4.7 (4.6 - 4.8)</w:t>
            </w:r>
          </w:p>
        </w:tc>
        <w:tc>
          <w:tcPr/>
          <w:p>
            <w:pPr>
              <w:pStyle w:val="Compact"/>
              <w:jc w:val="left"/>
            </w:pPr>
            <w:r>
              <w:t xml:space="preserve">0.759 (0.757 - 0.761)</w:t>
            </w:r>
          </w:p>
        </w:tc>
      </w:tr>
      <w:tr>
        <w:tc>
          <w:tcPr/>
          <w:p>
            <w:pPr>
              <w:pStyle w:val="Compact"/>
              <w:jc w:val="left"/>
            </w:pPr>
            <w:r>
              <w:t xml:space="preserve">BASE+int:spline+cumcasep100k+cumvaxp100k+testp100k</w:t>
            </w:r>
          </w:p>
        </w:tc>
        <w:tc>
          <w:tcPr/>
          <w:p>
            <w:pPr>
              <w:pStyle w:val="Compact"/>
              <w:jc w:val="left"/>
            </w:pPr>
            <w:r>
              <w:t xml:space="preserve">710 (620 - 856)</w:t>
            </w:r>
          </w:p>
        </w:tc>
        <w:tc>
          <w:tcPr/>
          <w:p>
            <w:pPr>
              <w:pStyle w:val="Compact"/>
              <w:jc w:val="left"/>
            </w:pPr>
            <w:r>
              <w:t xml:space="preserve">4.4 (4.3 - 4.5)</w:t>
            </w:r>
          </w:p>
        </w:tc>
        <w:tc>
          <w:tcPr/>
          <w:p>
            <w:pPr>
              <w:pStyle w:val="Compact"/>
              <w:jc w:val="left"/>
            </w:pPr>
            <w:r>
              <w:t xml:space="preserve">0.742 (0.741 - 0.744)</w:t>
            </w:r>
          </w:p>
        </w:tc>
      </w:tr>
      <w:tr>
        <w:tc>
          <w:tcPr/>
          <w:p>
            <w:pPr>
              <w:pStyle w:val="Compact"/>
              <w:jc w:val="left"/>
            </w:pPr>
            <w:r>
              <w:t xml:space="preserve">BASE+int:spline+cumcasep100k+cumvaxp100k+per50up</w:t>
            </w:r>
          </w:p>
        </w:tc>
        <w:tc>
          <w:tcPr/>
          <w:p>
            <w:pPr>
              <w:pStyle w:val="Compact"/>
              <w:jc w:val="left"/>
            </w:pPr>
            <w:r>
              <w:t xml:space="preserve">588 (583 - 598)</w:t>
            </w:r>
          </w:p>
        </w:tc>
        <w:tc>
          <w:tcPr/>
          <w:p>
            <w:pPr>
              <w:pStyle w:val="Compact"/>
              <w:jc w:val="left"/>
            </w:pPr>
            <w:r>
              <w:t xml:space="preserve">4.3 (4.2 - 4.4)</w:t>
            </w:r>
          </w:p>
        </w:tc>
        <w:tc>
          <w:tcPr/>
          <w:p>
            <w:pPr>
              <w:pStyle w:val="Compact"/>
              <w:jc w:val="left"/>
            </w:pPr>
            <w:r>
              <w:t xml:space="preserve">0.725 (0.723 - 0.728)</w:t>
            </w:r>
          </w:p>
        </w:tc>
      </w:tr>
      <w:tr>
        <w:tc>
          <w:tcPr/>
          <w:p>
            <w:pPr>
              <w:pStyle w:val="Compact"/>
              <w:jc w:val="left"/>
            </w:pPr>
            <w:r>
              <w:t xml:space="preserve">BASE+int:spline+cumcasep100k+cumvaxp100k+testp100k+per50up</w:t>
            </w:r>
          </w:p>
        </w:tc>
        <w:tc>
          <w:tcPr/>
          <w:p>
            <w:pPr>
              <w:pStyle w:val="Compact"/>
              <w:jc w:val="left"/>
            </w:pPr>
            <w:r>
              <w:t xml:space="preserve">667 (602 - 784)</w:t>
            </w:r>
          </w:p>
        </w:tc>
        <w:tc>
          <w:tcPr/>
          <w:p>
            <w:pPr>
              <w:pStyle w:val="Compact"/>
              <w:jc w:val="left"/>
            </w:pPr>
            <w:r>
              <w:t xml:space="preserve">4.3 (4.2 - 4.4)</w:t>
            </w:r>
          </w:p>
        </w:tc>
        <w:tc>
          <w:tcPr/>
          <w:p>
            <w:pPr>
              <w:pStyle w:val="Compact"/>
              <w:jc w:val="left"/>
            </w:pPr>
            <w:r>
              <w:t xml:space="preserve">0.724 (0.722 - 0.727)</w:t>
            </w:r>
          </w:p>
        </w:tc>
      </w:tr>
    </w:tbl>
    <w:bookmarkEnd w:id="31"/>
    <w:bookmarkStart w:id="35" w:name="scratch"/>
    <w:p>
      <w:pPr>
        <w:pStyle w:val="Heading2"/>
      </w:pPr>
      <w:r>
        <w:t xml:space="preserve">Scratch</w:t>
      </w:r>
    </w:p>
    <w:p>
      <w:pPr>
        <w:pStyle w:val="FirstParagraph"/>
      </w:pPr>
      <w:r>
        <w:drawing>
          <wp:inline>
            <wp:extent cx="5334000" cy="4267200"/>
            <wp:effectExtent b="0" l="0" r="0" t="0"/>
            <wp:docPr descr="" title="" id="33" name="Picture"/>
            <a:graphic>
              <a:graphicData uri="http://schemas.openxmlformats.org/drawingml/2006/picture">
                <pic:pic>
                  <pic:nvPicPr>
                    <pic:cNvPr descr="ImpactEval_CounterfactualOutcomes_Results_files/figure-docx/fin_fig_6panel-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hyperlink" Id="rId27" Target="../plots/baseplot_outcomes_averted.png" TargetMode="External" /></Relationships>
</file>

<file path=word/_rels/footnotes.xml.rels><?xml version="1.0" encoding="UTF-8"?><Relationships xmlns="http://schemas.openxmlformats.org/package/2006/relationships"><Relationship Type="http://schemas.openxmlformats.org/officeDocument/2006/relationships/hyperlink" Id="rId27" Target="../plots/baseplot_outcomes_averte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Allocation Outcomes Avoided Results</dc:title>
  <dc:creator>Chris Hoover et al</dc:creator>
  <cp:keywords/>
  <dcterms:created xsi:type="dcterms:W3CDTF">2022-12-08T21:37:01Z</dcterms:created>
  <dcterms:modified xsi:type="dcterms:W3CDTF">2022-12-08T21:37:01Z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2022-12-08</vt:lpwstr>
  </property>
  <property fmtid="{D5CDD505-2E9C-101B-9397-08002B2CF9AE}" pid="3" name="output">
    <vt:lpwstr>word_document</vt:lpwstr>
  </property>
</Properties>
</file>