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Allocation</w:t>
      </w:r>
      <w:r>
        <w:t xml:space="preserve"> </w:t>
      </w:r>
      <w:r>
        <w:t xml:space="preserve">Impact</w:t>
      </w:r>
      <w:r>
        <w:t xml:space="preserve"> </w:t>
      </w:r>
      <w:r>
        <w:t xml:space="preserve">Evaluation</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2023-11-24</w:t>
      </w:r>
    </w:p>
    <w:bookmarkStart w:id="21" w:name="background"/>
    <w:p>
      <w:pPr>
        <w:pStyle w:val="Heading1"/>
      </w:pPr>
      <w:r>
        <w:t xml:space="preserve">Background</w:t>
      </w:r>
    </w:p>
    <w:p>
      <w:pPr>
        <w:pStyle w:val="FirstParagraph"/>
      </w:pPr>
      <w:r>
        <w:t xml:space="preserve">As part of the State of California’s focus on health equity, vaccine allocation as of March 2, 2021 was determined by the Vaccine Equity Metric (VEM), derived from the Healthy Places Index. Specifically, zip codes in the lowest HPI quartile received double the allotment of vaccines as other quartiles.</w:t>
      </w:r>
      <w:r>
        <w:t xml:space="preserve"> </w:t>
      </w:r>
      <w:hyperlink r:id="rId20">
        <w:r>
          <w:rPr>
            <w:rStyle w:val="Hyperlink"/>
          </w:rPr>
          <w:t xml:space="preserve">Additional measures</w:t>
        </w:r>
      </w:hyperlink>
      <w:r>
        <w:t xml:space="preserve"> </w:t>
      </w:r>
      <w:r>
        <w:t xml:space="preserve">to ensure that vaccines alloted to these areas were administered to residents rather than more advantaged individuals in neighboring areas were also enacted. This analysis seeks to evaluate the impact of these efforts on vaccination rates as well as key covid-19 outcomes including cases, hospitalizations, and deaths.</w:t>
      </w:r>
    </w:p>
    <w:bookmarkEnd w:id="21"/>
    <w:bookmarkStart w:id="30" w:name="effect-on-vaccinations-administered"/>
    <w:p>
      <w:pPr>
        <w:pStyle w:val="Heading1"/>
      </w:pPr>
      <w:r>
        <w:t xml:space="preserve">Effect on vaccinations administered</w:t>
      </w:r>
    </w:p>
    <w:bookmarkStart w:id="22" w:name="approach"/>
    <w:p>
      <w:pPr>
        <w:pStyle w:val="Heading2"/>
      </w:pPr>
      <w:r>
        <w:t xml:space="preserve">Approach</w:t>
      </w:r>
    </w:p>
    <w:p>
      <w:pPr>
        <w:pStyle w:val="FirstParagraph"/>
      </w:pPr>
      <w:r>
        <w:t xml:space="preserve">A difference in differences analysis using a poisson mixed effects model with a random intercept for county and main effects for binary hpi quartile 1 status, binary intervention period (before/after March 01, 2021), and their interaction of the form:</w:t>
      </w:r>
    </w:p>
    <w:p>
      <w:pPr>
        <w:pStyle w:val="BodyText"/>
      </w:pPr>
      <m:oMathPara>
        <m:oMathParaPr>
          <m:jc m:val="center"/>
        </m:oMathParaPr>
        <m:oMath>
          <m:r>
            <m:rPr>
              <m:sty m:val="p"/>
            </m:rPr>
            <m:t>log</m:t>
          </m:r>
          <m:r>
            <m:rPr>
              <m:sty m:val="b"/>
            </m:rPr>
            <m:t>E</m:t>
          </m:r>
          <m:d>
            <m:dPr>
              <m:begChr m:val="("/>
              <m:endChr m:val=")"/>
              <m:sepChr m:val=""/>
              <m:grow/>
            </m:dPr>
            <m:e>
              <m:sSub>
                <m:e>
                  <m:r>
                    <m:t>y</m:t>
                  </m:r>
                </m:e>
                <m:sub>
                  <m:r>
                    <m:t>i</m:t>
                  </m:r>
                  <m:r>
                    <m:t>j</m:t>
                  </m:r>
                </m:sub>
              </m:sSub>
              <m:r>
                <m:rPr>
                  <m:sty m:val="p"/>
                </m:rPr>
                <m:t>|</m:t>
              </m:r>
              <m:r>
                <m:rPr>
                  <m:sty m:val="b"/>
                </m:rPr>
                <m:t>X</m:t>
              </m:r>
            </m:e>
          </m:d>
          <m:r>
            <m:rPr>
              <m:sty m:val="p"/>
            </m:rPr>
            <m:t>=</m:t>
          </m:r>
          <m:r>
            <m:rPr>
              <m:sty m:val="p"/>
            </m:rPr>
            <m:t>log</m:t>
          </m:r>
          <m:d>
            <m:dPr>
              <m:begChr m:val="("/>
              <m:endChr m:val=")"/>
              <m:sepChr m:val=""/>
              <m:grow/>
            </m:dPr>
            <m:e>
              <m:sSub>
                <m:e>
                  <m:r>
                    <m:t>N</m:t>
                  </m:r>
                </m:e>
                <m:sub>
                  <m:r>
                    <m:t>i</m:t>
                  </m:r>
                  <m:r>
                    <m:t>j</m:t>
                  </m:r>
                </m:sub>
              </m:sSub>
            </m:e>
          </m:d>
          <m:r>
            <m:rPr>
              <m:sty m:val="p"/>
            </m:rPr>
            <m:t>+</m:t>
          </m:r>
          <m:sSub>
            <m:e>
              <m:r>
                <m:t>β</m:t>
              </m:r>
            </m:e>
            <m:sub>
              <m:r>
                <m:t>0</m:t>
              </m:r>
            </m:sub>
          </m:sSub>
          <m:r>
            <m:rPr>
              <m:sty m:val="p"/>
            </m:rPr>
            <m:t>+</m:t>
          </m:r>
          <m:sSub>
            <m:e>
              <m:r>
                <m:t>β</m:t>
              </m:r>
            </m:e>
            <m:sub>
              <m:r>
                <m:t>1</m:t>
              </m:r>
            </m:sub>
          </m:sSub>
          <m:r>
            <m:t>I</m:t>
          </m:r>
          <m:r>
            <m:t>n</m:t>
          </m:r>
          <m:sSub>
            <m:e>
              <m:r>
                <m:t>t</m:t>
              </m:r>
            </m:e>
            <m:sub>
              <m:r>
                <m:t>i</m:t>
              </m:r>
              <m:r>
                <m:t>j</m:t>
              </m:r>
            </m:sub>
          </m:sSub>
          <m:r>
            <m:rPr>
              <m:sty m:val="p"/>
            </m:rPr>
            <m:t>+</m:t>
          </m:r>
          <m:sSub>
            <m:e>
              <m:r>
                <m:t>β</m:t>
              </m:r>
            </m:e>
            <m:sub>
              <m:r>
                <m:t>2</m:t>
              </m:r>
            </m:sub>
          </m:sSub>
          <m:r>
            <m:t>A</m:t>
          </m:r>
          <m:r>
            <m:t>f</m:t>
          </m:r>
          <m:r>
            <m:t>t</m:t>
          </m:r>
          <m:r>
            <m:t>e</m:t>
          </m:r>
          <m:sSub>
            <m:e>
              <m:r>
                <m:t>r</m:t>
              </m:r>
            </m:e>
            <m:sub>
              <m:r>
                <m:t>i</m:t>
              </m:r>
              <m:r>
                <m:t>j</m:t>
              </m:r>
            </m:sub>
          </m:sSub>
          <m:r>
            <m:rPr>
              <m:sty m:val="p"/>
            </m:rPr>
            <m:t>+</m:t>
          </m:r>
          <m:sSub>
            <m:e>
              <m:r>
                <m:t>β</m:t>
              </m:r>
            </m:e>
            <m:sub>
              <m:r>
                <m:t>3</m:t>
              </m:r>
            </m:sub>
          </m:sSub>
          <m:r>
            <m:t>I</m:t>
          </m:r>
          <m:r>
            <m:t>n</m:t>
          </m:r>
          <m:sSub>
            <m:e>
              <m:r>
                <m:t>t</m:t>
              </m:r>
            </m:e>
            <m:sub>
              <m:r>
                <m:t>i</m:t>
              </m:r>
              <m:r>
                <m:t>j</m:t>
              </m:r>
            </m:sub>
          </m:sSub>
          <m:r>
            <m:rPr>
              <m:sty m:val="p"/>
            </m:rPr>
            <m:t>×</m:t>
          </m:r>
          <m:r>
            <m:t>A</m:t>
          </m:r>
          <m:r>
            <m:t>f</m:t>
          </m:r>
          <m:r>
            <m:t>t</m:t>
          </m:r>
          <m:r>
            <m:t>e</m:t>
          </m:r>
          <m:sSub>
            <m:e>
              <m:r>
                <m:t>r</m:t>
              </m:r>
            </m:e>
            <m:sub>
              <m:r>
                <m:t>i</m:t>
              </m:r>
              <m:r>
                <m:t>j</m:t>
              </m:r>
            </m:sub>
          </m:sSub>
          <m:r>
            <m:rPr>
              <m:sty m:val="p"/>
            </m:rPr>
            <m:t>+</m:t>
          </m:r>
          <m:sSub>
            <m:e>
              <m:r>
                <m:t>β</m:t>
              </m:r>
            </m:e>
            <m:sub>
              <m:r>
                <m:t>4</m:t>
              </m:r>
            </m:sub>
          </m:sSub>
          <m:r>
            <m:t>C</m:t>
          </m:r>
          <m:r>
            <m:t>n</m:t>
          </m:r>
          <m:r>
            <m:t>t</m:t>
          </m:r>
          <m:sSub>
            <m:e>
              <m:r>
                <m:t>y</m:t>
              </m:r>
            </m:e>
            <m:sub>
              <m:r>
                <m:t>i</m:t>
              </m:r>
            </m:sub>
          </m:sSub>
        </m:oMath>
      </m:oMathPara>
    </w:p>
    <w:p>
      <w:pPr>
        <w:pStyle w:val="FirstParagraph"/>
      </w:pPr>
      <w:r>
        <w:t xml:space="preserve">Where:</w:t>
      </w:r>
    </w:p>
    <w:p>
      <w:pPr>
        <w:pStyle w:val="BodyText"/>
      </w:pPr>
      <m:oMathPara>
        <m:oMathParaPr>
          <m:jc m:val="center"/>
        </m:oMathParaPr>
        <m:oMath>
          <m:r>
            <m:rPr>
              <m:sty m:val="p"/>
            </m:rPr>
            <m:t>log</m:t>
          </m:r>
          <m:r>
            <m:rPr>
              <m:sty m:val="b"/>
            </m:rPr>
            <m:t>E</m:t>
          </m:r>
          <m:d>
            <m:dPr>
              <m:begChr m:val="("/>
              <m:endChr m:val=")"/>
              <m:sepChr m:val=""/>
              <m:grow/>
            </m:dPr>
            <m:e>
              <m:sSub>
                <m:e>
                  <m:r>
                    <m:t>y</m:t>
                  </m:r>
                </m:e>
                <m:sub>
                  <m:r>
                    <m:t>i</m:t>
                  </m:r>
                  <m:r>
                    <m:t>j</m:t>
                  </m:r>
                </m:sub>
              </m:sSub>
              <m:r>
                <m:rPr>
                  <m:sty m:val="p"/>
                </m:rPr>
                <m:t>|</m:t>
              </m:r>
              <m:r>
                <m:rPr>
                  <m:sty m:val="b"/>
                </m:rPr>
                <m:t>X</m:t>
              </m:r>
            </m:e>
          </m:d>
          <m:r>
            <m:rPr>
              <m:sty m:val="p"/>
            </m:rPr>
            <m:t>∼</m:t>
          </m:r>
          <m:r>
            <m:t>P</m:t>
          </m:r>
          <m:r>
            <m:t>o</m:t>
          </m:r>
          <m:r>
            <m:t>i</m:t>
          </m:r>
          <m:r>
            <m:t>s</m:t>
          </m:r>
          <m:d>
            <m:dPr>
              <m:begChr m:val="("/>
              <m:endChr m:val=")"/>
              <m:sepChr m:val=""/>
              <m:grow/>
            </m:dPr>
            <m:e>
              <m:r>
                <m:t>λ</m:t>
              </m:r>
            </m:e>
          </m:d>
        </m:oMath>
      </m:oMathPara>
    </w:p>
    <w:p>
      <w:pPr>
        <w:pStyle w:val="FirstParagraph"/>
      </w:pPr>
      <m:oMathPara>
        <m:oMathParaPr>
          <m:jc m:val="center"/>
        </m:oMathParaPr>
        <m:oMath>
          <m:r>
            <m:t>α</m:t>
          </m:r>
          <m:r>
            <m:rPr>
              <m:sty m:val="p"/>
            </m:rPr>
            <m:t>∼</m:t>
          </m:r>
          <m:r>
            <m:rPr>
              <m:sty m:val="p"/>
              <m:scr m:val="script"/>
            </m:rPr>
            <m:t>N</m:t>
          </m:r>
          <m:d>
            <m:dPr>
              <m:begChr m:val="("/>
              <m:endChr m:val=")"/>
              <m:sepChr m:val=""/>
              <m:grow/>
            </m:dPr>
            <m:e>
              <m:r>
                <m:t>0</m:t>
              </m:r>
              <m:r>
                <m:rPr>
                  <m:sty m:val="p"/>
                </m:rPr>
                <m:t>,</m:t>
              </m:r>
              <m:sSup>
                <m:e>
                  <m:r>
                    <m:t>σ</m:t>
                  </m:r>
                </m:e>
                <m:sup>
                  <m:r>
                    <m:t>2</m:t>
                  </m:r>
                </m:sup>
              </m:sSup>
            </m:e>
          </m:d>
        </m:oMath>
      </m:oMathPara>
    </w:p>
    <w:p>
      <w:pPr>
        <w:pStyle w:val="FirstParagraph"/>
      </w:pPr>
      <w:r>
        <w:t xml:space="preserve">are fitted, where</w:t>
      </w:r>
      <w:r>
        <w:t xml:space="preserve"> </w:t>
      </w:r>
      <m:oMath>
        <m:r>
          <m:rPr>
            <m:sty m:val="p"/>
          </m:rPr>
          <m:t>exp</m:t>
        </m:r>
        <m:d>
          <m:dPr>
            <m:begChr m:val="("/>
            <m:endChr m:val=")"/>
            <m:sepChr m:val=""/>
            <m:grow/>
          </m:dPr>
          <m:e>
            <m:sSub>
              <m:e>
                <m:r>
                  <m:t>β</m:t>
                </m:r>
              </m:e>
              <m:sub>
                <m:r>
                  <m:t>3</m:t>
                </m:r>
              </m:sub>
            </m:sSub>
          </m:e>
        </m:d>
      </m:oMath>
      <w:r>
        <w:t xml:space="preserve"> </w:t>
      </w:r>
      <w:r>
        <w:t xml:space="preserve">is the difference in differences (DiD) coefficient–the ratio of rate ratios–indicating the change in vaccination rate in HPI Q1 zip codes compared to non-Q1 zip codes following March 8th.</w:t>
      </w:r>
    </w:p>
    <w:p>
      <w:r>
        <w:br w:type="page"/>
      </w:r>
    </w:p>
    <w:bookmarkEnd w:id="22"/>
    <w:bookmarkStart w:id="29" w:name="results"/>
    <w:p>
      <w:pPr>
        <w:pStyle w:val="Heading2"/>
      </w:pPr>
      <w:r>
        <w:t xml:space="preserve">Results</w:t>
      </w:r>
    </w:p>
    <w:bookmarkStart w:id="26" w:name="parallel-trends"/>
    <w:p>
      <w:pPr>
        <w:pStyle w:val="Heading3"/>
      </w:pPr>
      <w:r>
        <w:t xml:space="preserve">Parallel trends</w:t>
      </w:r>
    </w:p>
    <w:p>
      <w:pPr>
        <w:pStyle w:val="FirstParagraph"/>
      </w:pPr>
      <w:r>
        <w:drawing>
          <wp:inline>
            <wp:extent cx="4620126" cy="3696101"/>
            <wp:effectExtent b="0" l="0" r="0" t="0"/>
            <wp:docPr descr="" title="" id="24" name="Picture"/>
            <a:graphic>
              <a:graphicData uri="http://schemas.openxmlformats.org/drawingml/2006/picture">
                <pic:pic>
                  <pic:nvPicPr>
                    <pic:cNvPr descr="ImpactEval_VaxDiffDiff_Results_files/figure-docx/vax_by_vem-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raw-vaccination-rate-pre-post"/>
    <w:p>
      <w:pPr>
        <w:pStyle w:val="Heading3"/>
      </w:pPr>
      <w:r>
        <w:t xml:space="preserve">Raw vaccination rate pre post</w:t>
      </w:r>
    </w:p>
    <w:p>
      <w:pPr>
        <w:pStyle w:val="FirstParagraph"/>
      </w:pPr>
      <w:r>
        <w:t xml:space="preserve">Nearly 14.9 million vaccines were administered in California in the four weeks before and after the vaccine equity allocation on March 01, 2021 (February 01, 2021 - March 22, 2021). The vaccination rate per 100,000 in this time period was highest in VEM Q4 and lowest in VEM Q1 (Table 1). However, the vaccination rate increased the most in VEM Q1 following the equity allocation, going from 9998 vaccinations/100,000 in the four weeks before the equity allocation to 18146 vaccinations/100,000 in the four weeks after (Table 1).</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VEM Quartile</w:t>
            </w:r>
          </w:p>
        </w:tc>
        <w:tc>
          <w:tcPr/>
          <w:p>
            <w:pPr>
              <w:pStyle w:val="Compact"/>
              <w:jc w:val="right"/>
            </w:pPr>
            <w:r>
              <w:t xml:space="preserve">Population</w:t>
            </w:r>
          </w:p>
        </w:tc>
        <w:tc>
          <w:tcPr/>
          <w:p>
            <w:pPr>
              <w:pStyle w:val="Compact"/>
              <w:jc w:val="left"/>
            </w:pPr>
            <w:r>
              <w:t xml:space="preserve">Before</w:t>
            </w:r>
          </w:p>
        </w:tc>
        <w:tc>
          <w:tcPr/>
          <w:p>
            <w:pPr>
              <w:pStyle w:val="Compact"/>
              <w:jc w:val="left"/>
            </w:pPr>
            <w:r>
              <w:t xml:space="preserve">After</w:t>
            </w:r>
          </w:p>
        </w:tc>
      </w:tr>
      <w:tr>
        <w:tc>
          <w:tcPr/>
          <w:p>
            <w:pPr>
              <w:pStyle w:val="Compact"/>
              <w:jc w:val="right"/>
            </w:pPr>
            <w:r>
              <w:t xml:space="preserve">1</w:t>
            </w:r>
          </w:p>
        </w:tc>
        <w:tc>
          <w:tcPr/>
          <w:p>
            <w:pPr>
              <w:pStyle w:val="Compact"/>
              <w:jc w:val="right"/>
            </w:pPr>
            <w:r>
              <w:t xml:space="preserve">10617434</w:t>
            </w:r>
          </w:p>
        </w:tc>
        <w:tc>
          <w:tcPr/>
          <w:p>
            <w:pPr>
              <w:pStyle w:val="Compact"/>
              <w:jc w:val="left"/>
            </w:pPr>
            <w:r>
              <w:t xml:space="preserve">1061509 (9998)</w:t>
            </w:r>
          </w:p>
        </w:tc>
        <w:tc>
          <w:tcPr/>
          <w:p>
            <w:pPr>
              <w:pStyle w:val="Compact"/>
              <w:jc w:val="left"/>
            </w:pPr>
            <w:r>
              <w:t xml:space="preserve">1926615 (18146)</w:t>
            </w:r>
          </w:p>
        </w:tc>
      </w:tr>
      <w:tr>
        <w:tc>
          <w:tcPr/>
          <w:p>
            <w:pPr>
              <w:pStyle w:val="Compact"/>
              <w:jc w:val="right"/>
            </w:pPr>
            <w:r>
              <w:t xml:space="preserve">2</w:t>
            </w:r>
          </w:p>
        </w:tc>
        <w:tc>
          <w:tcPr/>
          <w:p>
            <w:pPr>
              <w:pStyle w:val="Compact"/>
              <w:jc w:val="right"/>
            </w:pPr>
            <w:r>
              <w:t xml:space="preserve">9902750</w:t>
            </w:r>
          </w:p>
        </w:tc>
        <w:tc>
          <w:tcPr/>
          <w:p>
            <w:pPr>
              <w:pStyle w:val="Compact"/>
              <w:jc w:val="left"/>
            </w:pPr>
            <w:r>
              <w:t xml:space="preserve">1386711 (14003)</w:t>
            </w:r>
          </w:p>
        </w:tc>
        <w:tc>
          <w:tcPr/>
          <w:p>
            <w:pPr>
              <w:pStyle w:val="Compact"/>
              <w:jc w:val="left"/>
            </w:pPr>
            <w:r>
              <w:t xml:space="preserve">2085838 (21063)</w:t>
            </w:r>
          </w:p>
        </w:tc>
      </w:tr>
      <w:tr>
        <w:tc>
          <w:tcPr/>
          <w:p>
            <w:pPr>
              <w:pStyle w:val="Compact"/>
              <w:jc w:val="right"/>
            </w:pPr>
            <w:r>
              <w:t xml:space="preserve">3</w:t>
            </w:r>
          </w:p>
        </w:tc>
        <w:tc>
          <w:tcPr/>
          <w:p>
            <w:pPr>
              <w:pStyle w:val="Compact"/>
              <w:jc w:val="right"/>
            </w:pPr>
            <w:r>
              <w:t xml:space="preserve">9397006</w:t>
            </w:r>
          </w:p>
        </w:tc>
        <w:tc>
          <w:tcPr/>
          <w:p>
            <w:pPr>
              <w:pStyle w:val="Compact"/>
              <w:jc w:val="left"/>
            </w:pPr>
            <w:r>
              <w:t xml:space="preserve">1641233 (17465)</w:t>
            </w:r>
          </w:p>
        </w:tc>
        <w:tc>
          <w:tcPr/>
          <w:p>
            <w:pPr>
              <w:pStyle w:val="Compact"/>
              <w:jc w:val="left"/>
            </w:pPr>
            <w:r>
              <w:t xml:space="preserve">2285986 (24327)</w:t>
            </w:r>
          </w:p>
        </w:tc>
      </w:tr>
      <w:tr>
        <w:tc>
          <w:tcPr/>
          <w:p>
            <w:pPr>
              <w:pStyle w:val="Compact"/>
              <w:jc w:val="right"/>
            </w:pPr>
            <w:r>
              <w:t xml:space="preserve">4</w:t>
            </w:r>
          </w:p>
        </w:tc>
        <w:tc>
          <w:tcPr/>
          <w:p>
            <w:pPr>
              <w:pStyle w:val="Compact"/>
              <w:jc w:val="right"/>
            </w:pPr>
            <w:r>
              <w:t xml:space="preserve">9298697</w:t>
            </w:r>
          </w:p>
        </w:tc>
        <w:tc>
          <w:tcPr/>
          <w:p>
            <w:pPr>
              <w:pStyle w:val="Compact"/>
              <w:jc w:val="left"/>
            </w:pPr>
            <w:r>
              <w:t xml:space="preserve">1898517 (20417)</w:t>
            </w:r>
          </w:p>
        </w:tc>
        <w:tc>
          <w:tcPr/>
          <w:p>
            <w:pPr>
              <w:pStyle w:val="Compact"/>
              <w:jc w:val="left"/>
            </w:pPr>
            <w:r>
              <w:t xml:space="preserve">2589952 (27853)</w:t>
            </w:r>
          </w:p>
        </w:tc>
      </w:tr>
    </w:tbl>
    <w:bookmarkEnd w:id="27"/>
    <w:bookmarkStart w:id="28" w:name="diff-in-diff-and-sensitivity-analyses"/>
    <w:p>
      <w:pPr>
        <w:pStyle w:val="Heading3"/>
      </w:pPr>
      <w:r>
        <w:t xml:space="preserve">Diff in diff and sensitivity analyses</w:t>
      </w:r>
    </w:p>
    <w:p>
      <w:pPr>
        <w:pStyle w:val="FirstParagraph"/>
      </w:pPr>
      <w:r>
        <w:t xml:space="preserve">From the DiD model, the vaccination rate in VEM Q1 zip codes in the four weeks following the equity allocation was estimated to increase by an additional 28.4% (95%CI: 22.1% - 35.1%) compared to all non-VEM Q1 zip codes. Adjusting for the proportion of the population unvaccinated led to a slight increase in the effect estimate to 26.9 (95%CI: 20.9% - 33.1%). Pairwise comparisons among all VEM quartiles in the negative controls analysis suggest there were also significant relative increases in the vaccination rate among VEM Q2 zip codes compared to VEM Q3 and Q4 zip codes (8% (2.4% - 13.8%) and 10.3% (5% - 15.7%), respectively) in the after-policy period. These increases were smaller than the rate increases in VEM Q1 compared to Q3 and Q4, but may suggest te presence of additional factors that influenced vaccination rates at the time the policy was implemented (Supplementary table X). Finally, restricting the analysis to zip codes in the second or third VEM octiles for better exchangeability between treated and untreated groups led to a reduced estimate of 8.9% (95%CI: 1.1% - 17.2%).</w:t>
      </w:r>
    </w:p>
    <w:p>
      <w:pPr>
        <w:pStyle w:val="TableCaption"/>
      </w:pPr>
      <w:r>
        <w:t xml:space="preserve">Difference in differences estimates for negative controls sensitivity analysis comparing all combinations of VEM quartiles</w:t>
      </w:r>
    </w:p>
    <w:tbl>
      <w:tblPr>
        <w:tblStyle w:val="Table"/>
        <w:tblW w:type="pct" w:w="5000"/>
        <w:tblLook w:firstRow="1" w:lastRow="0" w:firstColumn="0" w:lastColumn="0" w:noHBand="0" w:noVBand="0" w:val="0020"/>
        <w:tblCaption w:val="Difference in differences estimates for negative controls sensitivity analysis comparing all combinations of VEM quartiles"/>
      </w:tblPr>
      <w:tblGrid>
        <w:gridCol w:w="1391"/>
        <w:gridCol w:w="2354"/>
        <w:gridCol w:w="2033"/>
        <w:gridCol w:w="2140"/>
      </w:tblGrid>
      <w:tr>
        <w:trPr>
          <w:tblHeader w:val="true"/>
        </w:trPr>
        <w:tc>
          <w:tcPr/>
          <w:p>
            <w:pPr>
              <w:pStyle w:val="Compact"/>
              <w:jc w:val="right"/>
            </w:pPr>
            <w:r>
              <w:t xml:space="preserve">Ref Quartile</w:t>
            </w:r>
          </w:p>
        </w:tc>
        <w:tc>
          <w:tcPr/>
          <w:p>
            <w:pPr>
              <w:pStyle w:val="Compact"/>
              <w:jc w:val="left"/>
            </w:pPr>
            <w:r>
              <w:t xml:space="preserve">VEM Q1</w:t>
            </w:r>
          </w:p>
        </w:tc>
        <w:tc>
          <w:tcPr/>
          <w:p>
            <w:pPr>
              <w:pStyle w:val="Compact"/>
              <w:jc w:val="left"/>
            </w:pPr>
            <w:r>
              <w:t xml:space="preserve">VEM Q2</w:t>
            </w:r>
          </w:p>
        </w:tc>
        <w:tc>
          <w:tcPr/>
          <w:p>
            <w:pPr>
              <w:pStyle w:val="Compact"/>
              <w:jc w:val="left"/>
            </w:pPr>
            <w:r>
              <w:t xml:space="preserve">VEM Q3</w:t>
            </w:r>
          </w:p>
        </w:tc>
      </w:tr>
      <w:tr>
        <w:tc>
          <w:tcPr/>
          <w:p>
            <w:pPr>
              <w:pStyle w:val="Compact"/>
              <w:jc w:val="right"/>
            </w:pPr>
            <w:r>
              <w:t xml:space="preserve">2</w:t>
            </w:r>
          </w:p>
        </w:tc>
        <w:tc>
          <w:tcPr/>
          <w:p>
            <w:pPr>
              <w:pStyle w:val="Compact"/>
              <w:jc w:val="left"/>
            </w:pPr>
            <w:r>
              <w:t xml:space="preserve">20.7% (13.8% - 27.9%)</w:t>
            </w: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30.3% (23% - 38.1%)</w:t>
            </w:r>
          </w:p>
        </w:tc>
        <w:tc>
          <w:tcPr/>
          <w:p>
            <w:pPr>
              <w:pStyle w:val="Compact"/>
              <w:jc w:val="left"/>
            </w:pPr>
            <w:r>
              <w:t xml:space="preserve">8% (2.4% - 13.8%)</w:t>
            </w:r>
          </w:p>
        </w:tc>
        <w:tc>
          <w:tcPr/>
          <w:p>
            <w:pPr>
              <w:pStyle w:val="Compact"/>
            </w:pPr>
          </w:p>
        </w:tc>
      </w:tr>
      <w:tr>
        <w:tc>
          <w:tcPr/>
          <w:p>
            <w:pPr>
              <w:pStyle w:val="Compact"/>
              <w:jc w:val="right"/>
            </w:pPr>
            <w:r>
              <w:t xml:space="preserve">4</w:t>
            </w:r>
          </w:p>
        </w:tc>
        <w:tc>
          <w:tcPr/>
          <w:p>
            <w:pPr>
              <w:pStyle w:val="Compact"/>
              <w:jc w:val="left"/>
            </w:pPr>
            <w:r>
              <w:t xml:space="preserve">33% (26.2% - 40.3%)</w:t>
            </w:r>
          </w:p>
        </w:tc>
        <w:tc>
          <w:tcPr/>
          <w:p>
            <w:pPr>
              <w:pStyle w:val="Compact"/>
              <w:jc w:val="left"/>
            </w:pPr>
            <w:r>
              <w:t xml:space="preserve">10.3% (5% - 15.7%)</w:t>
            </w:r>
          </w:p>
        </w:tc>
        <w:tc>
          <w:tcPr/>
          <w:p>
            <w:pPr>
              <w:pStyle w:val="Compact"/>
              <w:jc w:val="left"/>
            </w:pPr>
            <w:r>
              <w:t xml:space="preserve">2.1% (-2.7% - 7.1%)</w:t>
            </w:r>
          </w:p>
        </w:tc>
      </w:tr>
    </w:tbl>
    <w:p/>
    <w:p>
      <w:pPr>
        <w:pStyle w:val="TableCaption"/>
      </w:pPr>
      <w:r>
        <w:t xml:space="preserve">Difference in differences estimates for negative controls sensitivity analysis comparing all combinations of VEM quartiles and using different pre/post policy periods.</w:t>
      </w:r>
    </w:p>
    <w:tbl>
      <w:tblPr>
        <w:tblStyle w:val="Table"/>
        <w:tblW w:type="pct" w:w="5000"/>
        <w:tblLook w:firstRow="1" w:lastRow="0" w:firstColumn="0" w:lastColumn="0" w:noHBand="0" w:noVBand="0" w:val="0020"/>
        <w:tblCaption w:val="Difference in differences estimates for negative controls sensitivity analysis comparing all combinations of VEM quartiles and using different pre/post policy periods."/>
      </w:tblPr>
      <w:tblGrid>
        <w:gridCol w:w="1107"/>
        <w:gridCol w:w="1362"/>
        <w:gridCol w:w="1873"/>
        <w:gridCol w:w="1788"/>
        <w:gridCol w:w="1788"/>
      </w:tblGrid>
      <w:tr>
        <w:trPr>
          <w:tblHeader w:val="true"/>
        </w:trPr>
        <w:tc>
          <w:tcPr/>
          <w:p>
            <w:pPr>
              <w:pStyle w:val="Compact"/>
              <w:jc w:val="right"/>
            </w:pPr>
            <w:r>
              <w:t xml:space="preserve">Ref Quartile</w:t>
            </w:r>
          </w:p>
        </w:tc>
        <w:tc>
          <w:tcPr/>
          <w:p>
            <w:pPr>
              <w:pStyle w:val="Compact"/>
              <w:jc w:val="left"/>
            </w:pPr>
            <w:r>
              <w:t xml:space="preserve">Pre/Post Period</w:t>
            </w:r>
          </w:p>
        </w:tc>
        <w:tc>
          <w:tcPr/>
          <w:p>
            <w:pPr>
              <w:pStyle w:val="Compact"/>
              <w:jc w:val="left"/>
            </w:pPr>
            <w:r>
              <w:t xml:space="preserve">VEM Q1</w:t>
            </w:r>
          </w:p>
        </w:tc>
        <w:tc>
          <w:tcPr/>
          <w:p>
            <w:pPr>
              <w:pStyle w:val="Compact"/>
              <w:jc w:val="left"/>
            </w:pPr>
            <w:r>
              <w:t xml:space="preserve">VEM Q2</w:t>
            </w:r>
          </w:p>
        </w:tc>
        <w:tc>
          <w:tcPr/>
          <w:p>
            <w:pPr>
              <w:pStyle w:val="Compact"/>
              <w:jc w:val="left"/>
            </w:pPr>
            <w:r>
              <w:t xml:space="preserve">VEM Q3</w:t>
            </w:r>
          </w:p>
        </w:tc>
      </w:tr>
      <w:tr>
        <w:tc>
          <w:tcPr/>
          <w:p>
            <w:pPr>
              <w:pStyle w:val="Compact"/>
              <w:jc w:val="right"/>
            </w:pPr>
            <w:r>
              <w:t xml:space="preserve">2</w:t>
            </w:r>
          </w:p>
        </w:tc>
        <w:tc>
          <w:tcPr/>
          <w:p>
            <w:pPr>
              <w:pStyle w:val="Compact"/>
              <w:jc w:val="left"/>
            </w:pPr>
            <w:r>
              <w:t xml:space="preserve">8 weeks</w:t>
            </w:r>
          </w:p>
        </w:tc>
        <w:tc>
          <w:tcPr/>
          <w:p>
            <w:pPr>
              <w:pStyle w:val="Compact"/>
              <w:jc w:val="left"/>
            </w:pPr>
            <w:r>
              <w:t xml:space="preserve">26.7% (19.4% - 34.4%)</w:t>
            </w: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8 weeks</w:t>
            </w:r>
          </w:p>
        </w:tc>
        <w:tc>
          <w:tcPr/>
          <w:p>
            <w:pPr>
              <w:pStyle w:val="Compact"/>
              <w:jc w:val="left"/>
            </w:pPr>
            <w:r>
              <w:t xml:space="preserve">40.5% (32.5% - 48.9%)</w:t>
            </w:r>
          </w:p>
        </w:tc>
        <w:tc>
          <w:tcPr/>
          <w:p>
            <w:pPr>
              <w:pStyle w:val="Compact"/>
              <w:jc w:val="left"/>
            </w:pPr>
            <w:r>
              <w:t xml:space="preserve">10.9% (5.2% - 16.9%)</w:t>
            </w:r>
          </w:p>
        </w:tc>
        <w:tc>
          <w:tcPr/>
          <w:p>
            <w:pPr>
              <w:pStyle w:val="Compact"/>
            </w:pPr>
          </w:p>
        </w:tc>
      </w:tr>
      <w:tr>
        <w:tc>
          <w:tcPr/>
          <w:p>
            <w:pPr>
              <w:pStyle w:val="Compact"/>
              <w:jc w:val="right"/>
            </w:pPr>
            <w:r>
              <w:t xml:space="preserve">4</w:t>
            </w:r>
          </w:p>
        </w:tc>
        <w:tc>
          <w:tcPr/>
          <w:p>
            <w:pPr>
              <w:pStyle w:val="Compact"/>
              <w:jc w:val="left"/>
            </w:pPr>
            <w:r>
              <w:t xml:space="preserve">8 weeks</w:t>
            </w:r>
          </w:p>
        </w:tc>
        <w:tc>
          <w:tcPr/>
          <w:p>
            <w:pPr>
              <w:pStyle w:val="Compact"/>
              <w:jc w:val="left"/>
            </w:pPr>
            <w:r>
              <w:t xml:space="preserve">36.6% (29.3% - 44.4%)</w:t>
            </w:r>
          </w:p>
        </w:tc>
        <w:tc>
          <w:tcPr/>
          <w:p>
            <w:pPr>
              <w:pStyle w:val="Compact"/>
              <w:jc w:val="left"/>
            </w:pPr>
            <w:r>
              <w:t xml:space="preserve">7.9% (2.6% - 13.4%)</w:t>
            </w:r>
          </w:p>
        </w:tc>
        <w:tc>
          <w:tcPr/>
          <w:p>
            <w:pPr>
              <w:pStyle w:val="Compact"/>
              <w:jc w:val="left"/>
            </w:pPr>
            <w:r>
              <w:t xml:space="preserve">-2.8% (-7.3% - 2.1%)</w:t>
            </w:r>
          </w:p>
        </w:tc>
      </w:tr>
      <w:tr>
        <w:tc>
          <w:tcPr/>
          <w:p>
            <w:pPr>
              <w:pStyle w:val="Compact"/>
              <w:jc w:val="right"/>
            </w:pPr>
            <w:r>
              <w:t xml:space="preserve">2</w:t>
            </w:r>
          </w:p>
        </w:tc>
        <w:tc>
          <w:tcPr/>
          <w:p>
            <w:pPr>
              <w:pStyle w:val="Compact"/>
              <w:jc w:val="left"/>
            </w:pPr>
            <w:r>
              <w:t xml:space="preserve">4 weeks</w:t>
            </w:r>
          </w:p>
        </w:tc>
        <w:tc>
          <w:tcPr/>
          <w:p>
            <w:pPr>
              <w:pStyle w:val="Compact"/>
              <w:jc w:val="left"/>
            </w:pPr>
            <w:r>
              <w:t xml:space="preserve">20.7% (13.8% - 27.9%)</w:t>
            </w: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4 weeks</w:t>
            </w:r>
          </w:p>
        </w:tc>
        <w:tc>
          <w:tcPr/>
          <w:p>
            <w:pPr>
              <w:pStyle w:val="Compact"/>
              <w:jc w:val="left"/>
            </w:pPr>
            <w:r>
              <w:t xml:space="preserve">30.3% (23% - 38.1%)</w:t>
            </w:r>
          </w:p>
        </w:tc>
        <w:tc>
          <w:tcPr/>
          <w:p>
            <w:pPr>
              <w:pStyle w:val="Compact"/>
              <w:jc w:val="left"/>
            </w:pPr>
            <w:r>
              <w:t xml:space="preserve">8% (2.4% - 13.8%)</w:t>
            </w:r>
          </w:p>
        </w:tc>
        <w:tc>
          <w:tcPr/>
          <w:p>
            <w:pPr>
              <w:pStyle w:val="Compact"/>
            </w:pPr>
          </w:p>
        </w:tc>
      </w:tr>
      <w:tr>
        <w:tc>
          <w:tcPr/>
          <w:p>
            <w:pPr>
              <w:pStyle w:val="Compact"/>
              <w:jc w:val="right"/>
            </w:pPr>
            <w:r>
              <w:t xml:space="preserve">4</w:t>
            </w:r>
          </w:p>
        </w:tc>
        <w:tc>
          <w:tcPr/>
          <w:p>
            <w:pPr>
              <w:pStyle w:val="Compact"/>
              <w:jc w:val="left"/>
            </w:pPr>
            <w:r>
              <w:t xml:space="preserve">4 weeks</w:t>
            </w:r>
          </w:p>
        </w:tc>
        <w:tc>
          <w:tcPr/>
          <w:p>
            <w:pPr>
              <w:pStyle w:val="Compact"/>
              <w:jc w:val="left"/>
            </w:pPr>
            <w:r>
              <w:t xml:space="preserve">33% (26.2% - 40.3%)</w:t>
            </w:r>
          </w:p>
        </w:tc>
        <w:tc>
          <w:tcPr/>
          <w:p>
            <w:pPr>
              <w:pStyle w:val="Compact"/>
              <w:jc w:val="left"/>
            </w:pPr>
            <w:r>
              <w:t xml:space="preserve">10.3% (5% - 15.7%)</w:t>
            </w:r>
          </w:p>
        </w:tc>
        <w:tc>
          <w:tcPr/>
          <w:p>
            <w:pPr>
              <w:pStyle w:val="Compact"/>
              <w:jc w:val="left"/>
            </w:pPr>
            <w:r>
              <w:t xml:space="preserve">2.1% (-2.7% - 7.1%)</w:t>
            </w:r>
          </w:p>
        </w:tc>
      </w:tr>
      <w:tr>
        <w:tc>
          <w:tcPr/>
          <w:p>
            <w:pPr>
              <w:pStyle w:val="Compact"/>
              <w:jc w:val="right"/>
            </w:pPr>
            <w:r>
              <w:t xml:space="preserve">2</w:t>
            </w:r>
          </w:p>
        </w:tc>
        <w:tc>
          <w:tcPr/>
          <w:p>
            <w:pPr>
              <w:pStyle w:val="Compact"/>
              <w:jc w:val="left"/>
            </w:pPr>
            <w:r>
              <w:t xml:space="preserve">2 weeks</w:t>
            </w:r>
          </w:p>
        </w:tc>
        <w:tc>
          <w:tcPr/>
          <w:p>
            <w:pPr>
              <w:pStyle w:val="Compact"/>
              <w:jc w:val="left"/>
            </w:pPr>
            <w:r>
              <w:t xml:space="preserve">11.9% (5.4% - 18.8%)</w:t>
            </w: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2 weeks</w:t>
            </w:r>
          </w:p>
        </w:tc>
        <w:tc>
          <w:tcPr/>
          <w:p>
            <w:pPr>
              <w:pStyle w:val="Compact"/>
              <w:jc w:val="left"/>
            </w:pPr>
            <w:r>
              <w:t xml:space="preserve">19.7% (12.6% - 27.1%)</w:t>
            </w:r>
          </w:p>
        </w:tc>
        <w:tc>
          <w:tcPr/>
          <w:p>
            <w:pPr>
              <w:pStyle w:val="Compact"/>
              <w:jc w:val="left"/>
            </w:pPr>
            <w:r>
              <w:t xml:space="preserve">6.9% (1.3% - 12.9%)</w:t>
            </w:r>
          </w:p>
        </w:tc>
        <w:tc>
          <w:tcPr/>
          <w:p>
            <w:pPr>
              <w:pStyle w:val="Compact"/>
            </w:pPr>
          </w:p>
        </w:tc>
      </w:tr>
      <w:tr>
        <w:tc>
          <w:tcPr/>
          <w:p>
            <w:pPr>
              <w:pStyle w:val="Compact"/>
              <w:jc w:val="right"/>
            </w:pPr>
            <w:r>
              <w:t xml:space="preserve">4</w:t>
            </w:r>
          </w:p>
        </w:tc>
        <w:tc>
          <w:tcPr/>
          <w:p>
            <w:pPr>
              <w:pStyle w:val="Compact"/>
              <w:jc w:val="left"/>
            </w:pPr>
            <w:r>
              <w:t xml:space="preserve">2 weeks</w:t>
            </w:r>
          </w:p>
        </w:tc>
        <w:tc>
          <w:tcPr/>
          <w:p>
            <w:pPr>
              <w:pStyle w:val="Compact"/>
              <w:jc w:val="left"/>
            </w:pPr>
            <w:r>
              <w:t xml:space="preserve">24.9% (18.2% - 32%)</w:t>
            </w:r>
          </w:p>
        </w:tc>
        <w:tc>
          <w:tcPr/>
          <w:p>
            <w:pPr>
              <w:pStyle w:val="Compact"/>
              <w:jc w:val="left"/>
            </w:pPr>
            <w:r>
              <w:t xml:space="preserve">11.6% (6.2% - 17.4%)</w:t>
            </w:r>
          </w:p>
        </w:tc>
        <w:tc>
          <w:tcPr/>
          <w:p>
            <w:pPr>
              <w:pStyle w:val="Compact"/>
              <w:jc w:val="left"/>
            </w:pPr>
            <w:r>
              <w:t xml:space="preserve">4.4% (-0.7% - 9.8%)</w:t>
            </w:r>
          </w:p>
        </w:tc>
      </w:tr>
    </w:tbl>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www.gov.ca.gov/wp-content/uploads/2021/03/Equitable-Vaccine-Administration-Fact-Sheet.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gov.ca.gov/wp-content/uploads/2021/03/Equitable-Vaccine-Administration-Fac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Allocation Impact Evaluation</dc:title>
  <dc:creator>Chris Hoover et al</dc:creator>
  <cp:keywords/>
  <dcterms:created xsi:type="dcterms:W3CDTF">2023-11-24T23:35:25Z</dcterms:created>
  <dcterms:modified xsi:type="dcterms:W3CDTF">2023-11-24T23:35:25Z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2023-11-24</vt:lpwstr>
  </property>
  <property fmtid="{D5CDD505-2E9C-101B-9397-08002B2CF9AE}" pid="3" name="output">
    <vt:lpwstr>word_document</vt:lpwstr>
  </property>
</Properties>
</file>