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FB19" w14:textId="77777777" w:rsidR="00FC50B8" w:rsidRPr="001E297B" w:rsidRDefault="00FC50B8" w:rsidP="00FC50B8">
      <w:pPr>
        <w:spacing w:after="0" w:line="480" w:lineRule="auto"/>
        <w:rPr>
          <w:rFonts w:ascii="Courier New" w:hAnsi="Courier New" w:cs="Courier New"/>
          <w:b/>
          <w:bCs/>
          <w:sz w:val="24"/>
          <w:szCs w:val="24"/>
        </w:rPr>
      </w:pPr>
      <w:r w:rsidRPr="001E297B">
        <w:rPr>
          <w:rFonts w:ascii="Courier New" w:hAnsi="Courier New" w:cs="Courier New"/>
          <w:b/>
          <w:bCs/>
          <w:sz w:val="24"/>
          <w:szCs w:val="24"/>
        </w:rPr>
        <w:t>Evaluation of an equity-focused vaccine allocation policy on vaccination rates and COVID-19 outcomes in California, 2021</w:t>
      </w:r>
    </w:p>
    <w:p w14:paraId="44B8B163" w14:textId="77777777" w:rsidR="001E297B" w:rsidRPr="00FC50B8" w:rsidRDefault="001E297B" w:rsidP="00FC50B8">
      <w:pPr>
        <w:spacing w:after="0" w:line="480" w:lineRule="auto"/>
        <w:rPr>
          <w:rFonts w:ascii="Courier New" w:hAnsi="Courier New" w:cs="Courier New"/>
          <w:sz w:val="24"/>
          <w:szCs w:val="24"/>
        </w:rPr>
      </w:pPr>
    </w:p>
    <w:p w14:paraId="0AA487CE" w14:textId="1338BEBF" w:rsidR="00FC50B8" w:rsidRPr="001E297B" w:rsidRDefault="001E297B" w:rsidP="00FC50B8">
      <w:pPr>
        <w:spacing w:after="0" w:line="480" w:lineRule="auto"/>
        <w:rPr>
          <w:rFonts w:ascii="Courier New" w:hAnsi="Courier New" w:cs="Courier New"/>
          <w:b/>
          <w:bCs/>
          <w:sz w:val="24"/>
          <w:szCs w:val="24"/>
        </w:rPr>
      </w:pPr>
      <w:r w:rsidRPr="001E297B">
        <w:rPr>
          <w:rFonts w:ascii="Courier New" w:hAnsi="Courier New" w:cs="Courier New"/>
          <w:b/>
          <w:bCs/>
          <w:sz w:val="24"/>
          <w:szCs w:val="24"/>
        </w:rPr>
        <w:t>ABSTRACT</w:t>
      </w:r>
    </w:p>
    <w:p w14:paraId="026D844D" w14:textId="4999CBEF" w:rsidR="001E297B"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t>In March 2021, California implemented a vaccine equity policy that prioritized COVID-19 vaccine allocation to communities identified as least advantaged by an area-based socioeconomic measure, the Healthy Places Index (HPI). We conducted quasi-experimental and counterfactual analyses to estimate the effect of this policy on COVID-19 vaccination, case, hospitalization, and death rates. Among prioritized communities, vaccination rates increased 28.4% (95%</w:t>
      </w:r>
      <w:r w:rsidR="00204B9A">
        <w:rPr>
          <w:rFonts w:ascii="Courier New" w:hAnsi="Courier New" w:cs="Courier New"/>
          <w:sz w:val="24"/>
          <w:szCs w:val="24"/>
        </w:rPr>
        <w:t xml:space="preserve"> </w:t>
      </w:r>
      <w:r w:rsidRPr="00FC50B8">
        <w:rPr>
          <w:rFonts w:ascii="Courier New" w:hAnsi="Courier New" w:cs="Courier New"/>
          <w:sz w:val="24"/>
          <w:szCs w:val="24"/>
        </w:rPr>
        <w:t>CI: 22.1</w:t>
      </w:r>
      <w:r w:rsidR="00204B9A">
        <w:rPr>
          <w:rFonts w:ascii="Courier New" w:hAnsi="Courier New" w:cs="Courier New"/>
          <w:sz w:val="24"/>
          <w:szCs w:val="24"/>
        </w:rPr>
        <w:t xml:space="preserve">, </w:t>
      </w:r>
      <w:r w:rsidRPr="00FC50B8">
        <w:rPr>
          <w:rFonts w:ascii="Courier New" w:hAnsi="Courier New" w:cs="Courier New"/>
          <w:sz w:val="24"/>
          <w:szCs w:val="24"/>
        </w:rPr>
        <w:t>35.1) following policy implementation. Furthermore, an estimated 160,892</w:t>
      </w:r>
      <w:r w:rsidR="00204B9A">
        <w:rPr>
          <w:rFonts w:ascii="Courier New" w:hAnsi="Courier New" w:cs="Courier New"/>
          <w:sz w:val="24"/>
          <w:szCs w:val="24"/>
        </w:rPr>
        <w:t xml:space="preserve"> </w:t>
      </w:r>
      <w:r w:rsidR="00204B9A" w:rsidRPr="00FC50B8">
        <w:rPr>
          <w:rFonts w:ascii="Courier New" w:hAnsi="Courier New" w:cs="Courier New"/>
          <w:sz w:val="24"/>
          <w:szCs w:val="24"/>
        </w:rPr>
        <w:t>COVID-19 cases</w:t>
      </w:r>
      <w:r w:rsidRPr="00FC50B8">
        <w:rPr>
          <w:rFonts w:ascii="Courier New" w:hAnsi="Courier New" w:cs="Courier New"/>
          <w:sz w:val="24"/>
          <w:szCs w:val="24"/>
        </w:rPr>
        <w:t xml:space="preserve"> (95%</w:t>
      </w:r>
      <w:r w:rsidR="00204B9A">
        <w:rPr>
          <w:rFonts w:ascii="Courier New" w:hAnsi="Courier New" w:cs="Courier New"/>
          <w:sz w:val="24"/>
          <w:szCs w:val="24"/>
        </w:rPr>
        <w:t xml:space="preserve"> </w:t>
      </w:r>
      <w:r w:rsidRPr="00FC50B8">
        <w:rPr>
          <w:rFonts w:ascii="Courier New" w:hAnsi="Courier New" w:cs="Courier New"/>
          <w:sz w:val="24"/>
          <w:szCs w:val="24"/>
        </w:rPr>
        <w:t>CI: 108,878</w:t>
      </w:r>
      <w:r w:rsidR="00204B9A">
        <w:rPr>
          <w:rFonts w:ascii="Courier New" w:hAnsi="Courier New" w:cs="Courier New"/>
          <w:sz w:val="24"/>
          <w:szCs w:val="24"/>
        </w:rPr>
        <w:t xml:space="preserve">, </w:t>
      </w:r>
      <w:r w:rsidRPr="00FC50B8">
        <w:rPr>
          <w:rFonts w:ascii="Courier New" w:hAnsi="Courier New" w:cs="Courier New"/>
          <w:sz w:val="24"/>
          <w:szCs w:val="24"/>
        </w:rPr>
        <w:t>221,815), 10,248</w:t>
      </w:r>
      <w:r w:rsidR="00204B9A">
        <w:rPr>
          <w:rFonts w:ascii="Courier New" w:hAnsi="Courier New" w:cs="Courier New"/>
          <w:sz w:val="24"/>
          <w:szCs w:val="24"/>
        </w:rPr>
        <w:t xml:space="preserve"> </w:t>
      </w:r>
      <w:r w:rsidR="00204B9A" w:rsidRPr="00FC50B8">
        <w:rPr>
          <w:rFonts w:ascii="Courier New" w:hAnsi="Courier New" w:cs="Courier New"/>
          <w:sz w:val="24"/>
          <w:szCs w:val="24"/>
        </w:rPr>
        <w:t>hospitalizations</w:t>
      </w:r>
      <w:r w:rsidRPr="00FC50B8">
        <w:rPr>
          <w:rFonts w:ascii="Courier New" w:hAnsi="Courier New" w:cs="Courier New"/>
          <w:sz w:val="24"/>
          <w:szCs w:val="24"/>
        </w:rPr>
        <w:t xml:space="preserve"> (95%</w:t>
      </w:r>
      <w:r w:rsidR="00204B9A">
        <w:rPr>
          <w:rFonts w:ascii="Courier New" w:hAnsi="Courier New" w:cs="Courier New"/>
          <w:sz w:val="24"/>
          <w:szCs w:val="24"/>
        </w:rPr>
        <w:t xml:space="preserve"> </w:t>
      </w:r>
      <w:r w:rsidRPr="00FC50B8">
        <w:rPr>
          <w:rFonts w:ascii="Courier New" w:hAnsi="Courier New" w:cs="Courier New"/>
          <w:sz w:val="24"/>
          <w:szCs w:val="24"/>
        </w:rPr>
        <w:t>CI: 6,111</w:t>
      </w:r>
      <w:r w:rsidR="00204B9A">
        <w:rPr>
          <w:rFonts w:ascii="Courier New" w:hAnsi="Courier New" w:cs="Courier New"/>
          <w:sz w:val="24"/>
          <w:szCs w:val="24"/>
        </w:rPr>
        <w:t xml:space="preserve">, </w:t>
      </w:r>
      <w:r w:rsidRPr="00FC50B8">
        <w:rPr>
          <w:rFonts w:ascii="Courier New" w:hAnsi="Courier New" w:cs="Courier New"/>
          <w:sz w:val="24"/>
          <w:szCs w:val="24"/>
        </w:rPr>
        <w:t>14,853), and 679</w:t>
      </w:r>
      <w:r w:rsidR="00204B9A">
        <w:rPr>
          <w:rFonts w:ascii="Courier New" w:hAnsi="Courier New" w:cs="Courier New"/>
          <w:sz w:val="24"/>
          <w:szCs w:val="24"/>
        </w:rPr>
        <w:t xml:space="preserve"> </w:t>
      </w:r>
      <w:r w:rsidR="00204B9A" w:rsidRPr="00FC50B8">
        <w:rPr>
          <w:rFonts w:ascii="Courier New" w:hAnsi="Courier New" w:cs="Courier New"/>
          <w:sz w:val="24"/>
          <w:szCs w:val="24"/>
        </w:rPr>
        <w:t>deaths</w:t>
      </w:r>
      <w:r w:rsidRPr="00FC50B8">
        <w:rPr>
          <w:rFonts w:ascii="Courier New" w:hAnsi="Courier New" w:cs="Courier New"/>
          <w:sz w:val="24"/>
          <w:szCs w:val="24"/>
        </w:rPr>
        <w:t xml:space="preserve"> (95%</w:t>
      </w:r>
      <w:r w:rsidR="00204B9A">
        <w:rPr>
          <w:rFonts w:ascii="Courier New" w:hAnsi="Courier New" w:cs="Courier New"/>
          <w:sz w:val="24"/>
          <w:szCs w:val="24"/>
        </w:rPr>
        <w:t xml:space="preserve"> </w:t>
      </w:r>
      <w:r w:rsidRPr="00FC50B8">
        <w:rPr>
          <w:rFonts w:ascii="Courier New" w:hAnsi="Courier New" w:cs="Courier New"/>
          <w:sz w:val="24"/>
          <w:szCs w:val="24"/>
        </w:rPr>
        <w:t>CI: -32</w:t>
      </w:r>
      <w:r w:rsidR="00204B9A">
        <w:rPr>
          <w:rFonts w:ascii="Courier New" w:hAnsi="Courier New" w:cs="Courier New"/>
          <w:sz w:val="24"/>
          <w:szCs w:val="24"/>
        </w:rPr>
        <w:t xml:space="preserve">, </w:t>
      </w:r>
      <w:r w:rsidRPr="00FC50B8">
        <w:rPr>
          <w:rFonts w:ascii="Courier New" w:hAnsi="Courier New" w:cs="Courier New"/>
          <w:sz w:val="24"/>
          <w:szCs w:val="24"/>
        </w:rPr>
        <w:t xml:space="preserve">1,451) in the least advantaged communities were averted by the policy. Despite these improvements, the share of COVID-19 cases, hospitalizations, and deaths in prioritized communities remained elevated. These estimates were robust in sensitivity analyses that tested exchangeability between prioritized communities and those not prioritized by the policy, model specifications, and potential temporal confounders including prior infections. Correcting for disparities by strategically allocating limited resources to the least advantaged or most impacted communities can reduce the </w:t>
      </w:r>
      <w:r w:rsidRPr="00FC50B8">
        <w:rPr>
          <w:rFonts w:ascii="Courier New" w:hAnsi="Courier New" w:cs="Courier New"/>
          <w:sz w:val="24"/>
          <w:szCs w:val="24"/>
        </w:rPr>
        <w:lastRenderedPageBreak/>
        <w:t xml:space="preserve">impacts of COVID-19 and other </w:t>
      </w:r>
      <w:r w:rsidR="00495965" w:rsidRPr="00FC50B8">
        <w:rPr>
          <w:rFonts w:ascii="Courier New" w:hAnsi="Courier New" w:cs="Courier New"/>
          <w:sz w:val="24"/>
          <w:szCs w:val="24"/>
        </w:rPr>
        <w:t>diseases but</w:t>
      </w:r>
      <w:r w:rsidRPr="00FC50B8">
        <w:rPr>
          <w:rFonts w:ascii="Courier New" w:hAnsi="Courier New" w:cs="Courier New"/>
          <w:sz w:val="24"/>
          <w:szCs w:val="24"/>
        </w:rPr>
        <w:t xml:space="preserve"> may not eliminate health disparities.</w:t>
      </w:r>
    </w:p>
    <w:p w14:paraId="47A1FA86" w14:textId="77777777" w:rsidR="001E297B" w:rsidRDefault="001E297B" w:rsidP="00FC50B8">
      <w:pPr>
        <w:spacing w:after="0" w:line="480" w:lineRule="auto"/>
        <w:rPr>
          <w:rFonts w:ascii="Courier New" w:hAnsi="Courier New" w:cs="Courier New"/>
          <w:sz w:val="24"/>
          <w:szCs w:val="24"/>
        </w:rPr>
      </w:pPr>
    </w:p>
    <w:p w14:paraId="1B5EF915" w14:textId="62570533" w:rsidR="001E297B" w:rsidRDefault="006A1A5C" w:rsidP="00FC50B8">
      <w:pPr>
        <w:spacing w:after="0" w:line="480" w:lineRule="auto"/>
        <w:rPr>
          <w:rFonts w:ascii="Courier New" w:hAnsi="Courier New" w:cs="Courier New"/>
          <w:sz w:val="24"/>
          <w:szCs w:val="24"/>
        </w:rPr>
      </w:pPr>
      <w:r>
        <w:rPr>
          <w:rFonts w:ascii="Courier New" w:hAnsi="Courier New" w:cs="Courier New"/>
          <w:b/>
          <w:bCs/>
          <w:sz w:val="24"/>
          <w:szCs w:val="24"/>
        </w:rPr>
        <w:t>INTRODUCTION</w:t>
      </w:r>
    </w:p>
    <w:p w14:paraId="66AB4B81" w14:textId="156EC486" w:rsidR="001E297B"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t>Since the SARS-CoV-2 virus emerged in 2020, the COVID-19 pandemic has exacerbated and further unveiled longstanding health disparities in California, the United States, and the world</w:t>
      </w:r>
      <w:r w:rsidR="00204B9A">
        <w:rPr>
          <w:rFonts w:ascii="Courier New" w:hAnsi="Courier New" w:cs="Courier New"/>
          <w:sz w:val="24"/>
          <w:szCs w:val="24"/>
        </w:rPr>
        <w:t>.</w:t>
      </w:r>
      <w:r w:rsidR="00204B9A" w:rsidRPr="00204B9A">
        <w:rPr>
          <w:rFonts w:ascii="Courier New" w:hAnsi="Courier New" w:cs="Courier New"/>
          <w:sz w:val="24"/>
          <w:szCs w:val="24"/>
          <w:vertAlign w:val="superscript"/>
        </w:rPr>
        <w:t>1-4</w:t>
      </w:r>
      <w:r w:rsidRPr="00FC50B8">
        <w:rPr>
          <w:rFonts w:ascii="Courier New" w:hAnsi="Courier New" w:cs="Courier New"/>
          <w:sz w:val="24"/>
          <w:szCs w:val="24"/>
        </w:rPr>
        <w:t xml:space="preserve"> While these disparities are partially explained by differential rates of comorbidities and other medical risks</w:t>
      </w:r>
      <w:r w:rsidR="00204B9A">
        <w:rPr>
          <w:rFonts w:ascii="Courier New" w:hAnsi="Courier New" w:cs="Courier New"/>
          <w:sz w:val="24"/>
          <w:szCs w:val="24"/>
        </w:rPr>
        <w:t>,</w:t>
      </w:r>
      <w:r w:rsidRPr="00FC50B8">
        <w:rPr>
          <w:rFonts w:ascii="Courier New" w:hAnsi="Courier New" w:cs="Courier New"/>
          <w:sz w:val="24"/>
          <w:szCs w:val="24"/>
        </w:rPr>
        <w:t xml:space="preserve"> including age, social and structural determinants also play a key role</w:t>
      </w:r>
      <w:r w:rsidR="00204B9A">
        <w:rPr>
          <w:rFonts w:ascii="Courier New" w:hAnsi="Courier New" w:cs="Courier New"/>
          <w:sz w:val="24"/>
          <w:szCs w:val="24"/>
        </w:rPr>
        <w:t>.</w:t>
      </w:r>
      <w:r w:rsidR="00204B9A" w:rsidRPr="00204B9A">
        <w:rPr>
          <w:rFonts w:ascii="Courier New" w:hAnsi="Courier New" w:cs="Courier New"/>
          <w:sz w:val="24"/>
          <w:szCs w:val="24"/>
          <w:vertAlign w:val="superscript"/>
        </w:rPr>
        <w:t>5,6</w:t>
      </w:r>
      <w:r w:rsidR="00204B9A">
        <w:rPr>
          <w:rFonts w:ascii="Courier New" w:hAnsi="Courier New" w:cs="Courier New"/>
          <w:sz w:val="24"/>
          <w:szCs w:val="24"/>
        </w:rPr>
        <w:t xml:space="preserve"> </w:t>
      </w:r>
      <w:r w:rsidRPr="00FC50B8">
        <w:rPr>
          <w:rFonts w:ascii="Courier New" w:hAnsi="Courier New" w:cs="Courier New"/>
          <w:sz w:val="24"/>
          <w:szCs w:val="24"/>
        </w:rPr>
        <w:t>These social and structural factors led to disparities in access to testing, health</w:t>
      </w:r>
      <w:r w:rsidR="00B07806">
        <w:rPr>
          <w:rFonts w:ascii="Courier New" w:hAnsi="Courier New" w:cs="Courier New"/>
          <w:sz w:val="24"/>
          <w:szCs w:val="24"/>
        </w:rPr>
        <w:t xml:space="preserve"> </w:t>
      </w:r>
      <w:r w:rsidRPr="00FC50B8">
        <w:rPr>
          <w:rFonts w:ascii="Courier New" w:hAnsi="Courier New" w:cs="Courier New"/>
          <w:sz w:val="24"/>
          <w:szCs w:val="24"/>
        </w:rPr>
        <w:t>care, the opportunity to work remotely, the ability to isolate or quarantine, and other essential components of pandemic response strategies</w:t>
      </w:r>
      <w:r w:rsidR="00B07806">
        <w:rPr>
          <w:rFonts w:ascii="Courier New" w:hAnsi="Courier New" w:cs="Courier New"/>
          <w:sz w:val="24"/>
          <w:szCs w:val="24"/>
        </w:rPr>
        <w:t>,</w:t>
      </w:r>
      <w:r w:rsidRPr="00FC50B8">
        <w:rPr>
          <w:rFonts w:ascii="Courier New" w:hAnsi="Courier New" w:cs="Courier New"/>
          <w:sz w:val="24"/>
          <w:szCs w:val="24"/>
        </w:rPr>
        <w:t xml:space="preserve"> including vaccine and treatment access</w:t>
      </w:r>
      <w:r w:rsidR="00B07806">
        <w:rPr>
          <w:rFonts w:ascii="Courier New" w:hAnsi="Courier New" w:cs="Courier New"/>
          <w:sz w:val="24"/>
          <w:szCs w:val="24"/>
        </w:rPr>
        <w:t>.</w:t>
      </w:r>
      <w:r w:rsidR="00B07806" w:rsidRPr="00B07806">
        <w:rPr>
          <w:rFonts w:ascii="Courier New" w:hAnsi="Courier New" w:cs="Courier New"/>
          <w:sz w:val="24"/>
          <w:szCs w:val="24"/>
          <w:vertAlign w:val="superscript"/>
        </w:rPr>
        <w:t>5,7,8</w:t>
      </w:r>
      <w:r w:rsidRPr="00FC50B8">
        <w:rPr>
          <w:rFonts w:ascii="Courier New" w:hAnsi="Courier New" w:cs="Courier New"/>
          <w:sz w:val="24"/>
          <w:szCs w:val="24"/>
        </w:rPr>
        <w:t xml:space="preserve"> Equity-focused policies that deliberately allocate more resources to communities most impacted by these inequities offer a promising strategy to mitigate health disparities.</w:t>
      </w:r>
    </w:p>
    <w:p w14:paraId="495D6C74" w14:textId="77777777" w:rsidR="001E297B" w:rsidRDefault="001E297B" w:rsidP="00FC50B8">
      <w:pPr>
        <w:spacing w:after="0" w:line="480" w:lineRule="auto"/>
        <w:rPr>
          <w:rFonts w:ascii="Courier New" w:hAnsi="Courier New" w:cs="Courier New"/>
          <w:sz w:val="24"/>
          <w:szCs w:val="24"/>
        </w:rPr>
      </w:pPr>
    </w:p>
    <w:p w14:paraId="6800A0E7" w14:textId="46D10A9A" w:rsidR="001E297B"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t xml:space="preserve">Vaccination strategies may be particularly amenable to equity-focused policies due to their long-lasting protective effects. The high efficacy of COVID-19 vaccines and their ability to induce durable protection against severe outcomes such as hospitalization and death make COVID-19 vaccines a valuable </w:t>
      </w:r>
      <w:r w:rsidRPr="00FC50B8">
        <w:rPr>
          <w:rFonts w:ascii="Courier New" w:hAnsi="Courier New" w:cs="Courier New"/>
          <w:sz w:val="24"/>
          <w:szCs w:val="24"/>
        </w:rPr>
        <w:lastRenderedPageBreak/>
        <w:t>medical countermeasure to combat disparities</w:t>
      </w:r>
      <w:r w:rsidR="00B07806">
        <w:rPr>
          <w:rFonts w:ascii="Courier New" w:hAnsi="Courier New" w:cs="Courier New"/>
          <w:sz w:val="24"/>
          <w:szCs w:val="24"/>
        </w:rPr>
        <w:t>.</w:t>
      </w:r>
      <w:r w:rsidR="00B07806" w:rsidRPr="00B07806">
        <w:rPr>
          <w:rFonts w:ascii="Courier New" w:hAnsi="Courier New" w:cs="Courier New"/>
          <w:sz w:val="24"/>
          <w:szCs w:val="24"/>
          <w:vertAlign w:val="superscript"/>
        </w:rPr>
        <w:t>9</w:t>
      </w:r>
      <w:r w:rsidRPr="00FC50B8">
        <w:rPr>
          <w:rFonts w:ascii="Courier New" w:hAnsi="Courier New" w:cs="Courier New"/>
          <w:sz w:val="24"/>
          <w:szCs w:val="24"/>
        </w:rPr>
        <w:t xml:space="preserve"> However, equitable vaccination is unlikely to be achieved without explicit effort to account for disparate access and uptake to vaccines</w:t>
      </w:r>
      <w:r w:rsidR="00B07806">
        <w:rPr>
          <w:rFonts w:ascii="Courier New" w:hAnsi="Courier New" w:cs="Courier New"/>
          <w:sz w:val="24"/>
          <w:szCs w:val="24"/>
        </w:rPr>
        <w:t>.</w:t>
      </w:r>
      <w:r w:rsidR="00B07806" w:rsidRPr="00B07806">
        <w:rPr>
          <w:rFonts w:ascii="Courier New" w:hAnsi="Courier New" w:cs="Courier New"/>
          <w:sz w:val="24"/>
          <w:szCs w:val="24"/>
          <w:vertAlign w:val="superscript"/>
        </w:rPr>
        <w:t>10</w:t>
      </w:r>
      <w:r w:rsidR="00B07806">
        <w:rPr>
          <w:rFonts w:ascii="Courier New" w:hAnsi="Courier New" w:cs="Courier New"/>
          <w:sz w:val="24"/>
          <w:szCs w:val="24"/>
        </w:rPr>
        <w:t xml:space="preserve"> </w:t>
      </w:r>
      <w:r w:rsidRPr="00FC50B8">
        <w:rPr>
          <w:rFonts w:ascii="Courier New" w:hAnsi="Courier New" w:cs="Courier New"/>
          <w:sz w:val="24"/>
          <w:szCs w:val="24"/>
        </w:rPr>
        <w:t>Instead, vaccination policies that prioritize the least advantaged or most impacted populations are required to equitably distribute the benefits of vaccination</w:t>
      </w:r>
      <w:r w:rsidR="00495965">
        <w:rPr>
          <w:rFonts w:ascii="Courier New" w:hAnsi="Courier New" w:cs="Courier New"/>
          <w:sz w:val="24"/>
          <w:szCs w:val="24"/>
        </w:rPr>
        <w:t>.</w:t>
      </w:r>
      <w:r w:rsidR="00495965" w:rsidRPr="00495965">
        <w:rPr>
          <w:rFonts w:ascii="Courier New" w:hAnsi="Courier New" w:cs="Courier New"/>
          <w:sz w:val="24"/>
          <w:szCs w:val="24"/>
          <w:vertAlign w:val="superscript"/>
        </w:rPr>
        <w:t>11</w:t>
      </w:r>
      <w:r w:rsidR="00CD5CEE">
        <w:rPr>
          <w:rFonts w:ascii="Courier New" w:hAnsi="Courier New" w:cs="Courier New"/>
          <w:sz w:val="24"/>
          <w:szCs w:val="24"/>
          <w:vertAlign w:val="superscript"/>
        </w:rPr>
        <w:t>,12</w:t>
      </w:r>
    </w:p>
    <w:p w14:paraId="08B4FC5D" w14:textId="77777777" w:rsidR="001E297B" w:rsidRDefault="001E297B" w:rsidP="00FC50B8">
      <w:pPr>
        <w:spacing w:after="0" w:line="480" w:lineRule="auto"/>
        <w:rPr>
          <w:rFonts w:ascii="Courier New" w:hAnsi="Courier New" w:cs="Courier New"/>
          <w:sz w:val="24"/>
          <w:szCs w:val="24"/>
        </w:rPr>
      </w:pPr>
    </w:p>
    <w:p w14:paraId="68799FB1" w14:textId="26537338" w:rsidR="001E297B"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t>To reduce inequities in COVID-19 burden and prevent inequities in vaccination among its diverse residents, the</w:t>
      </w:r>
      <w:r w:rsidR="00495965" w:rsidRPr="00FC50B8">
        <w:rPr>
          <w:rFonts w:ascii="Courier New" w:hAnsi="Courier New" w:cs="Courier New"/>
          <w:sz w:val="24"/>
          <w:szCs w:val="24"/>
        </w:rPr>
        <w:t xml:space="preserve"> state </w:t>
      </w:r>
      <w:r w:rsidRPr="00FC50B8">
        <w:rPr>
          <w:rFonts w:ascii="Courier New" w:hAnsi="Courier New" w:cs="Courier New"/>
          <w:sz w:val="24"/>
          <w:szCs w:val="24"/>
        </w:rPr>
        <w:t xml:space="preserve">of California implemented an equity-focused policy early during </w:t>
      </w:r>
      <w:r w:rsidR="00495965">
        <w:rPr>
          <w:rFonts w:ascii="Courier New" w:hAnsi="Courier New" w:cs="Courier New"/>
          <w:sz w:val="24"/>
          <w:szCs w:val="24"/>
        </w:rPr>
        <w:t xml:space="preserve">its </w:t>
      </w:r>
      <w:r w:rsidRPr="00FC50B8">
        <w:rPr>
          <w:rFonts w:ascii="Courier New" w:hAnsi="Courier New" w:cs="Courier New"/>
          <w:sz w:val="24"/>
          <w:szCs w:val="24"/>
        </w:rPr>
        <w:t>vaccination rollout. This vaccine equity allocation policy</w:t>
      </w:r>
      <w:r w:rsidR="00495965">
        <w:rPr>
          <w:rFonts w:ascii="Courier New" w:hAnsi="Courier New" w:cs="Courier New"/>
          <w:sz w:val="24"/>
          <w:szCs w:val="24"/>
        </w:rPr>
        <w:t xml:space="preserve"> (</w:t>
      </w:r>
      <w:r w:rsidRPr="00FC50B8">
        <w:rPr>
          <w:rFonts w:ascii="Courier New" w:hAnsi="Courier New" w:cs="Courier New"/>
          <w:sz w:val="24"/>
          <w:szCs w:val="24"/>
        </w:rPr>
        <w:t>hereafter “the policy”</w:t>
      </w:r>
      <w:r w:rsidR="00495965">
        <w:rPr>
          <w:rFonts w:ascii="Courier New" w:hAnsi="Courier New" w:cs="Courier New"/>
          <w:sz w:val="24"/>
          <w:szCs w:val="24"/>
        </w:rPr>
        <w:t xml:space="preserve">) </w:t>
      </w:r>
      <w:r w:rsidRPr="00FC50B8">
        <w:rPr>
          <w:rFonts w:ascii="Courier New" w:hAnsi="Courier New" w:cs="Courier New"/>
          <w:sz w:val="24"/>
          <w:szCs w:val="24"/>
        </w:rPr>
        <w:t>implemented in March 2021 distributed 40% of available COVID-19 vaccines to the least advantaged quarter of communities in California</w:t>
      </w:r>
      <w:r w:rsidR="00495965">
        <w:rPr>
          <w:rFonts w:ascii="Courier New" w:hAnsi="Courier New" w:cs="Courier New"/>
          <w:sz w:val="24"/>
          <w:szCs w:val="24"/>
        </w:rPr>
        <w:t>.</w:t>
      </w:r>
      <w:r w:rsidR="00495965" w:rsidRPr="00495965">
        <w:rPr>
          <w:rFonts w:ascii="Courier New" w:hAnsi="Courier New" w:cs="Courier New"/>
          <w:sz w:val="24"/>
          <w:szCs w:val="24"/>
          <w:vertAlign w:val="superscript"/>
        </w:rPr>
        <w:t>1</w:t>
      </w:r>
      <w:r w:rsidR="00CD5CEE">
        <w:rPr>
          <w:rFonts w:ascii="Courier New" w:hAnsi="Courier New" w:cs="Courier New"/>
          <w:sz w:val="24"/>
          <w:szCs w:val="24"/>
          <w:vertAlign w:val="superscript"/>
        </w:rPr>
        <w:t>3</w:t>
      </w:r>
      <w:r w:rsidRPr="00FC50B8">
        <w:rPr>
          <w:rFonts w:ascii="Courier New" w:hAnsi="Courier New" w:cs="Courier New"/>
          <w:sz w:val="24"/>
          <w:szCs w:val="24"/>
        </w:rPr>
        <w:t xml:space="preserve"> The policy utilized the Healthy Places Index (HPI), an area-based socioeconomic measure specific to California that provides an assessment of the ability of community residents to live a healthy life</w:t>
      </w:r>
      <w:r w:rsidR="00495965">
        <w:rPr>
          <w:rFonts w:ascii="Courier New" w:hAnsi="Courier New" w:cs="Courier New"/>
          <w:sz w:val="24"/>
          <w:szCs w:val="24"/>
        </w:rPr>
        <w:t>.</w:t>
      </w:r>
      <w:r w:rsidR="00495965" w:rsidRPr="00495965">
        <w:rPr>
          <w:rFonts w:ascii="Courier New" w:hAnsi="Courier New" w:cs="Courier New"/>
          <w:sz w:val="24"/>
          <w:szCs w:val="24"/>
          <w:vertAlign w:val="superscript"/>
        </w:rPr>
        <w:t>1</w:t>
      </w:r>
      <w:r w:rsidR="00CD5CEE">
        <w:rPr>
          <w:rFonts w:ascii="Courier New" w:hAnsi="Courier New" w:cs="Courier New"/>
          <w:sz w:val="24"/>
          <w:szCs w:val="24"/>
          <w:vertAlign w:val="superscript"/>
        </w:rPr>
        <w:t>4</w:t>
      </w:r>
      <w:r w:rsidR="00495965">
        <w:rPr>
          <w:rFonts w:ascii="Courier New" w:hAnsi="Courier New" w:cs="Courier New"/>
          <w:sz w:val="24"/>
          <w:szCs w:val="24"/>
        </w:rPr>
        <w:t xml:space="preserve"> </w:t>
      </w:r>
      <w:r w:rsidRPr="00FC50B8">
        <w:rPr>
          <w:rFonts w:ascii="Courier New" w:hAnsi="Courier New" w:cs="Courier New"/>
          <w:sz w:val="24"/>
          <w:szCs w:val="24"/>
        </w:rPr>
        <w:t>The HPI facilitated identification of COVID-19-related disparities in California and formed the basis of other equity-focused policies in California during the pandemic, including The Blueprint for a Safer Economy</w:t>
      </w:r>
      <w:r w:rsidR="00495965">
        <w:rPr>
          <w:rFonts w:ascii="Courier New" w:hAnsi="Courier New" w:cs="Courier New"/>
          <w:sz w:val="24"/>
          <w:szCs w:val="24"/>
        </w:rPr>
        <w:t>,</w:t>
      </w:r>
      <w:r w:rsidRPr="00FC50B8">
        <w:rPr>
          <w:rFonts w:ascii="Courier New" w:hAnsi="Courier New" w:cs="Courier New"/>
          <w:sz w:val="24"/>
          <w:szCs w:val="24"/>
        </w:rPr>
        <w:t xml:space="preserve"> which was in effect from August 2020 through June 2021</w:t>
      </w:r>
      <w:r w:rsidR="00495965">
        <w:rPr>
          <w:rFonts w:ascii="Courier New" w:hAnsi="Courier New" w:cs="Courier New"/>
          <w:sz w:val="24"/>
          <w:szCs w:val="24"/>
        </w:rPr>
        <w:t>.</w:t>
      </w:r>
      <w:r w:rsidR="00495965" w:rsidRPr="00495965">
        <w:rPr>
          <w:rFonts w:ascii="Courier New" w:hAnsi="Courier New" w:cs="Courier New"/>
          <w:sz w:val="24"/>
          <w:szCs w:val="24"/>
          <w:vertAlign w:val="superscript"/>
        </w:rPr>
        <w:t>1</w:t>
      </w:r>
      <w:r w:rsidR="00CD5CEE">
        <w:rPr>
          <w:rFonts w:ascii="Courier New" w:hAnsi="Courier New" w:cs="Courier New"/>
          <w:sz w:val="24"/>
          <w:szCs w:val="24"/>
          <w:vertAlign w:val="superscript"/>
        </w:rPr>
        <w:t>5</w:t>
      </w:r>
      <w:r w:rsidR="00495965">
        <w:rPr>
          <w:rFonts w:ascii="Courier New" w:hAnsi="Courier New" w:cs="Courier New"/>
          <w:sz w:val="24"/>
          <w:szCs w:val="24"/>
        </w:rPr>
        <w:t xml:space="preserve"> </w:t>
      </w:r>
      <w:r w:rsidRPr="00FC50B8">
        <w:rPr>
          <w:rFonts w:ascii="Courier New" w:hAnsi="Courier New" w:cs="Courier New"/>
          <w:sz w:val="24"/>
          <w:szCs w:val="24"/>
        </w:rPr>
        <w:t xml:space="preserve">While making up 27% of the state’s population, individuals residing in ZIP codes classified as least advantaged by falling in the lowest 25% of HPI index scores experienced </w:t>
      </w:r>
      <w:r w:rsidRPr="00FC50B8">
        <w:rPr>
          <w:rFonts w:ascii="Courier New" w:hAnsi="Courier New" w:cs="Courier New"/>
          <w:sz w:val="24"/>
          <w:szCs w:val="24"/>
        </w:rPr>
        <w:lastRenderedPageBreak/>
        <w:t>almost 40% of all COVID-19 cases and deaths, motivating the allocation of 40% of vaccines to these communities</w:t>
      </w:r>
      <w:r w:rsidR="00495965">
        <w:rPr>
          <w:rFonts w:ascii="Courier New" w:hAnsi="Courier New" w:cs="Courier New"/>
          <w:sz w:val="24"/>
          <w:szCs w:val="24"/>
        </w:rPr>
        <w:t>.</w:t>
      </w:r>
      <w:r w:rsidR="00495965" w:rsidRPr="00495965">
        <w:rPr>
          <w:rFonts w:ascii="Courier New" w:hAnsi="Courier New" w:cs="Courier New"/>
          <w:sz w:val="24"/>
          <w:szCs w:val="24"/>
          <w:vertAlign w:val="superscript"/>
        </w:rPr>
        <w:t>1</w:t>
      </w:r>
      <w:r w:rsidR="00CD5CEE">
        <w:rPr>
          <w:rFonts w:ascii="Courier New" w:hAnsi="Courier New" w:cs="Courier New"/>
          <w:sz w:val="24"/>
          <w:szCs w:val="24"/>
          <w:vertAlign w:val="superscript"/>
        </w:rPr>
        <w:t>3</w:t>
      </w:r>
    </w:p>
    <w:p w14:paraId="46F0862D" w14:textId="77777777" w:rsidR="001E297B" w:rsidRDefault="001E297B" w:rsidP="00FC50B8">
      <w:pPr>
        <w:spacing w:after="0" w:line="480" w:lineRule="auto"/>
        <w:rPr>
          <w:rFonts w:ascii="Courier New" w:hAnsi="Courier New" w:cs="Courier New"/>
          <w:sz w:val="24"/>
          <w:szCs w:val="24"/>
        </w:rPr>
      </w:pPr>
    </w:p>
    <w:p w14:paraId="650D759D" w14:textId="553FDCF9" w:rsidR="001E297B"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t>The primary objective of this analysis is to evaluate the impact of California’s vaccine equity allocation policy on COVID-19 vaccination rates and outcomes. We used a quasi-experimental difference-in-differences approach to estimate the effect of the policy on vaccination rates in communities that received the equity allocation. We then used a counterfactual approach to estimate the number of COVID-19 cases, hospitalizations, and deaths averted due to the policy.</w:t>
      </w:r>
    </w:p>
    <w:p w14:paraId="26795AA8" w14:textId="77777777" w:rsidR="00495965" w:rsidRDefault="00495965" w:rsidP="00FC50B8">
      <w:pPr>
        <w:spacing w:after="0" w:line="480" w:lineRule="auto"/>
        <w:rPr>
          <w:rFonts w:ascii="Courier New" w:hAnsi="Courier New" w:cs="Courier New"/>
          <w:sz w:val="24"/>
          <w:szCs w:val="24"/>
        </w:rPr>
      </w:pPr>
    </w:p>
    <w:p w14:paraId="0A802F88" w14:textId="2DDDD382" w:rsidR="00495965" w:rsidRPr="00495965" w:rsidRDefault="00495965" w:rsidP="00FC50B8">
      <w:pPr>
        <w:spacing w:after="0" w:line="480" w:lineRule="auto"/>
        <w:rPr>
          <w:rFonts w:ascii="Courier New" w:hAnsi="Courier New" w:cs="Courier New"/>
          <w:b/>
          <w:bCs/>
          <w:sz w:val="24"/>
          <w:szCs w:val="24"/>
        </w:rPr>
      </w:pPr>
      <w:r w:rsidRPr="00495965">
        <w:rPr>
          <w:rFonts w:ascii="Courier New" w:hAnsi="Courier New" w:cs="Courier New"/>
          <w:b/>
          <w:bCs/>
          <w:sz w:val="24"/>
          <w:szCs w:val="24"/>
        </w:rPr>
        <w:t>METHODS</w:t>
      </w:r>
    </w:p>
    <w:p w14:paraId="59775E94" w14:textId="2494A0A5" w:rsidR="001E297B" w:rsidRPr="00FA3AAF" w:rsidRDefault="00FC50B8" w:rsidP="00FC50B8">
      <w:pPr>
        <w:spacing w:after="0" w:line="480" w:lineRule="auto"/>
        <w:rPr>
          <w:rFonts w:ascii="Courier New" w:hAnsi="Courier New" w:cs="Courier New"/>
          <w:b/>
          <w:bCs/>
          <w:sz w:val="24"/>
          <w:szCs w:val="24"/>
        </w:rPr>
      </w:pPr>
      <w:r w:rsidRPr="00FA3AAF">
        <w:rPr>
          <w:rFonts w:ascii="Courier New" w:hAnsi="Courier New" w:cs="Courier New"/>
          <w:b/>
          <w:bCs/>
          <w:sz w:val="24"/>
          <w:szCs w:val="24"/>
        </w:rPr>
        <w:t>Data</w:t>
      </w:r>
      <w:r w:rsidR="00495965" w:rsidRPr="00FA3AAF">
        <w:rPr>
          <w:rFonts w:ascii="Courier New" w:hAnsi="Courier New" w:cs="Courier New"/>
          <w:b/>
          <w:bCs/>
          <w:sz w:val="24"/>
          <w:szCs w:val="24"/>
        </w:rPr>
        <w:t xml:space="preserve"> </w:t>
      </w:r>
      <w:r w:rsidR="00FA3AAF">
        <w:rPr>
          <w:rFonts w:ascii="Courier New" w:hAnsi="Courier New" w:cs="Courier New"/>
          <w:b/>
          <w:bCs/>
          <w:sz w:val="24"/>
          <w:szCs w:val="24"/>
        </w:rPr>
        <w:t>Sources</w:t>
      </w:r>
    </w:p>
    <w:p w14:paraId="40B43680" w14:textId="3F9FB640" w:rsidR="00495965"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t>The HPI is an area-based socioeconomic measure developed by the Public Health Alliance of Southern California (PHASC) that integrates data from the American Community Survey, California Environmental Protection Agency, Bureau of Labor Statistics, and other agencies to generate an index score calibrated to life expectancy at birth at the census tract level. Details of HPI development are available in PHASC’s technical report</w:t>
      </w:r>
      <w:r w:rsidR="00495965">
        <w:rPr>
          <w:rFonts w:ascii="Courier New" w:hAnsi="Courier New" w:cs="Courier New"/>
          <w:sz w:val="24"/>
          <w:szCs w:val="24"/>
        </w:rPr>
        <w:t>.</w:t>
      </w:r>
      <w:r w:rsidR="00495965" w:rsidRPr="00495965">
        <w:rPr>
          <w:rFonts w:ascii="Courier New" w:hAnsi="Courier New" w:cs="Courier New"/>
          <w:sz w:val="24"/>
          <w:szCs w:val="24"/>
          <w:vertAlign w:val="superscript"/>
        </w:rPr>
        <w:t>1</w:t>
      </w:r>
      <w:r w:rsidR="00CD5CEE">
        <w:rPr>
          <w:rFonts w:ascii="Courier New" w:hAnsi="Courier New" w:cs="Courier New"/>
          <w:sz w:val="24"/>
          <w:szCs w:val="24"/>
          <w:vertAlign w:val="superscript"/>
        </w:rPr>
        <w:t>6</w:t>
      </w:r>
      <w:r w:rsidR="00495965">
        <w:rPr>
          <w:rFonts w:ascii="Courier New" w:hAnsi="Courier New" w:cs="Courier New"/>
          <w:sz w:val="24"/>
          <w:szCs w:val="24"/>
        </w:rPr>
        <w:t xml:space="preserve"> </w:t>
      </w:r>
      <w:r w:rsidRPr="00FC50B8">
        <w:rPr>
          <w:rFonts w:ascii="Courier New" w:hAnsi="Courier New" w:cs="Courier New"/>
          <w:sz w:val="24"/>
          <w:szCs w:val="24"/>
        </w:rPr>
        <w:t xml:space="preserve">Since some census tracts were not assigned scores because of small population or other exclusion criteria and since vaccine allocation was conducted at the ZIP level, the Vaccine Equity </w:t>
      </w:r>
      <w:r w:rsidRPr="00FC50B8">
        <w:rPr>
          <w:rFonts w:ascii="Courier New" w:hAnsi="Courier New" w:cs="Courier New"/>
          <w:sz w:val="24"/>
          <w:szCs w:val="24"/>
        </w:rPr>
        <w:lastRenderedPageBreak/>
        <w:t>Metric (VEM) was derived by the California Department of Public Health (CDPH) in March 2021 to derive ZIP-level scores with full coverage of the state</w:t>
      </w:r>
      <w:r w:rsidR="00495965">
        <w:rPr>
          <w:rFonts w:ascii="Courier New" w:hAnsi="Courier New" w:cs="Courier New"/>
          <w:sz w:val="24"/>
          <w:szCs w:val="24"/>
        </w:rPr>
        <w:t>.</w:t>
      </w:r>
      <w:r w:rsidR="00495965" w:rsidRPr="00495965">
        <w:rPr>
          <w:rFonts w:ascii="Courier New" w:hAnsi="Courier New" w:cs="Courier New"/>
          <w:sz w:val="24"/>
          <w:szCs w:val="24"/>
          <w:vertAlign w:val="superscript"/>
        </w:rPr>
        <w:t>1</w:t>
      </w:r>
      <w:r w:rsidR="00CD5CEE">
        <w:rPr>
          <w:rFonts w:ascii="Courier New" w:hAnsi="Courier New" w:cs="Courier New"/>
          <w:sz w:val="24"/>
          <w:szCs w:val="24"/>
          <w:vertAlign w:val="superscript"/>
        </w:rPr>
        <w:t>4</w:t>
      </w:r>
      <w:r w:rsidR="00495965" w:rsidRPr="00495965">
        <w:rPr>
          <w:rFonts w:ascii="Courier New" w:hAnsi="Courier New" w:cs="Courier New"/>
          <w:sz w:val="24"/>
          <w:szCs w:val="24"/>
          <w:vertAlign w:val="superscript"/>
        </w:rPr>
        <w:t>,1</w:t>
      </w:r>
      <w:r w:rsidR="00CD5CEE">
        <w:rPr>
          <w:rFonts w:ascii="Courier New" w:hAnsi="Courier New" w:cs="Courier New"/>
          <w:sz w:val="24"/>
          <w:szCs w:val="24"/>
          <w:vertAlign w:val="superscript"/>
        </w:rPr>
        <w:t>7</w:t>
      </w:r>
      <w:r w:rsidR="00495965">
        <w:rPr>
          <w:rFonts w:ascii="Courier New" w:hAnsi="Courier New" w:cs="Courier New"/>
          <w:sz w:val="24"/>
          <w:szCs w:val="24"/>
        </w:rPr>
        <w:t xml:space="preserve"> </w:t>
      </w:r>
      <w:r w:rsidRPr="00FC50B8">
        <w:rPr>
          <w:rFonts w:ascii="Courier New" w:hAnsi="Courier New" w:cs="Courier New"/>
          <w:sz w:val="24"/>
          <w:szCs w:val="24"/>
        </w:rPr>
        <w:t xml:space="preserve">CDPH assigned a VEM score for every ZIP code in California by fitting regression models using known data points from the American Community Survey, </w:t>
      </w:r>
      <w:proofErr w:type="spellStart"/>
      <w:r w:rsidRPr="00FC50B8">
        <w:rPr>
          <w:rFonts w:ascii="Courier New" w:hAnsi="Courier New" w:cs="Courier New"/>
          <w:sz w:val="24"/>
          <w:szCs w:val="24"/>
        </w:rPr>
        <w:t>Surgo</w:t>
      </w:r>
      <w:proofErr w:type="spellEnd"/>
      <w:r w:rsidRPr="00FC50B8">
        <w:rPr>
          <w:rFonts w:ascii="Courier New" w:hAnsi="Courier New" w:cs="Courier New"/>
          <w:sz w:val="24"/>
          <w:szCs w:val="24"/>
        </w:rPr>
        <w:t xml:space="preserve"> Venture’s COVID Community Vulnerability Index</w:t>
      </w:r>
      <w:r w:rsidR="00495965">
        <w:rPr>
          <w:rFonts w:ascii="Courier New" w:hAnsi="Courier New" w:cs="Courier New"/>
          <w:sz w:val="24"/>
          <w:szCs w:val="24"/>
        </w:rPr>
        <w:t>,</w:t>
      </w:r>
      <w:r w:rsidR="00495965" w:rsidRPr="00495965">
        <w:rPr>
          <w:rFonts w:ascii="Courier New" w:hAnsi="Courier New" w:cs="Courier New"/>
          <w:sz w:val="24"/>
          <w:szCs w:val="24"/>
          <w:vertAlign w:val="superscript"/>
        </w:rPr>
        <w:t>1</w:t>
      </w:r>
      <w:r w:rsidR="00CD5CEE">
        <w:rPr>
          <w:rFonts w:ascii="Courier New" w:hAnsi="Courier New" w:cs="Courier New"/>
          <w:sz w:val="24"/>
          <w:szCs w:val="24"/>
          <w:vertAlign w:val="superscript"/>
        </w:rPr>
        <w:t>8</w:t>
      </w:r>
      <w:r w:rsidRPr="00FC50B8">
        <w:rPr>
          <w:rFonts w:ascii="Courier New" w:hAnsi="Courier New" w:cs="Courier New"/>
          <w:sz w:val="24"/>
          <w:szCs w:val="24"/>
        </w:rPr>
        <w:t xml:space="preserve"> and the California “Hard-to-Count” Index</w:t>
      </w:r>
      <w:r w:rsidR="00495965" w:rsidRPr="00495965">
        <w:rPr>
          <w:rFonts w:ascii="Courier New" w:hAnsi="Courier New" w:cs="Courier New"/>
          <w:sz w:val="24"/>
          <w:szCs w:val="24"/>
          <w:vertAlign w:val="superscript"/>
        </w:rPr>
        <w:t>1</w:t>
      </w:r>
      <w:r w:rsidR="00CD5CEE">
        <w:rPr>
          <w:rFonts w:ascii="Courier New" w:hAnsi="Courier New" w:cs="Courier New"/>
          <w:sz w:val="24"/>
          <w:szCs w:val="24"/>
          <w:vertAlign w:val="superscript"/>
        </w:rPr>
        <w:t>9</w:t>
      </w:r>
      <w:r w:rsidR="00495965">
        <w:rPr>
          <w:rFonts w:ascii="Courier New" w:hAnsi="Courier New" w:cs="Courier New"/>
          <w:sz w:val="24"/>
          <w:szCs w:val="24"/>
        </w:rPr>
        <w:t xml:space="preserve"> </w:t>
      </w:r>
      <w:r w:rsidRPr="00FC50B8">
        <w:rPr>
          <w:rFonts w:ascii="Courier New" w:hAnsi="Courier New" w:cs="Courier New"/>
          <w:sz w:val="24"/>
          <w:szCs w:val="24"/>
        </w:rPr>
        <w:t>to existing HPI scores and then using the trained model to predict the VEM in ZIP codes that lacked a score. These scores were percentile ranked and partitioned into quartiles using quartile thresholds from the HPI to determine VEM Q1 ZIP codes prioritized by the policy. Thus, the first quartile or VEM Q1 was interpreted as the 25% of ZIP codes in the state where residents have the least opportunity to live a healthy life. The policy then allocated 40% of available vaccines to VEM Q1 communities with the remaining 60% of vaccines divided evenly among VEM Q2, Q3, and Q4 communities. The policy also included equity-oriented technical assistance, contracting support, staffing resources, and mobile vaccination sites for Local Health Jurisdictions (LHJs) to aid their vaccination outreach</w:t>
      </w:r>
      <w:r w:rsidR="00495965">
        <w:rPr>
          <w:rFonts w:ascii="Courier New" w:hAnsi="Courier New" w:cs="Courier New"/>
          <w:sz w:val="24"/>
          <w:szCs w:val="24"/>
        </w:rPr>
        <w:t>.</w:t>
      </w:r>
      <w:r w:rsidR="00495965" w:rsidRPr="00495965">
        <w:rPr>
          <w:rFonts w:ascii="Courier New" w:hAnsi="Courier New" w:cs="Courier New"/>
          <w:sz w:val="24"/>
          <w:szCs w:val="24"/>
          <w:vertAlign w:val="superscript"/>
        </w:rPr>
        <w:t>1</w:t>
      </w:r>
      <w:r w:rsidR="00CD5CEE">
        <w:rPr>
          <w:rFonts w:ascii="Courier New" w:hAnsi="Courier New" w:cs="Courier New"/>
          <w:sz w:val="24"/>
          <w:szCs w:val="24"/>
          <w:vertAlign w:val="superscript"/>
        </w:rPr>
        <w:t>3</w:t>
      </w:r>
      <w:r w:rsidRPr="00FC50B8">
        <w:rPr>
          <w:rFonts w:ascii="Courier New" w:hAnsi="Courier New" w:cs="Courier New"/>
          <w:sz w:val="24"/>
          <w:szCs w:val="24"/>
        </w:rPr>
        <w:t xml:space="preserve"> Finally, vaccination appointments were reserved for VEM Q1 residents to ensure that vaccines allocated to VEM Q1 communities were administered to intended VEM Q1 residents.</w:t>
      </w:r>
    </w:p>
    <w:p w14:paraId="59017805" w14:textId="77777777" w:rsidR="00495965" w:rsidRDefault="00495965" w:rsidP="00FC50B8">
      <w:pPr>
        <w:spacing w:after="0" w:line="480" w:lineRule="auto"/>
        <w:rPr>
          <w:rFonts w:ascii="Courier New" w:hAnsi="Courier New" w:cs="Courier New"/>
          <w:sz w:val="24"/>
          <w:szCs w:val="24"/>
        </w:rPr>
      </w:pPr>
    </w:p>
    <w:p w14:paraId="6E0F0E97" w14:textId="6DE4868B" w:rsidR="001E297B" w:rsidRPr="00495965"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lastRenderedPageBreak/>
        <w:t xml:space="preserve">COVID-19 vaccination records were collected from statewide immunization databases </w:t>
      </w:r>
      <w:r w:rsidR="00B63748">
        <w:rPr>
          <w:rFonts w:ascii="Courier New" w:hAnsi="Courier New" w:cs="Courier New"/>
          <w:sz w:val="24"/>
          <w:szCs w:val="24"/>
        </w:rPr>
        <w:t xml:space="preserve">and </w:t>
      </w:r>
      <w:r w:rsidR="00B63748">
        <w:rPr>
          <w:rFonts w:ascii="Courier New" w:hAnsi="Courier New" w:cs="Courier New"/>
          <w:sz w:val="24"/>
          <w:szCs w:val="24"/>
        </w:rPr>
        <w:t>the California Immunization Registry (CAIR)</w:t>
      </w:r>
      <w:r w:rsidRPr="00FC50B8">
        <w:rPr>
          <w:rFonts w:ascii="Courier New" w:hAnsi="Courier New" w:cs="Courier New"/>
          <w:sz w:val="24"/>
          <w:szCs w:val="24"/>
        </w:rPr>
        <w:t>. The date of administration and ZIP code of residence of individuals receiving COVID-19 vaccination, regardless of dose number, was joined with ZIP-level VEM scores to generate a dataset of daily vaccinations received by VEM quartile.</w:t>
      </w:r>
    </w:p>
    <w:p w14:paraId="35D89C9F" w14:textId="77777777" w:rsidR="001E297B" w:rsidRDefault="001E297B" w:rsidP="00FC50B8">
      <w:pPr>
        <w:spacing w:after="0" w:line="480" w:lineRule="auto"/>
        <w:rPr>
          <w:rFonts w:ascii="Courier New" w:hAnsi="Courier New" w:cs="Courier New"/>
          <w:b/>
          <w:bCs/>
          <w:sz w:val="24"/>
          <w:szCs w:val="24"/>
        </w:rPr>
      </w:pPr>
    </w:p>
    <w:p w14:paraId="70344F91" w14:textId="72C0ADF4" w:rsidR="001E297B" w:rsidRDefault="00FC50B8" w:rsidP="00FC50B8">
      <w:pPr>
        <w:spacing w:after="0" w:line="480" w:lineRule="auto"/>
        <w:rPr>
          <w:rFonts w:ascii="Courier New" w:hAnsi="Courier New" w:cs="Courier New"/>
          <w:b/>
          <w:bCs/>
          <w:sz w:val="24"/>
          <w:szCs w:val="24"/>
        </w:rPr>
      </w:pPr>
      <w:r w:rsidRPr="00FC50B8">
        <w:rPr>
          <w:rFonts w:ascii="Courier New" w:hAnsi="Courier New" w:cs="Courier New"/>
          <w:sz w:val="24"/>
          <w:szCs w:val="24"/>
        </w:rPr>
        <w:t>Person-level records of confirmed SARS-CoV-2 infection in California reported to CDPH as part of mandatory case reporting were used to derive weekly time series of COVID-19 cases, hospitalizations, and deaths. Individual addresses reported in the CDPH Electronic Lab Reporting system were used to assign ZIP code of residence.</w:t>
      </w:r>
      <w:r w:rsidR="00495965">
        <w:rPr>
          <w:rFonts w:ascii="Courier New" w:hAnsi="Courier New" w:cs="Courier New"/>
          <w:sz w:val="24"/>
          <w:szCs w:val="24"/>
        </w:rPr>
        <w:t xml:space="preserve"> </w:t>
      </w:r>
      <w:r w:rsidRPr="00FC50B8">
        <w:rPr>
          <w:rFonts w:ascii="Courier New" w:hAnsi="Courier New" w:cs="Courier New"/>
          <w:sz w:val="24"/>
          <w:szCs w:val="24"/>
        </w:rPr>
        <w:t>Cases were defined as lab-confirmed, positive SARS-CoV-2 Nucleic Acid Amplification Tests (NAATs) reported to CDPH regardless of symptom status. Hospitalizations were determined from the California COVID-19 Reporting System and supplementary reports submitted by hospitals statewide to CDPH. COVID-19 deaths were defined as individuals with confirmed COVID-19-associated death reported to CDPH by local health departments. COVID-19 confirmed cases and deaths follow CDPH guidance and definitions set by the Council of State and Territorial Epidemiologists (CSTE)</w:t>
      </w:r>
      <w:r w:rsidR="004B7799">
        <w:rPr>
          <w:rFonts w:ascii="Courier New" w:hAnsi="Courier New" w:cs="Courier New"/>
          <w:sz w:val="24"/>
          <w:szCs w:val="24"/>
        </w:rPr>
        <w:t>.</w:t>
      </w:r>
      <w:r w:rsidR="00CD5CEE">
        <w:rPr>
          <w:rFonts w:ascii="Courier New" w:hAnsi="Courier New" w:cs="Courier New"/>
          <w:sz w:val="24"/>
          <w:szCs w:val="24"/>
          <w:vertAlign w:val="superscript"/>
        </w:rPr>
        <w:t>20</w:t>
      </w:r>
      <w:r w:rsidR="004B7799">
        <w:rPr>
          <w:rFonts w:ascii="Courier New" w:hAnsi="Courier New" w:cs="Courier New"/>
          <w:sz w:val="24"/>
          <w:szCs w:val="24"/>
        </w:rPr>
        <w:t xml:space="preserve"> </w:t>
      </w:r>
      <w:r w:rsidRPr="00FC50B8">
        <w:rPr>
          <w:rFonts w:ascii="Courier New" w:hAnsi="Courier New" w:cs="Courier New"/>
          <w:sz w:val="24"/>
          <w:szCs w:val="24"/>
        </w:rPr>
        <w:t xml:space="preserve">Population data were drawn from 2020 </w:t>
      </w:r>
      <w:r w:rsidR="004B7799">
        <w:rPr>
          <w:rFonts w:ascii="Courier New" w:hAnsi="Courier New" w:cs="Courier New"/>
          <w:sz w:val="24"/>
          <w:szCs w:val="24"/>
        </w:rPr>
        <w:t>five</w:t>
      </w:r>
      <w:r w:rsidRPr="00FC50B8">
        <w:rPr>
          <w:rFonts w:ascii="Courier New" w:hAnsi="Courier New" w:cs="Courier New"/>
          <w:sz w:val="24"/>
          <w:szCs w:val="24"/>
        </w:rPr>
        <w:t>-year American Community Survey (ACS) estimates.</w:t>
      </w:r>
    </w:p>
    <w:p w14:paraId="471D9EDD" w14:textId="77777777" w:rsidR="001E297B" w:rsidRDefault="001E297B" w:rsidP="00FC50B8">
      <w:pPr>
        <w:spacing w:after="0" w:line="480" w:lineRule="auto"/>
        <w:rPr>
          <w:rFonts w:ascii="Courier New" w:hAnsi="Courier New" w:cs="Courier New"/>
          <w:b/>
          <w:bCs/>
          <w:sz w:val="24"/>
          <w:szCs w:val="24"/>
        </w:rPr>
      </w:pPr>
    </w:p>
    <w:p w14:paraId="2BB1F830" w14:textId="21DD6FFA" w:rsidR="00FC50B8" w:rsidRPr="001E297B" w:rsidRDefault="00FC50B8" w:rsidP="00FC50B8">
      <w:pPr>
        <w:spacing w:after="0" w:line="480" w:lineRule="auto"/>
        <w:rPr>
          <w:rFonts w:ascii="Courier New" w:hAnsi="Courier New" w:cs="Courier New"/>
          <w:b/>
          <w:bCs/>
          <w:sz w:val="24"/>
          <w:szCs w:val="24"/>
        </w:rPr>
      </w:pPr>
      <w:r w:rsidRPr="001E297B">
        <w:rPr>
          <w:rFonts w:ascii="Courier New" w:hAnsi="Courier New" w:cs="Courier New"/>
          <w:b/>
          <w:bCs/>
          <w:sz w:val="24"/>
          <w:szCs w:val="24"/>
        </w:rPr>
        <w:lastRenderedPageBreak/>
        <w:t>Analytic Approach</w:t>
      </w:r>
    </w:p>
    <w:p w14:paraId="5ED468EC" w14:textId="68AFF874" w:rsidR="001E297B" w:rsidRDefault="00FC50B8" w:rsidP="00FC50B8">
      <w:pPr>
        <w:spacing w:after="0" w:line="480" w:lineRule="auto"/>
        <w:rPr>
          <w:rFonts w:ascii="Courier New" w:hAnsi="Courier New" w:cs="Courier New"/>
          <w:i/>
          <w:iCs/>
          <w:sz w:val="24"/>
          <w:szCs w:val="24"/>
        </w:rPr>
      </w:pPr>
      <w:r w:rsidRPr="001E297B">
        <w:rPr>
          <w:rFonts w:ascii="Courier New" w:hAnsi="Courier New" w:cs="Courier New"/>
          <w:i/>
          <w:iCs/>
          <w:sz w:val="24"/>
          <w:szCs w:val="24"/>
        </w:rPr>
        <w:t xml:space="preserve">Vaccination </w:t>
      </w:r>
      <w:r w:rsidR="00FA3AAF" w:rsidRPr="001E297B">
        <w:rPr>
          <w:rFonts w:ascii="Courier New" w:hAnsi="Courier New" w:cs="Courier New"/>
          <w:i/>
          <w:iCs/>
          <w:sz w:val="24"/>
          <w:szCs w:val="24"/>
        </w:rPr>
        <w:t>outcomes</w:t>
      </w:r>
    </w:p>
    <w:p w14:paraId="78156B4E" w14:textId="6D6F7B46" w:rsidR="001E297B" w:rsidRDefault="00FC50B8" w:rsidP="00FC50B8">
      <w:pPr>
        <w:spacing w:after="0" w:line="480" w:lineRule="auto"/>
        <w:rPr>
          <w:rFonts w:ascii="Courier New" w:hAnsi="Courier New" w:cs="Courier New"/>
          <w:i/>
          <w:iCs/>
          <w:sz w:val="24"/>
          <w:szCs w:val="24"/>
        </w:rPr>
      </w:pPr>
      <w:r w:rsidRPr="00FC50B8">
        <w:rPr>
          <w:rFonts w:ascii="Courier New" w:hAnsi="Courier New" w:cs="Courier New"/>
          <w:sz w:val="24"/>
          <w:szCs w:val="24"/>
        </w:rPr>
        <w:t>We conducted a difference-in-differences (</w:t>
      </w:r>
      <w:proofErr w:type="spellStart"/>
      <w:r w:rsidRPr="00FC50B8">
        <w:rPr>
          <w:rFonts w:ascii="Courier New" w:hAnsi="Courier New" w:cs="Courier New"/>
          <w:sz w:val="24"/>
          <w:szCs w:val="24"/>
        </w:rPr>
        <w:t>DiD</w:t>
      </w:r>
      <w:proofErr w:type="spellEnd"/>
      <w:r w:rsidRPr="00FC50B8">
        <w:rPr>
          <w:rFonts w:ascii="Courier New" w:hAnsi="Courier New" w:cs="Courier New"/>
          <w:sz w:val="24"/>
          <w:szCs w:val="24"/>
        </w:rPr>
        <w:t>) analysis to compare the rate of vaccination in prioritized VEM Q1 ZIP codes to non-VEM Q1 ZIP codes before and after the policy was implemented. A Poisson generalized linear model (GLM) was fitted with the number of vaccines administered by ZIP code as the outcome and ZIP code population as an offset term. Main effects for binary before/after policy implementation, binary VEM Q1/non-Q1 status, and their interaction were included along with a main effect on county to account for variability between LHJs. Symmetric four-week periods before and after the policy was implemented on March 1, 2021</w:t>
      </w:r>
      <w:r w:rsidR="001E297B">
        <w:rPr>
          <w:rFonts w:ascii="Courier New" w:hAnsi="Courier New" w:cs="Courier New"/>
          <w:sz w:val="24"/>
          <w:szCs w:val="24"/>
        </w:rPr>
        <w:t>,</w:t>
      </w:r>
      <w:r w:rsidRPr="00FC50B8">
        <w:rPr>
          <w:rFonts w:ascii="Courier New" w:hAnsi="Courier New" w:cs="Courier New"/>
          <w:sz w:val="24"/>
          <w:szCs w:val="24"/>
        </w:rPr>
        <w:t xml:space="preserve"> were used to estimate the immediate effect of the policy on vaccination rates before COVID-19 vaccination became less supply constrained around May 2021. The </w:t>
      </w:r>
      <w:r w:rsidR="007B3522">
        <w:rPr>
          <w:rFonts w:ascii="Courier New" w:hAnsi="Courier New" w:cs="Courier New"/>
          <w:sz w:val="24"/>
          <w:szCs w:val="24"/>
        </w:rPr>
        <w:t xml:space="preserve">target parameter in the GLM was the </w:t>
      </w:r>
      <w:r w:rsidRPr="00FC50B8">
        <w:rPr>
          <w:rFonts w:ascii="Courier New" w:hAnsi="Courier New" w:cs="Courier New"/>
          <w:sz w:val="24"/>
          <w:szCs w:val="24"/>
        </w:rPr>
        <w:t>interaction</w:t>
      </w:r>
      <w:r w:rsidR="007B3522">
        <w:rPr>
          <w:rFonts w:ascii="Courier New" w:hAnsi="Courier New" w:cs="Courier New"/>
          <w:sz w:val="24"/>
          <w:szCs w:val="24"/>
        </w:rPr>
        <w:t xml:space="preserve"> term between VEM Q1 and the binary before/after policy variable,</w:t>
      </w:r>
      <w:r w:rsidRPr="00FC50B8">
        <w:rPr>
          <w:rFonts w:ascii="Courier New" w:hAnsi="Courier New" w:cs="Courier New"/>
          <w:sz w:val="24"/>
          <w:szCs w:val="24"/>
        </w:rPr>
        <w:t xml:space="preserve"> representing the change in vaccination rate in VEM Q1 ZIP codes compared to non-VEM Q1 ZIP codes, ostensibly due to the policy. Robust standard errors using the sandwich estimator were used for all regression models to generate 95% confidence intervals around effect estimates.</w:t>
      </w:r>
    </w:p>
    <w:p w14:paraId="097FA4AD" w14:textId="77777777" w:rsidR="001E297B" w:rsidRDefault="001E297B" w:rsidP="00FC50B8">
      <w:pPr>
        <w:spacing w:after="0" w:line="480" w:lineRule="auto"/>
        <w:rPr>
          <w:rFonts w:ascii="Courier New" w:hAnsi="Courier New" w:cs="Courier New"/>
          <w:i/>
          <w:iCs/>
          <w:sz w:val="24"/>
          <w:szCs w:val="24"/>
        </w:rPr>
      </w:pPr>
    </w:p>
    <w:p w14:paraId="23381BC9" w14:textId="7A5798C9" w:rsidR="001E297B" w:rsidRDefault="00FC50B8" w:rsidP="00FC50B8">
      <w:pPr>
        <w:spacing w:after="0" w:line="480" w:lineRule="auto"/>
        <w:rPr>
          <w:rFonts w:ascii="Courier New" w:hAnsi="Courier New" w:cs="Courier New"/>
          <w:i/>
          <w:iCs/>
          <w:sz w:val="24"/>
          <w:szCs w:val="24"/>
        </w:rPr>
      </w:pPr>
      <w:r w:rsidRPr="00FC50B8">
        <w:rPr>
          <w:rFonts w:ascii="Courier New" w:hAnsi="Courier New" w:cs="Courier New"/>
          <w:sz w:val="24"/>
          <w:szCs w:val="24"/>
        </w:rPr>
        <w:lastRenderedPageBreak/>
        <w:t xml:space="preserve">We conducted additional analyses described in detail in the </w:t>
      </w:r>
      <w:commentRangeStart w:id="0"/>
      <w:commentRangeStart w:id="1"/>
      <w:r w:rsidRPr="00FA3AAF">
        <w:rPr>
          <w:rFonts w:ascii="Courier New" w:hAnsi="Courier New" w:cs="Courier New"/>
          <w:sz w:val="24"/>
          <w:szCs w:val="24"/>
        </w:rPr>
        <w:t>appendix</w:t>
      </w:r>
      <w:r w:rsidR="00FA3AAF" w:rsidRPr="00FD587E">
        <w:rPr>
          <w:rFonts w:ascii="Courier New" w:hAnsi="Courier New" w:cs="Courier New"/>
          <w:sz w:val="24"/>
          <w:szCs w:val="24"/>
          <w:vertAlign w:val="superscript"/>
        </w:rPr>
        <w:t>2</w:t>
      </w:r>
      <w:commentRangeEnd w:id="0"/>
      <w:r w:rsidR="00DB421E">
        <w:rPr>
          <w:rStyle w:val="CommentReference"/>
        </w:rPr>
        <w:commentReference w:id="0"/>
      </w:r>
      <w:commentRangeEnd w:id="1"/>
      <w:r w:rsidR="00CD5CEE">
        <w:rPr>
          <w:rStyle w:val="CommentReference"/>
        </w:rPr>
        <w:commentReference w:id="1"/>
      </w:r>
      <w:r w:rsidR="00CD5CEE">
        <w:rPr>
          <w:rFonts w:ascii="Courier New" w:hAnsi="Courier New" w:cs="Courier New"/>
          <w:sz w:val="24"/>
          <w:szCs w:val="24"/>
          <w:vertAlign w:val="superscript"/>
        </w:rPr>
        <w:t>1</w:t>
      </w:r>
      <w:r w:rsidR="001E297B">
        <w:rPr>
          <w:rFonts w:ascii="Courier New" w:hAnsi="Courier New" w:cs="Courier New"/>
          <w:sz w:val="24"/>
          <w:szCs w:val="24"/>
        </w:rPr>
        <w:t xml:space="preserve"> </w:t>
      </w:r>
      <w:r w:rsidRPr="00FC50B8">
        <w:rPr>
          <w:rFonts w:ascii="Courier New" w:hAnsi="Courier New" w:cs="Courier New"/>
          <w:sz w:val="24"/>
          <w:szCs w:val="24"/>
        </w:rPr>
        <w:t xml:space="preserve">to probe key assumptions of the </w:t>
      </w:r>
      <w:proofErr w:type="spellStart"/>
      <w:r w:rsidRPr="00FC50B8">
        <w:rPr>
          <w:rFonts w:ascii="Courier New" w:hAnsi="Courier New" w:cs="Courier New"/>
          <w:sz w:val="24"/>
          <w:szCs w:val="24"/>
        </w:rPr>
        <w:t>DiD</w:t>
      </w:r>
      <w:proofErr w:type="spellEnd"/>
      <w:r w:rsidRPr="00FC50B8">
        <w:rPr>
          <w:rFonts w:ascii="Courier New" w:hAnsi="Courier New" w:cs="Courier New"/>
          <w:sz w:val="24"/>
          <w:szCs w:val="24"/>
        </w:rPr>
        <w:t xml:space="preserve"> model, including the potential effect of secular decline in vaccination rates due to depletion of the eligible population, the suitability of non-VEM Q1 populations to serve as controls for VEM Q1 populations, the potential for unmeasured confounders, and the length of the symmetric pre-post policy </w:t>
      </w:r>
      <w:proofErr w:type="gramStart"/>
      <w:r w:rsidRPr="00FC50B8">
        <w:rPr>
          <w:rFonts w:ascii="Courier New" w:hAnsi="Courier New" w:cs="Courier New"/>
          <w:sz w:val="24"/>
          <w:szCs w:val="24"/>
        </w:rPr>
        <w:t>time period</w:t>
      </w:r>
      <w:proofErr w:type="gramEnd"/>
      <w:r w:rsidRPr="00FC50B8">
        <w:rPr>
          <w:rFonts w:ascii="Courier New" w:hAnsi="Courier New" w:cs="Courier New"/>
          <w:sz w:val="24"/>
          <w:szCs w:val="24"/>
        </w:rPr>
        <w:t>.</w:t>
      </w:r>
    </w:p>
    <w:p w14:paraId="0E0CC8D8" w14:textId="77777777" w:rsidR="001E297B" w:rsidRDefault="001E297B" w:rsidP="00FC50B8">
      <w:pPr>
        <w:spacing w:after="0" w:line="480" w:lineRule="auto"/>
        <w:rPr>
          <w:rFonts w:ascii="Courier New" w:hAnsi="Courier New" w:cs="Courier New"/>
          <w:i/>
          <w:iCs/>
          <w:sz w:val="24"/>
          <w:szCs w:val="24"/>
        </w:rPr>
      </w:pPr>
    </w:p>
    <w:p w14:paraId="74FB1C3B" w14:textId="77777777" w:rsidR="001E297B" w:rsidRPr="00894275" w:rsidRDefault="00FC50B8" w:rsidP="00FC50B8">
      <w:pPr>
        <w:spacing w:after="0" w:line="480" w:lineRule="auto"/>
        <w:rPr>
          <w:rFonts w:ascii="Courier New" w:hAnsi="Courier New" w:cs="Courier New"/>
          <w:i/>
          <w:iCs/>
          <w:sz w:val="24"/>
          <w:szCs w:val="24"/>
        </w:rPr>
      </w:pPr>
      <w:r w:rsidRPr="00894275">
        <w:rPr>
          <w:rFonts w:ascii="Courier New" w:hAnsi="Courier New" w:cs="Courier New"/>
          <w:i/>
          <w:iCs/>
          <w:sz w:val="24"/>
          <w:szCs w:val="24"/>
        </w:rPr>
        <w:t>COVID-19 outcomes</w:t>
      </w:r>
    </w:p>
    <w:p w14:paraId="43E6433E" w14:textId="2F4B6D8A" w:rsidR="001E297B"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t>Analyzing the effect of an upstream vaccination policy on COVID-19 outcomes is more challenging than evaluating the effect of the policy on vaccinations. Multi-dose vaccination schedules along with variability in exposure, testing access, and underlying health conditions may all affect observed rates of COVID-19 outcomes. We utilized a counterfactual approach used previously to estimate the impact of vaccination campaigns in which a control group does not exist</w:t>
      </w:r>
      <w:r w:rsidR="00FA3AAF">
        <w:rPr>
          <w:rFonts w:ascii="Courier New" w:hAnsi="Courier New" w:cs="Courier New"/>
          <w:sz w:val="24"/>
          <w:szCs w:val="24"/>
        </w:rPr>
        <w:t>.</w:t>
      </w:r>
      <w:r w:rsidR="00FA3AAF" w:rsidRPr="00FD587E">
        <w:rPr>
          <w:rFonts w:ascii="Courier New" w:hAnsi="Courier New" w:cs="Courier New"/>
          <w:sz w:val="24"/>
          <w:szCs w:val="24"/>
          <w:vertAlign w:val="superscript"/>
        </w:rPr>
        <w:t>2</w:t>
      </w:r>
      <w:r w:rsidR="00CD5CEE">
        <w:rPr>
          <w:rFonts w:ascii="Courier New" w:hAnsi="Courier New" w:cs="Courier New"/>
          <w:sz w:val="24"/>
          <w:szCs w:val="24"/>
          <w:vertAlign w:val="superscript"/>
        </w:rPr>
        <w:t>2</w:t>
      </w:r>
      <w:r w:rsidR="00FA3AAF" w:rsidRPr="00D72494">
        <w:rPr>
          <w:rFonts w:ascii="Courier New" w:hAnsi="Courier New" w:cs="Courier New"/>
          <w:sz w:val="24"/>
          <w:szCs w:val="24"/>
          <w:vertAlign w:val="superscript"/>
        </w:rPr>
        <w:t>,2</w:t>
      </w:r>
      <w:r w:rsidR="00CD5CEE">
        <w:rPr>
          <w:rFonts w:ascii="Courier New" w:hAnsi="Courier New" w:cs="Courier New"/>
          <w:sz w:val="24"/>
          <w:szCs w:val="24"/>
          <w:vertAlign w:val="superscript"/>
        </w:rPr>
        <w:t>3</w:t>
      </w:r>
      <w:r w:rsidR="00FA3AAF">
        <w:rPr>
          <w:rFonts w:ascii="Courier New" w:hAnsi="Courier New" w:cs="Courier New"/>
          <w:sz w:val="24"/>
          <w:szCs w:val="24"/>
        </w:rPr>
        <w:t xml:space="preserve"> </w:t>
      </w:r>
      <w:r w:rsidRPr="00FC50B8">
        <w:rPr>
          <w:rFonts w:ascii="Courier New" w:hAnsi="Courier New" w:cs="Courier New"/>
          <w:sz w:val="24"/>
          <w:szCs w:val="24"/>
        </w:rPr>
        <w:t>In this approach, the expected number of COVID-19 cases, hospitalizations, and deaths in the absence of the policy were estimated from fitted generalized linear models (GLMs) and compared to observed outcomes</w:t>
      </w:r>
      <w:r w:rsidR="00FA3AAF">
        <w:rPr>
          <w:rFonts w:ascii="Courier New" w:hAnsi="Courier New" w:cs="Courier New"/>
          <w:sz w:val="24"/>
          <w:szCs w:val="24"/>
        </w:rPr>
        <w:t>.</w:t>
      </w:r>
      <w:r w:rsidR="00FA3AAF" w:rsidRPr="00FD587E">
        <w:rPr>
          <w:rFonts w:ascii="Courier New" w:hAnsi="Courier New" w:cs="Courier New"/>
          <w:sz w:val="24"/>
          <w:szCs w:val="24"/>
          <w:vertAlign w:val="superscript"/>
        </w:rPr>
        <w:t>2</w:t>
      </w:r>
      <w:r w:rsidR="00CD5CEE">
        <w:rPr>
          <w:rFonts w:ascii="Courier New" w:hAnsi="Courier New" w:cs="Courier New"/>
          <w:sz w:val="24"/>
          <w:szCs w:val="24"/>
          <w:vertAlign w:val="superscript"/>
        </w:rPr>
        <w:t>2</w:t>
      </w:r>
      <w:r w:rsidR="00FA3AAF">
        <w:rPr>
          <w:rFonts w:ascii="Courier New" w:hAnsi="Courier New" w:cs="Courier New"/>
          <w:sz w:val="24"/>
          <w:szCs w:val="24"/>
        </w:rPr>
        <w:t xml:space="preserve"> </w:t>
      </w:r>
      <w:r w:rsidRPr="00FC50B8">
        <w:rPr>
          <w:rFonts w:ascii="Courier New" w:hAnsi="Courier New" w:cs="Courier New"/>
          <w:sz w:val="24"/>
          <w:szCs w:val="24"/>
        </w:rPr>
        <w:t>Procedures for fitting and assessing candidate GLMs to derive the most accurate counterfactual estimates of COVID-19 outcomes are described in the appendix.</w:t>
      </w:r>
      <w:r w:rsidR="00FA3AAF" w:rsidRPr="00D72494">
        <w:rPr>
          <w:rFonts w:ascii="Courier New" w:hAnsi="Courier New" w:cs="Courier New"/>
          <w:sz w:val="24"/>
          <w:szCs w:val="24"/>
          <w:vertAlign w:val="superscript"/>
        </w:rPr>
        <w:t>2</w:t>
      </w:r>
      <w:r w:rsidR="00CD5CEE">
        <w:rPr>
          <w:rFonts w:ascii="Courier New" w:hAnsi="Courier New" w:cs="Courier New"/>
          <w:sz w:val="24"/>
          <w:szCs w:val="24"/>
          <w:vertAlign w:val="superscript"/>
        </w:rPr>
        <w:t>1</w:t>
      </w:r>
      <w:r w:rsidRPr="00FC50B8">
        <w:rPr>
          <w:rFonts w:ascii="Courier New" w:hAnsi="Courier New" w:cs="Courier New"/>
          <w:sz w:val="24"/>
          <w:szCs w:val="24"/>
        </w:rPr>
        <w:t xml:space="preserve"> All COVID-19 case, hospitalization, and death data were aggregated at the ZIP code-</w:t>
      </w:r>
      <w:r w:rsidRPr="00FC50B8">
        <w:rPr>
          <w:rFonts w:ascii="Courier New" w:hAnsi="Courier New" w:cs="Courier New"/>
          <w:sz w:val="24"/>
          <w:szCs w:val="24"/>
        </w:rPr>
        <w:lastRenderedPageBreak/>
        <w:t>week level, with weeks defined by the preceding Monday of each record to align with the Monday, March 1, 2021</w:t>
      </w:r>
      <w:r w:rsidR="00894275">
        <w:rPr>
          <w:rFonts w:ascii="Courier New" w:hAnsi="Courier New" w:cs="Courier New"/>
          <w:sz w:val="24"/>
          <w:szCs w:val="24"/>
        </w:rPr>
        <w:t>,</w:t>
      </w:r>
      <w:r w:rsidRPr="00FC50B8">
        <w:rPr>
          <w:rFonts w:ascii="Courier New" w:hAnsi="Courier New" w:cs="Courier New"/>
          <w:sz w:val="24"/>
          <w:szCs w:val="24"/>
        </w:rPr>
        <w:t xml:space="preserve"> policy start date. The observation period was defined as December 14, 2020</w:t>
      </w:r>
      <w:r w:rsidR="00894275">
        <w:rPr>
          <w:rFonts w:ascii="Courier New" w:hAnsi="Courier New" w:cs="Courier New"/>
          <w:sz w:val="24"/>
          <w:szCs w:val="24"/>
        </w:rPr>
        <w:t xml:space="preserve">, </w:t>
      </w:r>
      <w:r w:rsidRPr="00FC50B8">
        <w:rPr>
          <w:rFonts w:ascii="Courier New" w:hAnsi="Courier New" w:cs="Courier New"/>
          <w:sz w:val="24"/>
          <w:szCs w:val="24"/>
        </w:rPr>
        <w:t>when Phase 1A of California’s vaccination campaign began</w:t>
      </w:r>
      <w:r w:rsidR="00894275">
        <w:rPr>
          <w:rFonts w:ascii="Courier New" w:hAnsi="Courier New" w:cs="Courier New"/>
          <w:sz w:val="24"/>
          <w:szCs w:val="24"/>
        </w:rPr>
        <w:t>,</w:t>
      </w:r>
      <w:r w:rsidR="00894275" w:rsidRPr="00D72494">
        <w:rPr>
          <w:rFonts w:ascii="Courier New" w:hAnsi="Courier New" w:cs="Courier New"/>
          <w:sz w:val="24"/>
          <w:szCs w:val="24"/>
          <w:vertAlign w:val="superscript"/>
        </w:rPr>
        <w:t>2</w:t>
      </w:r>
      <w:r w:rsidR="00CD5CEE">
        <w:rPr>
          <w:rFonts w:ascii="Courier New" w:hAnsi="Courier New" w:cs="Courier New"/>
          <w:sz w:val="24"/>
          <w:szCs w:val="24"/>
          <w:vertAlign w:val="superscript"/>
        </w:rPr>
        <w:t>4</w:t>
      </w:r>
      <w:r w:rsidR="00894275">
        <w:rPr>
          <w:rFonts w:ascii="Courier New" w:hAnsi="Courier New" w:cs="Courier New"/>
          <w:sz w:val="24"/>
          <w:szCs w:val="24"/>
        </w:rPr>
        <w:t xml:space="preserve"> </w:t>
      </w:r>
      <w:r w:rsidRPr="00FC50B8">
        <w:rPr>
          <w:rFonts w:ascii="Courier New" w:hAnsi="Courier New" w:cs="Courier New"/>
          <w:sz w:val="24"/>
          <w:szCs w:val="24"/>
        </w:rPr>
        <w:t>through November 1, 2021</w:t>
      </w:r>
      <w:r w:rsidR="00894275">
        <w:rPr>
          <w:rFonts w:ascii="Courier New" w:hAnsi="Courier New" w:cs="Courier New"/>
          <w:sz w:val="24"/>
          <w:szCs w:val="24"/>
        </w:rPr>
        <w:t xml:space="preserve">, </w:t>
      </w:r>
      <w:r w:rsidRPr="00FC50B8">
        <w:rPr>
          <w:rFonts w:ascii="Courier New" w:hAnsi="Courier New" w:cs="Courier New"/>
          <w:sz w:val="24"/>
          <w:szCs w:val="24"/>
        </w:rPr>
        <w:t>just prior to the emergence of the Omicron variant and widespread booster rollout.</w:t>
      </w:r>
    </w:p>
    <w:p w14:paraId="07C53034" w14:textId="77777777" w:rsidR="001E297B" w:rsidRDefault="001E297B" w:rsidP="00FC50B8">
      <w:pPr>
        <w:spacing w:after="0" w:line="480" w:lineRule="auto"/>
        <w:rPr>
          <w:rFonts w:ascii="Courier New" w:hAnsi="Courier New" w:cs="Courier New"/>
          <w:sz w:val="24"/>
          <w:szCs w:val="24"/>
        </w:rPr>
      </w:pPr>
    </w:p>
    <w:p w14:paraId="24CB1F5D" w14:textId="0CF9187D" w:rsidR="001E297B" w:rsidRDefault="00FC50B8" w:rsidP="00FC50B8">
      <w:pPr>
        <w:spacing w:after="0" w:line="480" w:lineRule="auto"/>
        <w:rPr>
          <w:rFonts w:ascii="Courier New" w:hAnsi="Courier New" w:cs="Courier New"/>
          <w:i/>
          <w:iCs/>
          <w:sz w:val="24"/>
          <w:szCs w:val="24"/>
        </w:rPr>
      </w:pPr>
      <w:r w:rsidRPr="00FC50B8">
        <w:rPr>
          <w:rFonts w:ascii="Courier New" w:hAnsi="Courier New" w:cs="Courier New"/>
          <w:sz w:val="24"/>
          <w:szCs w:val="24"/>
        </w:rPr>
        <w:t xml:space="preserve">For each outcome, the GLM with the lowest </w:t>
      </w:r>
      <w:commentRangeStart w:id="2"/>
      <w:commentRangeStart w:id="3"/>
      <w:r w:rsidR="00894275">
        <w:rPr>
          <w:rFonts w:ascii="Courier New" w:hAnsi="Courier New" w:cs="Courier New"/>
          <w:sz w:val="24"/>
          <w:szCs w:val="24"/>
        </w:rPr>
        <w:t>mean squared error</w:t>
      </w:r>
      <w:commentRangeEnd w:id="2"/>
      <w:r w:rsidR="00894275">
        <w:rPr>
          <w:rStyle w:val="CommentReference"/>
        </w:rPr>
        <w:commentReference w:id="2"/>
      </w:r>
      <w:commentRangeEnd w:id="3"/>
      <w:r w:rsidR="00FD587E">
        <w:rPr>
          <w:rStyle w:val="CommentReference"/>
        </w:rPr>
        <w:commentReference w:id="3"/>
      </w:r>
      <w:r w:rsidRPr="00FC50B8">
        <w:rPr>
          <w:rFonts w:ascii="Courier New" w:hAnsi="Courier New" w:cs="Courier New"/>
          <w:sz w:val="24"/>
          <w:szCs w:val="24"/>
        </w:rPr>
        <w:t xml:space="preserve"> was used to generate counterfactual estimates for VEM Q1 in the absence of the policy by setting the intervention variable (and any interaction terms with the intervention variable) to 0 and re-estimating the outcome from the fitted model. Averted COVID-19 cases, hospitalizations, and deaths in VEM Q1 were estimated as the difference between these counterfactual model predictions and observed values. Clustered nonparametric bootstrapping at the ZIP code level with 10,000 bootstrapped samples was conducted to generate estimates of uncertainty in outcomes avoided that are robust to model misspecification. To ensure that outcomes</w:t>
      </w:r>
      <w:r w:rsidR="00894275">
        <w:rPr>
          <w:rFonts w:ascii="Courier New" w:hAnsi="Courier New" w:cs="Courier New"/>
          <w:sz w:val="24"/>
          <w:szCs w:val="24"/>
        </w:rPr>
        <w:t>-</w:t>
      </w:r>
      <w:r w:rsidRPr="00FC50B8">
        <w:rPr>
          <w:rFonts w:ascii="Courier New" w:hAnsi="Courier New" w:cs="Courier New"/>
          <w:sz w:val="24"/>
          <w:szCs w:val="24"/>
        </w:rPr>
        <w:t xml:space="preserve">averted results were not driven solely by the best performing model, estimates were also generated from the next best performing models, as described in </w:t>
      </w:r>
      <w:r w:rsidRPr="00894275">
        <w:rPr>
          <w:rFonts w:ascii="Courier New" w:hAnsi="Courier New" w:cs="Courier New"/>
          <w:sz w:val="24"/>
          <w:szCs w:val="24"/>
        </w:rPr>
        <w:t>the appendix.</w:t>
      </w:r>
      <w:r w:rsidR="00FA3AAF" w:rsidRPr="00D72494">
        <w:rPr>
          <w:rFonts w:ascii="Courier New" w:hAnsi="Courier New" w:cs="Courier New"/>
          <w:sz w:val="24"/>
          <w:szCs w:val="24"/>
          <w:vertAlign w:val="superscript"/>
        </w:rPr>
        <w:t>2</w:t>
      </w:r>
      <w:r w:rsidR="00D16EBA">
        <w:rPr>
          <w:rFonts w:ascii="Courier New" w:hAnsi="Courier New" w:cs="Courier New"/>
          <w:sz w:val="24"/>
          <w:szCs w:val="24"/>
          <w:vertAlign w:val="superscript"/>
        </w:rPr>
        <w:t>1</w:t>
      </w:r>
    </w:p>
    <w:p w14:paraId="65960481" w14:textId="77777777" w:rsidR="001E297B" w:rsidRDefault="001E297B" w:rsidP="00FC50B8">
      <w:pPr>
        <w:spacing w:after="0" w:line="480" w:lineRule="auto"/>
        <w:rPr>
          <w:rFonts w:ascii="Courier New" w:hAnsi="Courier New" w:cs="Courier New"/>
          <w:i/>
          <w:iCs/>
          <w:sz w:val="24"/>
          <w:szCs w:val="24"/>
        </w:rPr>
      </w:pPr>
    </w:p>
    <w:p w14:paraId="7CA9A199" w14:textId="77777777" w:rsidR="001E297B" w:rsidRPr="00894275" w:rsidRDefault="00FC50B8" w:rsidP="00FC50B8">
      <w:pPr>
        <w:spacing w:after="0" w:line="480" w:lineRule="auto"/>
        <w:rPr>
          <w:rFonts w:ascii="Courier New" w:hAnsi="Courier New" w:cs="Courier New"/>
          <w:b/>
          <w:bCs/>
          <w:i/>
          <w:iCs/>
          <w:sz w:val="24"/>
          <w:szCs w:val="24"/>
        </w:rPr>
      </w:pPr>
      <w:r w:rsidRPr="00894275">
        <w:rPr>
          <w:rFonts w:ascii="Courier New" w:hAnsi="Courier New" w:cs="Courier New"/>
          <w:b/>
          <w:bCs/>
          <w:sz w:val="24"/>
          <w:szCs w:val="24"/>
        </w:rPr>
        <w:t>Code and data availability</w:t>
      </w:r>
    </w:p>
    <w:p w14:paraId="02B298C6" w14:textId="4535259A" w:rsidR="00FC50B8"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lastRenderedPageBreak/>
        <w:t>Where possible, data and code used in these analyses is available on the California Open Data Portal</w:t>
      </w:r>
      <w:r w:rsidR="00894275">
        <w:rPr>
          <w:rFonts w:ascii="Courier New" w:hAnsi="Courier New" w:cs="Courier New"/>
          <w:sz w:val="24"/>
          <w:szCs w:val="24"/>
        </w:rPr>
        <w:t xml:space="preserve"> (</w:t>
      </w:r>
      <w:hyperlink r:id="rId11" w:history="1">
        <w:r w:rsidR="00894275" w:rsidRPr="00470042">
          <w:rPr>
            <w:rStyle w:val="Hyperlink"/>
            <w:rFonts w:ascii="Courier New" w:hAnsi="Courier New" w:cs="Courier New"/>
            <w:sz w:val="24"/>
            <w:szCs w:val="24"/>
          </w:rPr>
          <w:t>https://data.ca.gov/</w:t>
        </w:r>
      </w:hyperlink>
      <w:r w:rsidR="00894275">
        <w:rPr>
          <w:rFonts w:ascii="Courier New" w:hAnsi="Courier New" w:cs="Courier New"/>
          <w:sz w:val="24"/>
          <w:szCs w:val="24"/>
        </w:rPr>
        <w:t xml:space="preserve">) </w:t>
      </w:r>
      <w:r w:rsidRPr="00FC50B8">
        <w:rPr>
          <w:rFonts w:ascii="Courier New" w:hAnsi="Courier New" w:cs="Courier New"/>
          <w:sz w:val="24"/>
          <w:szCs w:val="24"/>
        </w:rPr>
        <w:t>and on GitHub</w:t>
      </w:r>
      <w:r w:rsidR="00894275">
        <w:rPr>
          <w:rFonts w:ascii="Courier New" w:hAnsi="Courier New" w:cs="Courier New"/>
          <w:sz w:val="24"/>
          <w:szCs w:val="24"/>
        </w:rPr>
        <w:t xml:space="preserve"> </w:t>
      </w:r>
      <w:r w:rsidRPr="00FC50B8">
        <w:rPr>
          <w:rFonts w:ascii="Courier New" w:hAnsi="Courier New" w:cs="Courier New"/>
          <w:sz w:val="24"/>
          <w:szCs w:val="24"/>
        </w:rPr>
        <w:t>(</w:t>
      </w:r>
      <w:hyperlink r:id="rId12" w:history="1">
        <w:r w:rsidR="00894275" w:rsidRPr="00470042">
          <w:rPr>
            <w:rStyle w:val="Hyperlink"/>
            <w:rFonts w:ascii="Courier New" w:hAnsi="Courier New" w:cs="Courier New"/>
            <w:sz w:val="24"/>
            <w:szCs w:val="24"/>
          </w:rPr>
          <w:t>https://github.com/cmhoove14/VaxEquityEval</w:t>
        </w:r>
      </w:hyperlink>
      <w:r w:rsidRPr="00FC50B8">
        <w:rPr>
          <w:rFonts w:ascii="Courier New" w:hAnsi="Courier New" w:cs="Courier New"/>
          <w:sz w:val="24"/>
          <w:szCs w:val="24"/>
        </w:rPr>
        <w:t>). However, ZIP-level weekly time series of COVID-19 outcomes are considered protected public health data. Investigators interested in obtaining these data should contact the corresponding author to discuss the process for developing a data</w:t>
      </w:r>
      <w:r w:rsidR="00894275">
        <w:rPr>
          <w:rFonts w:ascii="Courier New" w:hAnsi="Courier New" w:cs="Courier New"/>
          <w:sz w:val="24"/>
          <w:szCs w:val="24"/>
        </w:rPr>
        <w:t xml:space="preserve"> </w:t>
      </w:r>
      <w:r w:rsidRPr="00FC50B8">
        <w:rPr>
          <w:rFonts w:ascii="Courier New" w:hAnsi="Courier New" w:cs="Courier New"/>
          <w:sz w:val="24"/>
          <w:szCs w:val="24"/>
        </w:rPr>
        <w:t>use agreement and obtaining the data. All analyses were conducted using R Statistical Software (4.04</w:t>
      </w:r>
      <w:r w:rsidR="00894275">
        <w:rPr>
          <w:rFonts w:ascii="Courier New" w:hAnsi="Courier New" w:cs="Courier New"/>
          <w:sz w:val="24"/>
          <w:szCs w:val="24"/>
        </w:rPr>
        <w:t>)</w:t>
      </w:r>
      <w:r w:rsidRPr="00FC50B8">
        <w:rPr>
          <w:rFonts w:ascii="Courier New" w:hAnsi="Courier New" w:cs="Courier New"/>
          <w:sz w:val="24"/>
          <w:szCs w:val="24"/>
        </w:rPr>
        <w:t>,</w:t>
      </w:r>
      <w:r w:rsidR="00894275" w:rsidRPr="00D72494">
        <w:rPr>
          <w:rFonts w:ascii="Courier New" w:hAnsi="Courier New" w:cs="Courier New"/>
          <w:sz w:val="24"/>
          <w:szCs w:val="24"/>
          <w:vertAlign w:val="superscript"/>
        </w:rPr>
        <w:t>2</w:t>
      </w:r>
      <w:r w:rsidR="00FD587E">
        <w:rPr>
          <w:rFonts w:ascii="Courier New" w:hAnsi="Courier New" w:cs="Courier New"/>
          <w:sz w:val="24"/>
          <w:szCs w:val="24"/>
          <w:vertAlign w:val="superscript"/>
        </w:rPr>
        <w:t>5</w:t>
      </w:r>
      <w:r w:rsidRPr="00FC50B8">
        <w:rPr>
          <w:rFonts w:ascii="Courier New" w:hAnsi="Courier New" w:cs="Courier New"/>
          <w:sz w:val="24"/>
          <w:szCs w:val="24"/>
        </w:rPr>
        <w:t xml:space="preserve"> utilizing the tidyverse</w:t>
      </w:r>
      <w:r w:rsidR="00894275">
        <w:rPr>
          <w:rFonts w:ascii="Courier New" w:hAnsi="Courier New" w:cs="Courier New"/>
          <w:sz w:val="24"/>
          <w:szCs w:val="24"/>
        </w:rPr>
        <w:t>,</w:t>
      </w:r>
      <w:r w:rsidR="00894275" w:rsidRPr="00FD587E">
        <w:rPr>
          <w:rFonts w:ascii="Courier New" w:hAnsi="Courier New" w:cs="Courier New"/>
          <w:sz w:val="24"/>
          <w:szCs w:val="24"/>
          <w:vertAlign w:val="superscript"/>
        </w:rPr>
        <w:t>2</w:t>
      </w:r>
      <w:r w:rsidR="00FD587E">
        <w:rPr>
          <w:rFonts w:ascii="Courier New" w:hAnsi="Courier New" w:cs="Courier New"/>
          <w:sz w:val="24"/>
          <w:szCs w:val="24"/>
          <w:vertAlign w:val="superscript"/>
        </w:rPr>
        <w:t>6</w:t>
      </w:r>
      <w:r w:rsidRPr="00FC50B8">
        <w:rPr>
          <w:rFonts w:ascii="Courier New" w:hAnsi="Courier New" w:cs="Courier New"/>
          <w:sz w:val="24"/>
          <w:szCs w:val="24"/>
        </w:rPr>
        <w:t xml:space="preserve"> splines, lme4</w:t>
      </w:r>
      <w:r w:rsidR="00894275">
        <w:rPr>
          <w:rFonts w:ascii="Courier New" w:hAnsi="Courier New" w:cs="Courier New"/>
          <w:sz w:val="24"/>
          <w:szCs w:val="24"/>
        </w:rPr>
        <w:t>,</w:t>
      </w:r>
      <w:r w:rsidR="00894275" w:rsidRPr="00FD587E">
        <w:rPr>
          <w:rFonts w:ascii="Courier New" w:hAnsi="Courier New" w:cs="Courier New"/>
          <w:sz w:val="24"/>
          <w:szCs w:val="24"/>
          <w:vertAlign w:val="superscript"/>
        </w:rPr>
        <w:t>2</w:t>
      </w:r>
      <w:r w:rsidR="00FD587E">
        <w:rPr>
          <w:rFonts w:ascii="Courier New" w:hAnsi="Courier New" w:cs="Courier New"/>
          <w:sz w:val="24"/>
          <w:szCs w:val="24"/>
          <w:vertAlign w:val="superscript"/>
        </w:rPr>
        <w:t>7</w:t>
      </w:r>
      <w:r w:rsidR="00894275">
        <w:rPr>
          <w:rFonts w:ascii="Courier New" w:hAnsi="Courier New" w:cs="Courier New"/>
          <w:sz w:val="24"/>
          <w:szCs w:val="24"/>
        </w:rPr>
        <w:t xml:space="preserve"> </w:t>
      </w:r>
      <w:r w:rsidRPr="00FC50B8">
        <w:rPr>
          <w:rFonts w:ascii="Courier New" w:hAnsi="Courier New" w:cs="Courier New"/>
          <w:sz w:val="24"/>
          <w:szCs w:val="24"/>
        </w:rPr>
        <w:t>sandwich</w:t>
      </w:r>
      <w:r w:rsidR="00894275">
        <w:rPr>
          <w:rFonts w:ascii="Courier New" w:hAnsi="Courier New" w:cs="Courier New"/>
          <w:sz w:val="24"/>
          <w:szCs w:val="24"/>
        </w:rPr>
        <w:t>,</w:t>
      </w:r>
      <w:r w:rsidR="00894275" w:rsidRPr="00FD587E">
        <w:rPr>
          <w:rFonts w:ascii="Courier New" w:hAnsi="Courier New" w:cs="Courier New"/>
          <w:sz w:val="24"/>
          <w:szCs w:val="24"/>
          <w:vertAlign w:val="superscript"/>
        </w:rPr>
        <w:t>2</w:t>
      </w:r>
      <w:r w:rsidR="00FD587E">
        <w:rPr>
          <w:rFonts w:ascii="Courier New" w:hAnsi="Courier New" w:cs="Courier New"/>
          <w:sz w:val="24"/>
          <w:szCs w:val="24"/>
          <w:vertAlign w:val="superscript"/>
        </w:rPr>
        <w:t>8</w:t>
      </w:r>
      <w:r w:rsidR="00894275">
        <w:rPr>
          <w:rFonts w:ascii="Courier New" w:hAnsi="Courier New" w:cs="Courier New"/>
          <w:sz w:val="24"/>
          <w:szCs w:val="24"/>
        </w:rPr>
        <w:t xml:space="preserve"> </w:t>
      </w:r>
      <w:r w:rsidRPr="00FC50B8">
        <w:rPr>
          <w:rFonts w:ascii="Courier New" w:hAnsi="Courier New" w:cs="Courier New"/>
          <w:sz w:val="24"/>
          <w:szCs w:val="24"/>
        </w:rPr>
        <w:t xml:space="preserve">and </w:t>
      </w:r>
      <w:proofErr w:type="spellStart"/>
      <w:r w:rsidRPr="00FC50B8">
        <w:rPr>
          <w:rFonts w:ascii="Courier New" w:hAnsi="Courier New" w:cs="Courier New"/>
          <w:sz w:val="24"/>
          <w:szCs w:val="24"/>
        </w:rPr>
        <w:t>fastglm</w:t>
      </w:r>
      <w:proofErr w:type="spellEnd"/>
      <w:r w:rsidRPr="00FC50B8">
        <w:rPr>
          <w:rFonts w:ascii="Courier New" w:hAnsi="Courier New" w:cs="Courier New"/>
          <w:sz w:val="24"/>
          <w:szCs w:val="24"/>
        </w:rPr>
        <w:t xml:space="preserve"> packages</w:t>
      </w:r>
      <w:r w:rsidR="001E297B">
        <w:rPr>
          <w:rFonts w:ascii="Courier New" w:hAnsi="Courier New" w:cs="Courier New"/>
          <w:sz w:val="24"/>
          <w:szCs w:val="24"/>
        </w:rPr>
        <w:t>.</w:t>
      </w:r>
    </w:p>
    <w:p w14:paraId="0FE4D524" w14:textId="77777777" w:rsidR="005619C7" w:rsidRDefault="005619C7" w:rsidP="00FC50B8">
      <w:pPr>
        <w:spacing w:after="0" w:line="480" w:lineRule="auto"/>
        <w:rPr>
          <w:rFonts w:ascii="Courier New" w:hAnsi="Courier New" w:cs="Courier New"/>
          <w:sz w:val="24"/>
          <w:szCs w:val="24"/>
        </w:rPr>
      </w:pPr>
    </w:p>
    <w:p w14:paraId="796D1485" w14:textId="3AFB3176" w:rsidR="005619C7" w:rsidRPr="001E297B" w:rsidRDefault="005619C7" w:rsidP="00FC50B8">
      <w:pPr>
        <w:spacing w:after="0" w:line="480" w:lineRule="auto"/>
        <w:rPr>
          <w:rFonts w:ascii="Courier New" w:hAnsi="Courier New" w:cs="Courier New"/>
          <w:i/>
          <w:iCs/>
          <w:sz w:val="24"/>
          <w:szCs w:val="24"/>
        </w:rPr>
      </w:pPr>
      <w:commentRangeStart w:id="4"/>
      <w:commentRangeStart w:id="5"/>
      <w:r>
        <w:rPr>
          <w:rFonts w:ascii="Courier New" w:hAnsi="Courier New" w:cs="Courier New"/>
          <w:i/>
          <w:iCs/>
          <w:sz w:val="24"/>
          <w:szCs w:val="24"/>
        </w:rPr>
        <w:t>Limitations</w:t>
      </w:r>
      <w:commentRangeEnd w:id="4"/>
      <w:r w:rsidR="00DB421E">
        <w:rPr>
          <w:rStyle w:val="CommentReference"/>
        </w:rPr>
        <w:commentReference w:id="4"/>
      </w:r>
      <w:commentRangeEnd w:id="5"/>
      <w:r w:rsidR="007B3522">
        <w:rPr>
          <w:rStyle w:val="CommentReference"/>
        </w:rPr>
        <w:commentReference w:id="5"/>
      </w:r>
    </w:p>
    <w:p w14:paraId="19A73969" w14:textId="6BA0BC50" w:rsidR="001E297B" w:rsidRDefault="007C6C22" w:rsidP="007C6C22">
      <w:pPr>
        <w:spacing w:after="0" w:line="480" w:lineRule="auto"/>
        <w:rPr>
          <w:rFonts w:ascii="Courier New" w:hAnsi="Courier New" w:cs="Courier New"/>
          <w:sz w:val="24"/>
          <w:szCs w:val="24"/>
        </w:rPr>
      </w:pPr>
      <w:r w:rsidRPr="007C6C22">
        <w:rPr>
          <w:rFonts w:ascii="Courier New" w:hAnsi="Courier New" w:cs="Courier New"/>
          <w:sz w:val="24"/>
          <w:szCs w:val="24"/>
        </w:rPr>
        <w:t xml:space="preserve">There are inherent limitations in a complex policy analysis assessing the impact of vaccination policies. Our main challenge was overcoming the lack of a consistently reliable comparison group for VEM Q1 communities that were prioritized by the policy. </w:t>
      </w:r>
      <w:r>
        <w:rPr>
          <w:rFonts w:ascii="Courier New" w:hAnsi="Courier New" w:cs="Courier New"/>
          <w:sz w:val="24"/>
          <w:szCs w:val="24"/>
        </w:rPr>
        <w:t>Our</w:t>
      </w:r>
      <w:r w:rsidRPr="007C6C22">
        <w:rPr>
          <w:rFonts w:ascii="Courier New" w:hAnsi="Courier New" w:cs="Courier New"/>
          <w:sz w:val="24"/>
          <w:szCs w:val="24"/>
        </w:rPr>
        <w:t xml:space="preserve"> counterfactual approach is similar to a synthetic control analysis in which counterfactual estimates are generated for the target population</w:t>
      </w:r>
      <w:r w:rsidR="00395E9F">
        <w:rPr>
          <w:rFonts w:ascii="Courier New" w:hAnsi="Courier New" w:cs="Courier New"/>
          <w:sz w:val="24"/>
          <w:szCs w:val="24"/>
        </w:rPr>
        <w:t xml:space="preserve"> in the absence of a control group</w:t>
      </w:r>
      <w:r w:rsidRPr="007C6C22">
        <w:rPr>
          <w:rFonts w:ascii="Courier New" w:hAnsi="Courier New" w:cs="Courier New"/>
          <w:sz w:val="24"/>
          <w:szCs w:val="24"/>
        </w:rPr>
        <w:t xml:space="preserve"> and compared to what was actually observed</w:t>
      </w:r>
      <w:r>
        <w:rPr>
          <w:rFonts w:ascii="Courier New" w:hAnsi="Courier New" w:cs="Courier New"/>
          <w:sz w:val="24"/>
          <w:szCs w:val="24"/>
        </w:rPr>
        <w:t>.</w:t>
      </w:r>
      <w:r w:rsidRPr="007C6C22">
        <w:rPr>
          <w:rFonts w:ascii="Courier New" w:hAnsi="Courier New" w:cs="Courier New"/>
          <w:sz w:val="24"/>
          <w:szCs w:val="24"/>
          <w:vertAlign w:val="superscript"/>
        </w:rPr>
        <w:t>2</w:t>
      </w:r>
      <w:r>
        <w:rPr>
          <w:rFonts w:ascii="Courier New" w:hAnsi="Courier New" w:cs="Courier New"/>
          <w:sz w:val="24"/>
          <w:szCs w:val="24"/>
          <w:vertAlign w:val="superscript"/>
        </w:rPr>
        <w:t xml:space="preserve">3 </w:t>
      </w:r>
      <w:r w:rsidRPr="007C6C22">
        <w:rPr>
          <w:rFonts w:ascii="Courier New" w:hAnsi="Courier New" w:cs="Courier New"/>
          <w:sz w:val="24"/>
          <w:szCs w:val="24"/>
        </w:rPr>
        <w:t xml:space="preserve">Our approach to evaluate candidate models on their out-of-sample performance optimizes our counterfactual estimates by rigorously identifying the model with the best out-of-sample predictions. </w:t>
      </w:r>
      <w:r>
        <w:rPr>
          <w:rFonts w:ascii="Courier New" w:hAnsi="Courier New" w:cs="Courier New"/>
          <w:sz w:val="24"/>
          <w:szCs w:val="24"/>
        </w:rPr>
        <w:t>B</w:t>
      </w:r>
      <w:r w:rsidRPr="007C6C22">
        <w:rPr>
          <w:rFonts w:ascii="Courier New" w:hAnsi="Courier New" w:cs="Courier New"/>
          <w:sz w:val="24"/>
          <w:szCs w:val="24"/>
        </w:rPr>
        <w:t xml:space="preserve">ootstrapped </w:t>
      </w:r>
      <w:r w:rsidRPr="007C6C22">
        <w:rPr>
          <w:rFonts w:ascii="Courier New" w:hAnsi="Courier New" w:cs="Courier New"/>
          <w:sz w:val="24"/>
          <w:szCs w:val="24"/>
        </w:rPr>
        <w:lastRenderedPageBreak/>
        <w:t xml:space="preserve">resampling at the ZIP code level to generate uncertainty estimates also ensures that our results are not reliant on a small number of overly influential observations (such as very high population ZIP codes) and that results accurately reflect uncertainty in the estimation procedure. </w:t>
      </w:r>
    </w:p>
    <w:p w14:paraId="189B959C" w14:textId="775FEBEE" w:rsidR="00FC50B8" w:rsidRPr="001E297B" w:rsidRDefault="001E297B" w:rsidP="00FC50B8">
      <w:pPr>
        <w:spacing w:after="0" w:line="480" w:lineRule="auto"/>
        <w:rPr>
          <w:rFonts w:ascii="Courier New" w:hAnsi="Courier New" w:cs="Courier New"/>
          <w:b/>
          <w:bCs/>
          <w:sz w:val="24"/>
          <w:szCs w:val="24"/>
        </w:rPr>
      </w:pPr>
      <w:r w:rsidRPr="001E297B">
        <w:rPr>
          <w:rFonts w:ascii="Courier New" w:hAnsi="Courier New" w:cs="Courier New"/>
          <w:b/>
          <w:bCs/>
          <w:sz w:val="24"/>
          <w:szCs w:val="24"/>
        </w:rPr>
        <w:t xml:space="preserve">RESULTS </w:t>
      </w:r>
    </w:p>
    <w:p w14:paraId="45624F02" w14:textId="77777777" w:rsidR="001E297B" w:rsidRDefault="00FC50B8" w:rsidP="00FC50B8">
      <w:pPr>
        <w:spacing w:after="0" w:line="480" w:lineRule="auto"/>
        <w:rPr>
          <w:rFonts w:ascii="Courier New" w:hAnsi="Courier New" w:cs="Courier New"/>
          <w:b/>
          <w:bCs/>
          <w:sz w:val="24"/>
          <w:szCs w:val="24"/>
        </w:rPr>
      </w:pPr>
      <w:r w:rsidRPr="001E297B">
        <w:rPr>
          <w:rFonts w:ascii="Courier New" w:hAnsi="Courier New" w:cs="Courier New"/>
          <w:b/>
          <w:bCs/>
          <w:sz w:val="24"/>
          <w:szCs w:val="24"/>
        </w:rPr>
        <w:t xml:space="preserve">Policy impact on vaccinations </w:t>
      </w:r>
      <w:proofErr w:type="gramStart"/>
      <w:r w:rsidRPr="001E297B">
        <w:rPr>
          <w:rFonts w:ascii="Courier New" w:hAnsi="Courier New" w:cs="Courier New"/>
          <w:b/>
          <w:bCs/>
          <w:sz w:val="24"/>
          <w:szCs w:val="24"/>
        </w:rPr>
        <w:t>administered</w:t>
      </w:r>
      <w:proofErr w:type="gramEnd"/>
    </w:p>
    <w:p w14:paraId="4FAECA38" w14:textId="2F3B2483" w:rsidR="001E297B" w:rsidRDefault="00FC50B8" w:rsidP="00FC50B8">
      <w:pPr>
        <w:spacing w:after="0" w:line="480" w:lineRule="auto"/>
        <w:rPr>
          <w:rFonts w:ascii="Courier New" w:hAnsi="Courier New" w:cs="Courier New"/>
          <w:b/>
          <w:bCs/>
          <w:sz w:val="24"/>
          <w:szCs w:val="24"/>
        </w:rPr>
      </w:pPr>
      <w:r w:rsidRPr="00FC50B8">
        <w:rPr>
          <w:rFonts w:ascii="Courier New" w:hAnsi="Courier New" w:cs="Courier New"/>
          <w:sz w:val="24"/>
          <w:szCs w:val="24"/>
        </w:rPr>
        <w:t xml:space="preserve">Nearly 14.9 million COVID-19 vaccines were administered in California in the combined four-week periods before and after the policy began on March 1, 2021 (February 1, 2021 - March 29, 2021). The vaccination rate per 100,000 in the </w:t>
      </w:r>
      <w:r w:rsidR="003D2614">
        <w:rPr>
          <w:rFonts w:ascii="Courier New" w:hAnsi="Courier New" w:cs="Courier New"/>
          <w:sz w:val="24"/>
          <w:szCs w:val="24"/>
        </w:rPr>
        <w:t>eight</w:t>
      </w:r>
      <w:r w:rsidRPr="00FC50B8">
        <w:rPr>
          <w:rFonts w:ascii="Courier New" w:hAnsi="Courier New" w:cs="Courier New"/>
          <w:sz w:val="24"/>
          <w:szCs w:val="24"/>
        </w:rPr>
        <w:t>-week period was highest in VEM Q4 and lowest in VEM Q1 (</w:t>
      </w:r>
      <w:r w:rsidR="0015007C" w:rsidRPr="00FC50B8">
        <w:rPr>
          <w:rFonts w:ascii="Courier New" w:hAnsi="Courier New" w:cs="Courier New"/>
          <w:sz w:val="24"/>
          <w:szCs w:val="24"/>
        </w:rPr>
        <w:t>ex</w:t>
      </w:r>
      <w:r w:rsidRPr="00FC50B8">
        <w:rPr>
          <w:rFonts w:ascii="Courier New" w:hAnsi="Courier New" w:cs="Courier New"/>
          <w:sz w:val="24"/>
          <w:szCs w:val="24"/>
        </w:rPr>
        <w:t>hibit 1). However, the vaccination rate increased the most in VEM Q1 following the equity allocation, from 9,998 vaccinations</w:t>
      </w:r>
      <w:r w:rsidR="0015007C">
        <w:rPr>
          <w:rFonts w:ascii="Courier New" w:hAnsi="Courier New" w:cs="Courier New"/>
          <w:sz w:val="24"/>
          <w:szCs w:val="24"/>
        </w:rPr>
        <w:t xml:space="preserve"> per </w:t>
      </w:r>
      <w:r w:rsidRPr="00FC50B8">
        <w:rPr>
          <w:rFonts w:ascii="Courier New" w:hAnsi="Courier New" w:cs="Courier New"/>
          <w:sz w:val="24"/>
          <w:szCs w:val="24"/>
        </w:rPr>
        <w:t>100,000 in the four weeks before the equity allocation to 18,146</w:t>
      </w:r>
      <w:r w:rsidR="001E297B">
        <w:rPr>
          <w:rFonts w:ascii="Courier New" w:hAnsi="Courier New" w:cs="Courier New"/>
          <w:sz w:val="24"/>
          <w:szCs w:val="24"/>
        </w:rPr>
        <w:t xml:space="preserve"> </w:t>
      </w:r>
      <w:r w:rsidRPr="00FC50B8">
        <w:rPr>
          <w:rFonts w:ascii="Courier New" w:hAnsi="Courier New" w:cs="Courier New"/>
          <w:sz w:val="24"/>
          <w:szCs w:val="24"/>
        </w:rPr>
        <w:t>vaccinations</w:t>
      </w:r>
      <w:r w:rsidR="0015007C">
        <w:rPr>
          <w:rFonts w:ascii="Courier New" w:hAnsi="Courier New" w:cs="Courier New"/>
          <w:sz w:val="24"/>
          <w:szCs w:val="24"/>
        </w:rPr>
        <w:t xml:space="preserve"> per </w:t>
      </w:r>
      <w:r w:rsidRPr="00FC50B8">
        <w:rPr>
          <w:rFonts w:ascii="Courier New" w:hAnsi="Courier New" w:cs="Courier New"/>
          <w:sz w:val="24"/>
          <w:szCs w:val="24"/>
        </w:rPr>
        <w:t>100,000 in the four weeks after (</w:t>
      </w:r>
      <w:r w:rsidR="0015007C" w:rsidRPr="00FC50B8">
        <w:rPr>
          <w:rFonts w:ascii="Courier New" w:hAnsi="Courier New" w:cs="Courier New"/>
          <w:sz w:val="24"/>
          <w:szCs w:val="24"/>
        </w:rPr>
        <w:t>e</w:t>
      </w:r>
      <w:r w:rsidRPr="00FC50B8">
        <w:rPr>
          <w:rFonts w:ascii="Courier New" w:hAnsi="Courier New" w:cs="Courier New"/>
          <w:sz w:val="24"/>
          <w:szCs w:val="24"/>
        </w:rPr>
        <w:t xml:space="preserve">xhibit 1). </w:t>
      </w:r>
      <w:r w:rsidRPr="0015007C">
        <w:rPr>
          <w:rFonts w:ascii="Courier New" w:hAnsi="Courier New" w:cs="Courier New"/>
          <w:sz w:val="24"/>
          <w:szCs w:val="24"/>
        </w:rPr>
        <w:t xml:space="preserve">Appendix </w:t>
      </w:r>
      <w:r w:rsidR="0015007C" w:rsidRPr="0015007C">
        <w:rPr>
          <w:rFonts w:ascii="Courier New" w:hAnsi="Courier New" w:cs="Courier New"/>
          <w:sz w:val="24"/>
          <w:szCs w:val="24"/>
        </w:rPr>
        <w:t>Exhibit</w:t>
      </w:r>
      <w:r w:rsidRPr="0015007C">
        <w:rPr>
          <w:rFonts w:ascii="Courier New" w:hAnsi="Courier New" w:cs="Courier New"/>
          <w:sz w:val="24"/>
          <w:szCs w:val="24"/>
        </w:rPr>
        <w:t xml:space="preserve"> S1</w:t>
      </w:r>
      <w:r w:rsidR="00FA3AAF" w:rsidRPr="00D72494">
        <w:rPr>
          <w:rFonts w:ascii="Courier New" w:hAnsi="Courier New" w:cs="Courier New"/>
          <w:sz w:val="24"/>
          <w:szCs w:val="24"/>
          <w:vertAlign w:val="superscript"/>
        </w:rPr>
        <w:t>2</w:t>
      </w:r>
      <w:r w:rsidR="00FD587E">
        <w:rPr>
          <w:rFonts w:ascii="Courier New" w:hAnsi="Courier New" w:cs="Courier New"/>
          <w:sz w:val="24"/>
          <w:szCs w:val="24"/>
          <w:vertAlign w:val="superscript"/>
        </w:rPr>
        <w:t>1</w:t>
      </w:r>
      <w:r w:rsidRPr="0015007C">
        <w:rPr>
          <w:rFonts w:ascii="Courier New" w:hAnsi="Courier New" w:cs="Courier New"/>
          <w:sz w:val="24"/>
          <w:szCs w:val="24"/>
        </w:rPr>
        <w:t xml:space="preserve"> shows</w:t>
      </w:r>
      <w:r w:rsidRPr="00FC50B8">
        <w:rPr>
          <w:rFonts w:ascii="Courier New" w:hAnsi="Courier New" w:cs="Courier New"/>
          <w:sz w:val="24"/>
          <w:szCs w:val="24"/>
        </w:rPr>
        <w:t xml:space="preserve"> that trends in vaccination rates across each VEM quartile were consistent leading up to the policy period, validating the essential parallel trends assumption of the </w:t>
      </w:r>
      <w:proofErr w:type="spellStart"/>
      <w:r w:rsidRPr="00FC50B8">
        <w:rPr>
          <w:rFonts w:ascii="Courier New" w:hAnsi="Courier New" w:cs="Courier New"/>
          <w:sz w:val="24"/>
          <w:szCs w:val="24"/>
        </w:rPr>
        <w:t>DiD</w:t>
      </w:r>
      <w:proofErr w:type="spellEnd"/>
      <w:r w:rsidRPr="00FC50B8">
        <w:rPr>
          <w:rFonts w:ascii="Courier New" w:hAnsi="Courier New" w:cs="Courier New"/>
          <w:sz w:val="24"/>
          <w:szCs w:val="24"/>
        </w:rPr>
        <w:t xml:space="preserve"> analysis.</w:t>
      </w:r>
    </w:p>
    <w:p w14:paraId="6E0152D8" w14:textId="77777777" w:rsidR="001E297B" w:rsidRDefault="001E297B" w:rsidP="00FC50B8">
      <w:pPr>
        <w:spacing w:after="0" w:line="480" w:lineRule="auto"/>
        <w:rPr>
          <w:rFonts w:ascii="Courier New" w:hAnsi="Courier New" w:cs="Courier New"/>
          <w:b/>
          <w:bCs/>
          <w:sz w:val="24"/>
          <w:szCs w:val="24"/>
        </w:rPr>
      </w:pPr>
    </w:p>
    <w:p w14:paraId="3B5A4547" w14:textId="729F06DB" w:rsidR="001E297B" w:rsidRDefault="00FC50B8" w:rsidP="00FC50B8">
      <w:pPr>
        <w:spacing w:after="0" w:line="480" w:lineRule="auto"/>
        <w:rPr>
          <w:rFonts w:ascii="Courier New" w:hAnsi="Courier New" w:cs="Courier New"/>
          <w:b/>
          <w:bCs/>
          <w:sz w:val="24"/>
          <w:szCs w:val="24"/>
        </w:rPr>
      </w:pPr>
      <w:r w:rsidRPr="00FC50B8">
        <w:rPr>
          <w:rFonts w:ascii="Courier New" w:hAnsi="Courier New" w:cs="Courier New"/>
          <w:sz w:val="24"/>
          <w:szCs w:val="24"/>
        </w:rPr>
        <w:t>The vaccination rate in VEM Q1 ZIP codes in the four weeks following policy implementation increased by an estimated 28.4% (95%</w:t>
      </w:r>
      <w:r w:rsidR="0015007C">
        <w:rPr>
          <w:rFonts w:ascii="Courier New" w:hAnsi="Courier New" w:cs="Courier New"/>
          <w:sz w:val="24"/>
          <w:szCs w:val="24"/>
        </w:rPr>
        <w:t xml:space="preserve"> </w:t>
      </w:r>
      <w:r w:rsidRPr="00FC50B8">
        <w:rPr>
          <w:rFonts w:ascii="Courier New" w:hAnsi="Courier New" w:cs="Courier New"/>
          <w:sz w:val="24"/>
          <w:szCs w:val="24"/>
        </w:rPr>
        <w:t>CI: 22.1</w:t>
      </w:r>
      <w:r w:rsidR="0015007C">
        <w:rPr>
          <w:rFonts w:ascii="Courier New" w:hAnsi="Courier New" w:cs="Courier New"/>
          <w:sz w:val="24"/>
          <w:szCs w:val="24"/>
        </w:rPr>
        <w:t xml:space="preserve">, </w:t>
      </w:r>
      <w:r w:rsidRPr="00FC50B8">
        <w:rPr>
          <w:rFonts w:ascii="Courier New" w:hAnsi="Courier New" w:cs="Courier New"/>
          <w:sz w:val="24"/>
          <w:szCs w:val="24"/>
        </w:rPr>
        <w:t xml:space="preserve">35.1) compared to non-VEM Q1 ZIP codes. Adjusting </w:t>
      </w:r>
      <w:r w:rsidRPr="00FC50B8">
        <w:rPr>
          <w:rFonts w:ascii="Courier New" w:hAnsi="Courier New" w:cs="Courier New"/>
          <w:sz w:val="24"/>
          <w:szCs w:val="24"/>
        </w:rPr>
        <w:lastRenderedPageBreak/>
        <w:t>for the proportion of the population unvaccinated led to an insignificant change in the effect estimate to 26.9% (95%</w:t>
      </w:r>
      <w:r w:rsidR="0015007C">
        <w:rPr>
          <w:rFonts w:ascii="Courier New" w:hAnsi="Courier New" w:cs="Courier New"/>
          <w:sz w:val="24"/>
          <w:szCs w:val="24"/>
        </w:rPr>
        <w:t xml:space="preserve"> </w:t>
      </w:r>
      <w:r w:rsidRPr="00FC50B8">
        <w:rPr>
          <w:rFonts w:ascii="Courier New" w:hAnsi="Courier New" w:cs="Courier New"/>
          <w:sz w:val="24"/>
          <w:szCs w:val="24"/>
        </w:rPr>
        <w:t>CI: 20.9</w:t>
      </w:r>
      <w:r w:rsidR="0015007C">
        <w:rPr>
          <w:rFonts w:ascii="Courier New" w:hAnsi="Courier New" w:cs="Courier New"/>
          <w:sz w:val="24"/>
          <w:szCs w:val="24"/>
        </w:rPr>
        <w:t xml:space="preserve">, </w:t>
      </w:r>
      <w:r w:rsidRPr="00FC50B8">
        <w:rPr>
          <w:rFonts w:ascii="Courier New" w:hAnsi="Courier New" w:cs="Courier New"/>
          <w:sz w:val="24"/>
          <w:szCs w:val="24"/>
        </w:rPr>
        <w:t>33.1). Pairwise comparisons among all VEM quartiles in the negative controls sensitivity analysis suggest there were also significant relative increases in the vaccination rate among VEM Q2 ZIP codes compared to VEM Q3 and Q4 ZIP codes (increases of 8.0% (</w:t>
      </w:r>
      <w:r w:rsidR="0015007C">
        <w:rPr>
          <w:rFonts w:ascii="Courier New" w:hAnsi="Courier New" w:cs="Courier New"/>
          <w:sz w:val="24"/>
          <w:szCs w:val="24"/>
        </w:rPr>
        <w:t xml:space="preserve">95% CI: </w:t>
      </w:r>
      <w:r w:rsidRPr="00FC50B8">
        <w:rPr>
          <w:rFonts w:ascii="Courier New" w:hAnsi="Courier New" w:cs="Courier New"/>
          <w:sz w:val="24"/>
          <w:szCs w:val="24"/>
        </w:rPr>
        <w:t>2.4</w:t>
      </w:r>
      <w:r w:rsidR="0015007C">
        <w:rPr>
          <w:rFonts w:ascii="Courier New" w:hAnsi="Courier New" w:cs="Courier New"/>
          <w:sz w:val="24"/>
          <w:szCs w:val="24"/>
        </w:rPr>
        <w:t xml:space="preserve">, </w:t>
      </w:r>
      <w:r w:rsidRPr="00FC50B8">
        <w:rPr>
          <w:rFonts w:ascii="Courier New" w:hAnsi="Courier New" w:cs="Courier New"/>
          <w:sz w:val="24"/>
          <w:szCs w:val="24"/>
        </w:rPr>
        <w:t>13.8) and 10.3% (</w:t>
      </w:r>
      <w:r w:rsidR="0015007C">
        <w:rPr>
          <w:rFonts w:ascii="Courier New" w:hAnsi="Courier New" w:cs="Courier New"/>
          <w:sz w:val="24"/>
          <w:szCs w:val="24"/>
        </w:rPr>
        <w:t xml:space="preserve">95% CI: </w:t>
      </w:r>
      <w:r w:rsidRPr="00FC50B8">
        <w:rPr>
          <w:rFonts w:ascii="Courier New" w:hAnsi="Courier New" w:cs="Courier New"/>
          <w:sz w:val="24"/>
          <w:szCs w:val="24"/>
        </w:rPr>
        <w:t>5.0</w:t>
      </w:r>
      <w:r w:rsidR="0015007C">
        <w:rPr>
          <w:rFonts w:ascii="Courier New" w:hAnsi="Courier New" w:cs="Courier New"/>
          <w:sz w:val="24"/>
          <w:szCs w:val="24"/>
        </w:rPr>
        <w:t xml:space="preserve">, </w:t>
      </w:r>
      <w:r w:rsidRPr="00FC50B8">
        <w:rPr>
          <w:rFonts w:ascii="Courier New" w:hAnsi="Courier New" w:cs="Courier New"/>
          <w:sz w:val="24"/>
          <w:szCs w:val="24"/>
        </w:rPr>
        <w:t>15.7),</w:t>
      </w:r>
      <w:r w:rsidR="0015007C">
        <w:rPr>
          <w:rFonts w:ascii="Courier New" w:hAnsi="Courier New" w:cs="Courier New"/>
          <w:sz w:val="24"/>
          <w:szCs w:val="24"/>
        </w:rPr>
        <w:t xml:space="preserve"> </w:t>
      </w:r>
      <w:r w:rsidRPr="00FC50B8">
        <w:rPr>
          <w:rFonts w:ascii="Courier New" w:hAnsi="Courier New" w:cs="Courier New"/>
          <w:sz w:val="24"/>
          <w:szCs w:val="24"/>
        </w:rPr>
        <w:t>respectively</w:t>
      </w:r>
      <w:r w:rsidR="0015007C">
        <w:rPr>
          <w:rFonts w:ascii="Courier New" w:hAnsi="Courier New" w:cs="Courier New"/>
          <w:sz w:val="24"/>
          <w:szCs w:val="24"/>
        </w:rPr>
        <w:t>,</w:t>
      </w:r>
      <w:r w:rsidRPr="00FC50B8">
        <w:rPr>
          <w:rFonts w:ascii="Courier New" w:hAnsi="Courier New" w:cs="Courier New"/>
          <w:sz w:val="24"/>
          <w:szCs w:val="24"/>
        </w:rPr>
        <w:t xml:space="preserve"> in the after-policy period (Appendix </w:t>
      </w:r>
      <w:r w:rsidR="003D7650">
        <w:rPr>
          <w:rFonts w:ascii="Courier New" w:hAnsi="Courier New" w:cs="Courier New"/>
          <w:sz w:val="24"/>
          <w:szCs w:val="24"/>
        </w:rPr>
        <w:t>Table</w:t>
      </w:r>
      <w:r w:rsidRPr="00FC50B8">
        <w:rPr>
          <w:rFonts w:ascii="Courier New" w:hAnsi="Courier New" w:cs="Courier New"/>
          <w:sz w:val="24"/>
          <w:szCs w:val="24"/>
        </w:rPr>
        <w:t xml:space="preserve"> S1).</w:t>
      </w:r>
      <w:r w:rsidR="00FA3AAF" w:rsidRPr="00D72494">
        <w:rPr>
          <w:rFonts w:ascii="Courier New" w:hAnsi="Courier New" w:cs="Courier New"/>
          <w:sz w:val="24"/>
          <w:szCs w:val="24"/>
          <w:vertAlign w:val="superscript"/>
        </w:rPr>
        <w:t>2</w:t>
      </w:r>
      <w:r w:rsidR="00FD587E">
        <w:rPr>
          <w:rFonts w:ascii="Courier New" w:hAnsi="Courier New" w:cs="Courier New"/>
          <w:sz w:val="24"/>
          <w:szCs w:val="24"/>
          <w:vertAlign w:val="superscript"/>
        </w:rPr>
        <w:t>1</w:t>
      </w:r>
      <w:r w:rsidRPr="00FC50B8">
        <w:rPr>
          <w:rFonts w:ascii="Courier New" w:hAnsi="Courier New" w:cs="Courier New"/>
          <w:sz w:val="24"/>
          <w:szCs w:val="24"/>
        </w:rPr>
        <w:t xml:space="preserve"> Rerunning the difference in differences analysis with two- and eight-week periods before and after the policy was implemented did not meaningfully affect estimates (Appendix </w:t>
      </w:r>
      <w:r w:rsidR="003D7650">
        <w:rPr>
          <w:rFonts w:ascii="Courier New" w:hAnsi="Courier New" w:cs="Courier New"/>
          <w:sz w:val="24"/>
          <w:szCs w:val="24"/>
        </w:rPr>
        <w:t>Table</w:t>
      </w:r>
      <w:r w:rsidRPr="00FC50B8">
        <w:rPr>
          <w:rFonts w:ascii="Courier New" w:hAnsi="Courier New" w:cs="Courier New"/>
          <w:sz w:val="24"/>
          <w:szCs w:val="24"/>
        </w:rPr>
        <w:t xml:space="preserve"> S1).</w:t>
      </w:r>
      <w:r w:rsidR="00FA3AAF" w:rsidRPr="00D72494">
        <w:rPr>
          <w:rFonts w:ascii="Courier New" w:hAnsi="Courier New" w:cs="Courier New"/>
          <w:sz w:val="24"/>
          <w:szCs w:val="24"/>
          <w:vertAlign w:val="superscript"/>
        </w:rPr>
        <w:t>2</w:t>
      </w:r>
      <w:r w:rsidR="00FD587E">
        <w:rPr>
          <w:rFonts w:ascii="Courier New" w:hAnsi="Courier New" w:cs="Courier New"/>
          <w:sz w:val="24"/>
          <w:szCs w:val="24"/>
          <w:vertAlign w:val="superscript"/>
        </w:rPr>
        <w:t>1</w:t>
      </w:r>
      <w:r w:rsidRPr="00FC50B8">
        <w:rPr>
          <w:rFonts w:ascii="Courier New" w:hAnsi="Courier New" w:cs="Courier New"/>
          <w:sz w:val="24"/>
          <w:szCs w:val="24"/>
        </w:rPr>
        <w:t xml:space="preserve"> Finally, restricting the analysis to ZIP codes in the second or third VEM octiles for better exchangeability between treated and untreated groups led to an estimated 8.9%</w:t>
      </w:r>
      <w:r w:rsidR="0015007C">
        <w:rPr>
          <w:rFonts w:ascii="Courier New" w:hAnsi="Courier New" w:cs="Courier New"/>
          <w:sz w:val="24"/>
          <w:szCs w:val="24"/>
        </w:rPr>
        <w:t xml:space="preserve"> </w:t>
      </w:r>
      <w:r w:rsidR="0015007C" w:rsidRPr="00FC50B8">
        <w:rPr>
          <w:rFonts w:ascii="Courier New" w:hAnsi="Courier New" w:cs="Courier New"/>
          <w:sz w:val="24"/>
          <w:szCs w:val="24"/>
        </w:rPr>
        <w:t>increase</w:t>
      </w:r>
      <w:r w:rsidRPr="00FC50B8">
        <w:rPr>
          <w:rFonts w:ascii="Courier New" w:hAnsi="Courier New" w:cs="Courier New"/>
          <w:sz w:val="24"/>
          <w:szCs w:val="24"/>
        </w:rPr>
        <w:t xml:space="preserve"> (95%</w:t>
      </w:r>
      <w:r w:rsidR="0015007C">
        <w:rPr>
          <w:rFonts w:ascii="Courier New" w:hAnsi="Courier New" w:cs="Courier New"/>
          <w:sz w:val="24"/>
          <w:szCs w:val="24"/>
        </w:rPr>
        <w:t xml:space="preserve"> </w:t>
      </w:r>
      <w:r w:rsidRPr="00FC50B8">
        <w:rPr>
          <w:rFonts w:ascii="Courier New" w:hAnsi="Courier New" w:cs="Courier New"/>
          <w:sz w:val="24"/>
          <w:szCs w:val="24"/>
        </w:rPr>
        <w:t>CI: 1.1</w:t>
      </w:r>
      <w:r w:rsidR="0015007C">
        <w:rPr>
          <w:rFonts w:ascii="Courier New" w:hAnsi="Courier New" w:cs="Courier New"/>
          <w:sz w:val="24"/>
          <w:szCs w:val="24"/>
        </w:rPr>
        <w:t xml:space="preserve">, </w:t>
      </w:r>
      <w:r w:rsidRPr="00FC50B8">
        <w:rPr>
          <w:rFonts w:ascii="Courier New" w:hAnsi="Courier New" w:cs="Courier New"/>
          <w:sz w:val="24"/>
          <w:szCs w:val="24"/>
        </w:rPr>
        <w:t>17.2) in vaccination rate in VEM octile 2 communities.</w:t>
      </w:r>
    </w:p>
    <w:p w14:paraId="26550DD2" w14:textId="77777777" w:rsidR="001E297B" w:rsidRPr="001E297B" w:rsidRDefault="001E297B" w:rsidP="00FC50B8">
      <w:pPr>
        <w:spacing w:after="0" w:line="480" w:lineRule="auto"/>
        <w:rPr>
          <w:rFonts w:ascii="Courier New" w:hAnsi="Courier New" w:cs="Courier New"/>
          <w:b/>
          <w:bCs/>
          <w:sz w:val="24"/>
          <w:szCs w:val="24"/>
        </w:rPr>
      </w:pPr>
    </w:p>
    <w:p w14:paraId="468057A9" w14:textId="77777777" w:rsidR="001E297B" w:rsidRDefault="00FC50B8" w:rsidP="00FC50B8">
      <w:pPr>
        <w:spacing w:after="0" w:line="480" w:lineRule="auto"/>
        <w:rPr>
          <w:rFonts w:ascii="Courier New" w:hAnsi="Courier New" w:cs="Courier New"/>
          <w:b/>
          <w:bCs/>
          <w:sz w:val="24"/>
          <w:szCs w:val="24"/>
        </w:rPr>
      </w:pPr>
      <w:r w:rsidRPr="001E297B">
        <w:rPr>
          <w:rFonts w:ascii="Courier New" w:hAnsi="Courier New" w:cs="Courier New"/>
          <w:b/>
          <w:bCs/>
          <w:sz w:val="24"/>
          <w:szCs w:val="24"/>
        </w:rPr>
        <w:t>Policy impact on COVID-19 outcomes</w:t>
      </w:r>
    </w:p>
    <w:p w14:paraId="585DED3B" w14:textId="0370D56F" w:rsidR="001E297B"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t>Out-of-sample error from the best-performing cases model</w:t>
      </w:r>
      <w:r w:rsidR="0015007C">
        <w:rPr>
          <w:rFonts w:ascii="Courier New" w:hAnsi="Courier New" w:cs="Courier New"/>
          <w:sz w:val="24"/>
          <w:szCs w:val="24"/>
        </w:rPr>
        <w:t xml:space="preserve"> </w:t>
      </w:r>
      <w:r w:rsidR="0015007C" w:rsidRPr="00FC50B8">
        <w:rPr>
          <w:rFonts w:ascii="Courier New" w:hAnsi="Courier New" w:cs="Courier New"/>
          <w:sz w:val="24"/>
          <w:szCs w:val="24"/>
        </w:rPr>
        <w:t>was relatively low</w:t>
      </w:r>
      <w:r w:rsidRPr="00FC50B8">
        <w:rPr>
          <w:rFonts w:ascii="Courier New" w:hAnsi="Courier New" w:cs="Courier New"/>
          <w:sz w:val="24"/>
          <w:szCs w:val="24"/>
        </w:rPr>
        <w:t xml:space="preserve"> (Appendix </w:t>
      </w:r>
      <w:r w:rsidR="0015007C">
        <w:rPr>
          <w:rFonts w:ascii="Courier New" w:hAnsi="Courier New" w:cs="Courier New"/>
          <w:sz w:val="24"/>
          <w:szCs w:val="24"/>
        </w:rPr>
        <w:t>Exhibit</w:t>
      </w:r>
      <w:r w:rsidRPr="00FC50B8">
        <w:rPr>
          <w:rFonts w:ascii="Courier New" w:hAnsi="Courier New" w:cs="Courier New"/>
          <w:sz w:val="24"/>
          <w:szCs w:val="24"/>
        </w:rPr>
        <w:t xml:space="preserve"> S2)</w:t>
      </w:r>
      <w:r w:rsidR="0015007C">
        <w:rPr>
          <w:rFonts w:ascii="Courier New" w:hAnsi="Courier New" w:cs="Courier New"/>
          <w:sz w:val="24"/>
          <w:szCs w:val="24"/>
        </w:rPr>
        <w:t>,</w:t>
      </w:r>
      <w:r w:rsidR="00FA3AAF" w:rsidRPr="00FD587E">
        <w:rPr>
          <w:rFonts w:ascii="Courier New" w:hAnsi="Courier New" w:cs="Courier New"/>
          <w:sz w:val="24"/>
          <w:szCs w:val="24"/>
          <w:vertAlign w:val="superscript"/>
        </w:rPr>
        <w:t>2</w:t>
      </w:r>
      <w:r w:rsidR="00FD587E">
        <w:rPr>
          <w:rFonts w:ascii="Courier New" w:hAnsi="Courier New" w:cs="Courier New"/>
          <w:sz w:val="24"/>
          <w:szCs w:val="24"/>
          <w:vertAlign w:val="superscript"/>
        </w:rPr>
        <w:t>1</w:t>
      </w:r>
      <w:r w:rsidR="0015007C">
        <w:rPr>
          <w:rFonts w:ascii="Courier New" w:hAnsi="Courier New" w:cs="Courier New"/>
          <w:sz w:val="24"/>
          <w:szCs w:val="24"/>
        </w:rPr>
        <w:t xml:space="preserve"> </w:t>
      </w:r>
      <w:r w:rsidRPr="00FC50B8">
        <w:rPr>
          <w:rFonts w:ascii="Courier New" w:hAnsi="Courier New" w:cs="Courier New"/>
          <w:sz w:val="24"/>
          <w:szCs w:val="24"/>
        </w:rPr>
        <w:t xml:space="preserve">translating to approximately 17 cases per ZIP-week observation, and the model closely reproduced observed outcomes </w:t>
      </w:r>
      <w:commentRangeStart w:id="6"/>
      <w:commentRangeEnd w:id="6"/>
      <w:r w:rsidR="0015007C">
        <w:rPr>
          <w:rStyle w:val="CommentReference"/>
        </w:rPr>
        <w:commentReference w:id="6"/>
      </w:r>
      <w:r w:rsidRPr="00FC50B8">
        <w:rPr>
          <w:rFonts w:ascii="Courier New" w:hAnsi="Courier New" w:cs="Courier New"/>
          <w:sz w:val="24"/>
          <w:szCs w:val="24"/>
        </w:rPr>
        <w:t>providing confidence in counterfactual estimates used to estimate outcomes averted.</w:t>
      </w:r>
    </w:p>
    <w:p w14:paraId="3A076DCC" w14:textId="77777777" w:rsidR="001E297B" w:rsidRDefault="001E297B" w:rsidP="00FC50B8">
      <w:pPr>
        <w:spacing w:after="0" w:line="480" w:lineRule="auto"/>
        <w:rPr>
          <w:rFonts w:ascii="Courier New" w:hAnsi="Courier New" w:cs="Courier New"/>
          <w:sz w:val="24"/>
          <w:szCs w:val="24"/>
        </w:rPr>
      </w:pPr>
    </w:p>
    <w:p w14:paraId="43A34795" w14:textId="6438C4FA" w:rsidR="001E297B" w:rsidRDefault="00FC50B8" w:rsidP="00FC50B8">
      <w:pPr>
        <w:spacing w:after="0" w:line="480" w:lineRule="auto"/>
        <w:rPr>
          <w:rFonts w:ascii="Courier New" w:hAnsi="Courier New" w:cs="Courier New"/>
          <w:b/>
          <w:bCs/>
          <w:sz w:val="24"/>
          <w:szCs w:val="24"/>
        </w:rPr>
      </w:pPr>
      <w:r w:rsidRPr="00FC50B8">
        <w:rPr>
          <w:rFonts w:ascii="Courier New" w:hAnsi="Courier New" w:cs="Courier New"/>
          <w:sz w:val="24"/>
          <w:szCs w:val="24"/>
        </w:rPr>
        <w:lastRenderedPageBreak/>
        <w:t>From this model, it was estimated that in the eight months following the policy, 160,892</w:t>
      </w:r>
      <w:r w:rsidR="0015007C">
        <w:rPr>
          <w:rFonts w:ascii="Courier New" w:hAnsi="Courier New" w:cs="Courier New"/>
          <w:sz w:val="24"/>
          <w:szCs w:val="24"/>
        </w:rPr>
        <w:t xml:space="preserve"> </w:t>
      </w:r>
      <w:r w:rsidR="0015007C" w:rsidRPr="00FC50B8">
        <w:rPr>
          <w:rFonts w:ascii="Courier New" w:hAnsi="Courier New" w:cs="Courier New"/>
          <w:sz w:val="24"/>
          <w:szCs w:val="24"/>
        </w:rPr>
        <w:t>cases</w:t>
      </w:r>
      <w:r w:rsidRPr="00FC50B8">
        <w:rPr>
          <w:rFonts w:ascii="Courier New" w:hAnsi="Courier New" w:cs="Courier New"/>
          <w:sz w:val="24"/>
          <w:szCs w:val="24"/>
        </w:rPr>
        <w:t xml:space="preserve"> (95%</w:t>
      </w:r>
      <w:r w:rsidR="0015007C">
        <w:rPr>
          <w:rFonts w:ascii="Courier New" w:hAnsi="Courier New" w:cs="Courier New"/>
          <w:sz w:val="24"/>
          <w:szCs w:val="24"/>
        </w:rPr>
        <w:t xml:space="preserve"> </w:t>
      </w:r>
      <w:r w:rsidRPr="00FC50B8">
        <w:rPr>
          <w:rFonts w:ascii="Courier New" w:hAnsi="Courier New" w:cs="Courier New"/>
          <w:sz w:val="24"/>
          <w:szCs w:val="24"/>
        </w:rPr>
        <w:t>CI: 108,878</w:t>
      </w:r>
      <w:r w:rsidR="0015007C">
        <w:rPr>
          <w:rFonts w:ascii="Courier New" w:hAnsi="Courier New" w:cs="Courier New"/>
          <w:sz w:val="24"/>
          <w:szCs w:val="24"/>
        </w:rPr>
        <w:t xml:space="preserve">, </w:t>
      </w:r>
      <w:r w:rsidRPr="00FC50B8">
        <w:rPr>
          <w:rFonts w:ascii="Courier New" w:hAnsi="Courier New" w:cs="Courier New"/>
          <w:sz w:val="24"/>
          <w:szCs w:val="24"/>
        </w:rPr>
        <w:t>221,815) were averted in VEM Q1 ZIP codes. This represents 30.3% of all expected cases that would have occurred in VEM Q1 between March 1 and November 1, 2021</w:t>
      </w:r>
      <w:r w:rsidR="0015007C">
        <w:rPr>
          <w:rFonts w:ascii="Courier New" w:hAnsi="Courier New" w:cs="Courier New"/>
          <w:sz w:val="24"/>
          <w:szCs w:val="24"/>
        </w:rPr>
        <w:t>,</w:t>
      </w:r>
      <w:r w:rsidRPr="00FC50B8">
        <w:rPr>
          <w:rFonts w:ascii="Courier New" w:hAnsi="Courier New" w:cs="Courier New"/>
          <w:sz w:val="24"/>
          <w:szCs w:val="24"/>
        </w:rPr>
        <w:t xml:space="preserve"> in the absence of the policy. Most of the cases averted in this time came after July 1, 2021, during the beginning of California’s Delta variant wave (</w:t>
      </w:r>
      <w:r w:rsidR="0015007C" w:rsidRPr="00FC50B8">
        <w:rPr>
          <w:rFonts w:ascii="Courier New" w:hAnsi="Courier New" w:cs="Courier New"/>
          <w:sz w:val="24"/>
          <w:szCs w:val="24"/>
        </w:rPr>
        <w:t>exh</w:t>
      </w:r>
      <w:r w:rsidRPr="00FC50B8">
        <w:rPr>
          <w:rFonts w:ascii="Courier New" w:hAnsi="Courier New" w:cs="Courier New"/>
          <w:sz w:val="24"/>
          <w:szCs w:val="24"/>
        </w:rPr>
        <w:t xml:space="preserve">ibit 2). However, 22,875 </w:t>
      </w:r>
      <w:r w:rsidR="0015007C" w:rsidRPr="00FC50B8">
        <w:rPr>
          <w:rFonts w:ascii="Courier New" w:hAnsi="Courier New" w:cs="Courier New"/>
          <w:sz w:val="24"/>
          <w:szCs w:val="24"/>
        </w:rPr>
        <w:t xml:space="preserve">cases </w:t>
      </w:r>
      <w:r w:rsidRPr="00FC50B8">
        <w:rPr>
          <w:rFonts w:ascii="Courier New" w:hAnsi="Courier New" w:cs="Courier New"/>
          <w:sz w:val="24"/>
          <w:szCs w:val="24"/>
        </w:rPr>
        <w:t>(95%</w:t>
      </w:r>
      <w:r w:rsidR="0015007C">
        <w:rPr>
          <w:rFonts w:ascii="Courier New" w:hAnsi="Courier New" w:cs="Courier New"/>
          <w:sz w:val="24"/>
          <w:szCs w:val="24"/>
        </w:rPr>
        <w:t xml:space="preserve"> </w:t>
      </w:r>
      <w:r w:rsidRPr="00FC50B8">
        <w:rPr>
          <w:rFonts w:ascii="Courier New" w:hAnsi="Courier New" w:cs="Courier New"/>
          <w:sz w:val="24"/>
          <w:szCs w:val="24"/>
        </w:rPr>
        <w:t>CI: 16,067</w:t>
      </w:r>
      <w:r w:rsidR="0015007C">
        <w:rPr>
          <w:rFonts w:ascii="Courier New" w:hAnsi="Courier New" w:cs="Courier New"/>
          <w:sz w:val="24"/>
          <w:szCs w:val="24"/>
        </w:rPr>
        <w:t xml:space="preserve">, </w:t>
      </w:r>
      <w:r w:rsidRPr="00FC50B8">
        <w:rPr>
          <w:rFonts w:ascii="Courier New" w:hAnsi="Courier New" w:cs="Courier New"/>
          <w:sz w:val="24"/>
          <w:szCs w:val="24"/>
        </w:rPr>
        <w:t>30,582) were averted in the first two months following the equity allocation.</w:t>
      </w:r>
    </w:p>
    <w:p w14:paraId="4F50933F" w14:textId="77777777" w:rsidR="001E297B" w:rsidRDefault="001E297B" w:rsidP="00FC50B8">
      <w:pPr>
        <w:spacing w:after="0" w:line="480" w:lineRule="auto"/>
        <w:rPr>
          <w:rFonts w:ascii="Courier New" w:hAnsi="Courier New" w:cs="Courier New"/>
          <w:b/>
          <w:bCs/>
          <w:sz w:val="24"/>
          <w:szCs w:val="24"/>
        </w:rPr>
      </w:pPr>
    </w:p>
    <w:p w14:paraId="4D5BB6A4" w14:textId="51EDFD50" w:rsidR="001E297B" w:rsidRDefault="00FC50B8" w:rsidP="00FC50B8">
      <w:pPr>
        <w:spacing w:after="0" w:line="480" w:lineRule="auto"/>
        <w:rPr>
          <w:rFonts w:ascii="Courier New" w:hAnsi="Courier New" w:cs="Courier New"/>
          <w:b/>
          <w:bCs/>
          <w:sz w:val="24"/>
          <w:szCs w:val="24"/>
        </w:rPr>
      </w:pPr>
      <w:r w:rsidRPr="00FC50B8">
        <w:rPr>
          <w:rFonts w:ascii="Courier New" w:hAnsi="Courier New" w:cs="Courier New"/>
          <w:sz w:val="24"/>
          <w:szCs w:val="24"/>
        </w:rPr>
        <w:t>While 27% of California’s population resides in VEM Q1 areas, residents in VEM Q1 accounted for 37% of cases in the two months before the policy was implemented (</w:t>
      </w:r>
      <w:r w:rsidR="0015007C" w:rsidRPr="00FC50B8">
        <w:rPr>
          <w:rFonts w:ascii="Courier New" w:hAnsi="Courier New" w:cs="Courier New"/>
          <w:sz w:val="24"/>
          <w:szCs w:val="24"/>
        </w:rPr>
        <w:t>ex</w:t>
      </w:r>
      <w:r w:rsidRPr="00FC50B8">
        <w:rPr>
          <w:rFonts w:ascii="Courier New" w:hAnsi="Courier New" w:cs="Courier New"/>
          <w:sz w:val="24"/>
          <w:szCs w:val="24"/>
        </w:rPr>
        <w:t>hibit 3). Excess COVID-19 cases among the least advantaged VEM Q1 communities prioritized by the policy were reduced in the post-policy period (</w:t>
      </w:r>
      <w:r w:rsidR="0015007C" w:rsidRPr="00FC50B8">
        <w:rPr>
          <w:rFonts w:ascii="Courier New" w:hAnsi="Courier New" w:cs="Courier New"/>
          <w:sz w:val="24"/>
          <w:szCs w:val="24"/>
        </w:rPr>
        <w:t>e</w:t>
      </w:r>
      <w:r w:rsidRPr="00FC50B8">
        <w:rPr>
          <w:rFonts w:ascii="Courier New" w:hAnsi="Courier New" w:cs="Courier New"/>
          <w:sz w:val="24"/>
          <w:szCs w:val="24"/>
        </w:rPr>
        <w:t>xhibit 3, blue line), while counterfactual estimates suggest that disparities would have persisted unabated without the policy (</w:t>
      </w:r>
      <w:r w:rsidR="0015007C" w:rsidRPr="00FC50B8">
        <w:rPr>
          <w:rFonts w:ascii="Courier New" w:hAnsi="Courier New" w:cs="Courier New"/>
          <w:sz w:val="24"/>
          <w:szCs w:val="24"/>
        </w:rPr>
        <w:t>ex</w:t>
      </w:r>
      <w:r w:rsidRPr="00FC50B8">
        <w:rPr>
          <w:rFonts w:ascii="Courier New" w:hAnsi="Courier New" w:cs="Courier New"/>
          <w:sz w:val="24"/>
          <w:szCs w:val="24"/>
        </w:rPr>
        <w:t>hibit 3, orange line). In fact, in April and again in July 2021, the proportion of overall cases occurring in VEM Q1 matched the proportion of the state population residing in VEM Q1, suggesting that the burden of disease in these communities was briefly not disproportionate (</w:t>
      </w:r>
      <w:r w:rsidR="0015007C" w:rsidRPr="00FC50B8">
        <w:rPr>
          <w:rFonts w:ascii="Courier New" w:hAnsi="Courier New" w:cs="Courier New"/>
          <w:sz w:val="24"/>
          <w:szCs w:val="24"/>
        </w:rPr>
        <w:t>e</w:t>
      </w:r>
      <w:r w:rsidRPr="00FC50B8">
        <w:rPr>
          <w:rFonts w:ascii="Courier New" w:hAnsi="Courier New" w:cs="Courier New"/>
          <w:sz w:val="24"/>
          <w:szCs w:val="24"/>
        </w:rPr>
        <w:t>xhibit 3, blue line overlapping horizontal dashed lines).</w:t>
      </w:r>
    </w:p>
    <w:p w14:paraId="4514D915" w14:textId="77777777" w:rsidR="001E297B" w:rsidRDefault="001E297B" w:rsidP="00FC50B8">
      <w:pPr>
        <w:spacing w:after="0" w:line="480" w:lineRule="auto"/>
        <w:rPr>
          <w:rFonts w:ascii="Courier New" w:hAnsi="Courier New" w:cs="Courier New"/>
          <w:b/>
          <w:bCs/>
          <w:sz w:val="24"/>
          <w:szCs w:val="24"/>
        </w:rPr>
      </w:pPr>
    </w:p>
    <w:p w14:paraId="6F0B57AB" w14:textId="5D89ED92" w:rsidR="001E297B" w:rsidRDefault="00FC50B8" w:rsidP="00FC50B8">
      <w:pPr>
        <w:spacing w:after="0" w:line="480" w:lineRule="auto"/>
        <w:rPr>
          <w:rFonts w:ascii="Courier New" w:hAnsi="Courier New" w:cs="Courier New"/>
          <w:b/>
          <w:bCs/>
          <w:sz w:val="24"/>
          <w:szCs w:val="24"/>
        </w:rPr>
      </w:pPr>
      <w:r w:rsidRPr="00FC50B8">
        <w:rPr>
          <w:rFonts w:ascii="Courier New" w:hAnsi="Courier New" w:cs="Courier New"/>
          <w:sz w:val="24"/>
          <w:szCs w:val="24"/>
        </w:rPr>
        <w:lastRenderedPageBreak/>
        <w:t>Results from the same analyses estimating the impact of the policy on COVID-19 hospitalizations and deaths are reported in detail i</w:t>
      </w:r>
      <w:r w:rsidR="00673944">
        <w:rPr>
          <w:rFonts w:ascii="Courier New" w:hAnsi="Courier New" w:cs="Courier New"/>
          <w:sz w:val="24"/>
          <w:szCs w:val="24"/>
        </w:rPr>
        <w:t>n</w:t>
      </w:r>
      <w:r w:rsidRPr="00FC50B8">
        <w:rPr>
          <w:rFonts w:ascii="Courier New" w:hAnsi="Courier New" w:cs="Courier New"/>
          <w:sz w:val="24"/>
          <w:szCs w:val="24"/>
        </w:rPr>
        <w:t xml:space="preserve"> Appendix </w:t>
      </w:r>
      <w:r w:rsidR="00673944">
        <w:rPr>
          <w:rFonts w:ascii="Courier New" w:hAnsi="Courier New" w:cs="Courier New"/>
          <w:sz w:val="24"/>
          <w:szCs w:val="24"/>
        </w:rPr>
        <w:t>Exhibits</w:t>
      </w:r>
      <w:r w:rsidR="00673944" w:rsidRPr="00FC50B8">
        <w:rPr>
          <w:rFonts w:ascii="Courier New" w:hAnsi="Courier New" w:cs="Courier New"/>
          <w:sz w:val="24"/>
          <w:szCs w:val="24"/>
        </w:rPr>
        <w:t xml:space="preserve"> </w:t>
      </w:r>
      <w:r w:rsidRPr="00FC50B8">
        <w:rPr>
          <w:rFonts w:ascii="Courier New" w:hAnsi="Courier New" w:cs="Courier New"/>
          <w:sz w:val="24"/>
          <w:szCs w:val="24"/>
        </w:rPr>
        <w:t>S3-S8.</w:t>
      </w:r>
      <w:r w:rsidR="00FA3AAF" w:rsidRPr="00D72494">
        <w:rPr>
          <w:rFonts w:ascii="Courier New" w:hAnsi="Courier New" w:cs="Courier New"/>
          <w:sz w:val="24"/>
          <w:szCs w:val="24"/>
          <w:vertAlign w:val="superscript"/>
        </w:rPr>
        <w:t>2</w:t>
      </w:r>
      <w:r w:rsidR="00FD587E">
        <w:rPr>
          <w:rFonts w:ascii="Courier New" w:hAnsi="Courier New" w:cs="Courier New"/>
          <w:sz w:val="24"/>
          <w:szCs w:val="24"/>
          <w:vertAlign w:val="superscript"/>
        </w:rPr>
        <w:t>1</w:t>
      </w:r>
      <w:r w:rsidRPr="00FC50B8">
        <w:rPr>
          <w:rFonts w:ascii="Courier New" w:hAnsi="Courier New" w:cs="Courier New"/>
          <w:sz w:val="24"/>
          <w:szCs w:val="24"/>
        </w:rPr>
        <w:t xml:space="preserve"> In brief, 10,248 </w:t>
      </w:r>
      <w:r w:rsidR="00673944" w:rsidRPr="00FC50B8">
        <w:rPr>
          <w:rFonts w:ascii="Courier New" w:hAnsi="Courier New" w:cs="Courier New"/>
          <w:sz w:val="24"/>
          <w:szCs w:val="24"/>
        </w:rPr>
        <w:t xml:space="preserve">hospitalizations </w:t>
      </w:r>
      <w:r w:rsidRPr="00FC50B8">
        <w:rPr>
          <w:rFonts w:ascii="Courier New" w:hAnsi="Courier New" w:cs="Courier New"/>
          <w:sz w:val="24"/>
          <w:szCs w:val="24"/>
        </w:rPr>
        <w:t>(95%</w:t>
      </w:r>
      <w:r w:rsidR="00673944">
        <w:rPr>
          <w:rFonts w:ascii="Courier New" w:hAnsi="Courier New" w:cs="Courier New"/>
          <w:sz w:val="24"/>
          <w:szCs w:val="24"/>
        </w:rPr>
        <w:t xml:space="preserve"> </w:t>
      </w:r>
      <w:r w:rsidRPr="00FC50B8">
        <w:rPr>
          <w:rFonts w:ascii="Courier New" w:hAnsi="Courier New" w:cs="Courier New"/>
          <w:sz w:val="24"/>
          <w:szCs w:val="24"/>
        </w:rPr>
        <w:t>CI: 6,111</w:t>
      </w:r>
      <w:r w:rsidR="00673944">
        <w:rPr>
          <w:rFonts w:ascii="Courier New" w:hAnsi="Courier New" w:cs="Courier New"/>
          <w:sz w:val="24"/>
          <w:szCs w:val="24"/>
        </w:rPr>
        <w:t xml:space="preserve">, </w:t>
      </w:r>
      <w:r w:rsidRPr="00FC50B8">
        <w:rPr>
          <w:rFonts w:ascii="Courier New" w:hAnsi="Courier New" w:cs="Courier New"/>
          <w:sz w:val="24"/>
          <w:szCs w:val="24"/>
        </w:rPr>
        <w:t>14,853) and 679</w:t>
      </w:r>
      <w:r w:rsidR="00673944">
        <w:rPr>
          <w:rFonts w:ascii="Courier New" w:hAnsi="Courier New" w:cs="Courier New"/>
          <w:sz w:val="24"/>
          <w:szCs w:val="24"/>
        </w:rPr>
        <w:t xml:space="preserve"> </w:t>
      </w:r>
      <w:r w:rsidR="00673944" w:rsidRPr="00FC50B8">
        <w:rPr>
          <w:rFonts w:ascii="Courier New" w:hAnsi="Courier New" w:cs="Courier New"/>
          <w:sz w:val="24"/>
          <w:szCs w:val="24"/>
        </w:rPr>
        <w:t>deaths</w:t>
      </w:r>
      <w:r w:rsidRPr="00FC50B8">
        <w:rPr>
          <w:rFonts w:ascii="Courier New" w:hAnsi="Courier New" w:cs="Courier New"/>
          <w:sz w:val="24"/>
          <w:szCs w:val="24"/>
        </w:rPr>
        <w:t xml:space="preserve"> (95%</w:t>
      </w:r>
      <w:r w:rsidR="00673944">
        <w:rPr>
          <w:rFonts w:ascii="Courier New" w:hAnsi="Courier New" w:cs="Courier New"/>
          <w:sz w:val="24"/>
          <w:szCs w:val="24"/>
        </w:rPr>
        <w:t xml:space="preserve"> </w:t>
      </w:r>
      <w:r w:rsidRPr="00FC50B8">
        <w:rPr>
          <w:rFonts w:ascii="Courier New" w:hAnsi="Courier New" w:cs="Courier New"/>
          <w:sz w:val="24"/>
          <w:szCs w:val="24"/>
        </w:rPr>
        <w:t>CI: -32</w:t>
      </w:r>
      <w:r w:rsidR="00673944">
        <w:rPr>
          <w:rFonts w:ascii="Courier New" w:hAnsi="Courier New" w:cs="Courier New"/>
          <w:sz w:val="24"/>
          <w:szCs w:val="24"/>
        </w:rPr>
        <w:t xml:space="preserve">, </w:t>
      </w:r>
      <w:r w:rsidRPr="00FC50B8">
        <w:rPr>
          <w:rFonts w:ascii="Courier New" w:hAnsi="Courier New" w:cs="Courier New"/>
          <w:sz w:val="24"/>
          <w:szCs w:val="24"/>
        </w:rPr>
        <w:t>1,451) were estimated to be averted due to the policy.</w:t>
      </w:r>
    </w:p>
    <w:p w14:paraId="2B00FC8A" w14:textId="77777777" w:rsidR="001E297B" w:rsidRDefault="001E297B" w:rsidP="00FC50B8">
      <w:pPr>
        <w:spacing w:after="0" w:line="480" w:lineRule="auto"/>
        <w:rPr>
          <w:rFonts w:ascii="Courier New" w:hAnsi="Courier New" w:cs="Courier New"/>
          <w:b/>
          <w:bCs/>
          <w:sz w:val="24"/>
          <w:szCs w:val="24"/>
        </w:rPr>
      </w:pPr>
    </w:p>
    <w:p w14:paraId="72A9164F" w14:textId="714D73DC" w:rsidR="00FC50B8" w:rsidRPr="001E297B" w:rsidRDefault="001E297B" w:rsidP="00FC50B8">
      <w:pPr>
        <w:spacing w:after="0" w:line="480" w:lineRule="auto"/>
        <w:rPr>
          <w:rFonts w:ascii="Courier New" w:hAnsi="Courier New" w:cs="Courier New"/>
          <w:b/>
          <w:bCs/>
          <w:sz w:val="24"/>
          <w:szCs w:val="24"/>
        </w:rPr>
      </w:pPr>
      <w:r w:rsidRPr="001E297B">
        <w:rPr>
          <w:rFonts w:ascii="Courier New" w:hAnsi="Courier New" w:cs="Courier New"/>
          <w:b/>
          <w:bCs/>
          <w:sz w:val="24"/>
          <w:szCs w:val="24"/>
        </w:rPr>
        <w:t>DISCUSSION</w:t>
      </w:r>
    </w:p>
    <w:p w14:paraId="42E2B819" w14:textId="77777777" w:rsidR="001E297B"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t>Equity-based policies to guide public health programs and resource allocation are critical to addressing health disparities. The effectiveness of these policies, however, often lacks rigorous evaluation. Throughout the COVID-19 pandemic, CDPH used area-based socioeconomic measures such as the VEM to aid equity-focused policies. In this analysis, we demonstrate that one such policy to distribute more vaccines to less advantaged communities led to increased vaccination rates and subsequent decreases in COVID-19 cases, hospitalizations, and deaths among the prioritized populations that were disproportionately affected by the COVID-19 pandemic. Specifically, we estimate that vaccination rates increased 28.4%, and more than 160,000 cases, 10,000 hospitalizations, and 670 mortalities were averted because of the policy.</w:t>
      </w:r>
    </w:p>
    <w:p w14:paraId="14A79F27" w14:textId="77777777" w:rsidR="001E297B" w:rsidRDefault="001E297B" w:rsidP="00FC50B8">
      <w:pPr>
        <w:spacing w:after="0" w:line="480" w:lineRule="auto"/>
        <w:rPr>
          <w:rFonts w:ascii="Courier New" w:hAnsi="Courier New" w:cs="Courier New"/>
          <w:sz w:val="24"/>
          <w:szCs w:val="24"/>
        </w:rPr>
      </w:pPr>
    </w:p>
    <w:p w14:paraId="222E2242" w14:textId="5EBD4526" w:rsidR="001E297B"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t xml:space="preserve">Our estimate of a 28.4% increase in the vaccination rate in VEM Q1 areas in the four weeks following the policy compared to all </w:t>
      </w:r>
      <w:r w:rsidRPr="00FC50B8">
        <w:rPr>
          <w:rFonts w:ascii="Courier New" w:hAnsi="Courier New" w:cs="Courier New"/>
          <w:sz w:val="24"/>
          <w:szCs w:val="24"/>
        </w:rPr>
        <w:lastRenderedPageBreak/>
        <w:t>other areas varied in sensitivity analyses that tested key assumptions of the base model. When compared only to VEM Q2 areas, we estimate a 20.7% increase, while comparing only the upper half of VEM Q1 to the lower half of VEM Q2 results in a further attenuated 8.9% increase. While our negative controls analysis suggests there were significant increases in vaccination rates in both VEM Q2 and Q3 communities compared to those in Q4, adjustment for the proportion of the population that was vaccinated before and after the policy was implemented had very little effect on these estimates. Together, these results may suggest the presence of additional factors that influenced vaccination rates at the time the policy was implemented. Another potential explanation is that VEM Q1 and Q2 ZIP</w:t>
      </w:r>
      <w:r w:rsidR="00963D2F" w:rsidRPr="00FC50B8">
        <w:rPr>
          <w:rFonts w:ascii="Courier New" w:hAnsi="Courier New" w:cs="Courier New"/>
          <w:sz w:val="24"/>
          <w:szCs w:val="24"/>
        </w:rPr>
        <w:t>s</w:t>
      </w:r>
      <w:r w:rsidRPr="00FC50B8">
        <w:rPr>
          <w:rFonts w:ascii="Courier New" w:hAnsi="Courier New" w:cs="Courier New"/>
          <w:sz w:val="24"/>
          <w:szCs w:val="24"/>
        </w:rPr>
        <w:t xml:space="preserve"> often border each other, leading to potential for spillover effects of the policy into VEM Q2 ZIP</w:t>
      </w:r>
      <w:r w:rsidR="00963D2F" w:rsidRPr="00FC50B8">
        <w:rPr>
          <w:rFonts w:ascii="Courier New" w:hAnsi="Courier New" w:cs="Courier New"/>
          <w:sz w:val="24"/>
          <w:szCs w:val="24"/>
        </w:rPr>
        <w:t>s</w:t>
      </w:r>
      <w:r w:rsidRPr="00FC50B8">
        <w:rPr>
          <w:rFonts w:ascii="Courier New" w:hAnsi="Courier New" w:cs="Courier New"/>
          <w:sz w:val="24"/>
          <w:szCs w:val="24"/>
        </w:rPr>
        <w:t>. Regardless, the equity allocation appears to have led to at least an 8.9% increase in the vaccination rate among intended VEM Q1 residents.</w:t>
      </w:r>
    </w:p>
    <w:p w14:paraId="15652363" w14:textId="77777777" w:rsidR="001E297B" w:rsidRDefault="001E297B" w:rsidP="00FC50B8">
      <w:pPr>
        <w:spacing w:after="0" w:line="480" w:lineRule="auto"/>
        <w:rPr>
          <w:rFonts w:ascii="Courier New" w:hAnsi="Courier New" w:cs="Courier New"/>
          <w:sz w:val="24"/>
          <w:szCs w:val="24"/>
        </w:rPr>
      </w:pPr>
    </w:p>
    <w:p w14:paraId="3F36D1F4" w14:textId="74385C53" w:rsidR="001E297B"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t xml:space="preserve">The increased vaccination rate among VEM Q1 communities also resulted in significant decreases in COVID-19 outcomes. Over the eight months after the policy, more than 160,000 cases, 10,000 hospitalizations, and 670 deaths were averted among VEM Q1 residents. These results corroborate prior theoretical work that found vaccine distribution to disadvantaged communities can </w:t>
      </w:r>
      <w:r w:rsidRPr="00FC50B8">
        <w:rPr>
          <w:rFonts w:ascii="Courier New" w:hAnsi="Courier New" w:cs="Courier New"/>
          <w:sz w:val="24"/>
          <w:szCs w:val="24"/>
        </w:rPr>
        <w:lastRenderedPageBreak/>
        <w:t>reduce inequities in COVID-19 outcomes</w:t>
      </w:r>
      <w:r w:rsidR="00857BAE">
        <w:rPr>
          <w:rFonts w:ascii="Courier New" w:hAnsi="Courier New" w:cs="Courier New"/>
          <w:sz w:val="24"/>
          <w:szCs w:val="24"/>
        </w:rPr>
        <w:t>.</w:t>
      </w:r>
      <w:r w:rsidR="00857BAE" w:rsidRPr="00857BAE">
        <w:rPr>
          <w:rFonts w:ascii="Courier New" w:hAnsi="Courier New" w:cs="Courier New"/>
          <w:sz w:val="24"/>
          <w:szCs w:val="24"/>
          <w:vertAlign w:val="superscript"/>
        </w:rPr>
        <w:t>11</w:t>
      </w:r>
      <w:r w:rsidRPr="00FC50B8">
        <w:rPr>
          <w:rFonts w:ascii="Courier New" w:hAnsi="Courier New" w:cs="Courier New"/>
          <w:sz w:val="24"/>
          <w:szCs w:val="24"/>
        </w:rPr>
        <w:t xml:space="preserve"> Our results are also in agreement with previous analyses that quantified the impact of vaccinations on COVID-19 outcomes among all Californians over a similar period. </w:t>
      </w:r>
      <w:commentRangeStart w:id="7"/>
      <w:commentRangeStart w:id="8"/>
      <w:r w:rsidRPr="00FC50B8">
        <w:rPr>
          <w:rFonts w:ascii="Courier New" w:hAnsi="Courier New" w:cs="Courier New"/>
          <w:sz w:val="24"/>
          <w:szCs w:val="24"/>
        </w:rPr>
        <w:t>Tan et al. found that approximately 1.5 million cases, 73,000 hospitalizations, and 20,000 deaths were averted due to all vaccinations in California through mid-October of 2021</w:t>
      </w:r>
      <w:r w:rsidR="00857BAE">
        <w:rPr>
          <w:rFonts w:ascii="Courier New" w:hAnsi="Courier New" w:cs="Courier New"/>
          <w:sz w:val="24"/>
          <w:szCs w:val="24"/>
        </w:rPr>
        <w:t>.</w:t>
      </w:r>
      <w:r w:rsidR="00857BAE" w:rsidRPr="00D72494">
        <w:rPr>
          <w:rFonts w:ascii="Courier New" w:hAnsi="Courier New" w:cs="Courier New"/>
          <w:sz w:val="24"/>
          <w:szCs w:val="24"/>
          <w:vertAlign w:val="superscript"/>
        </w:rPr>
        <w:t>29</w:t>
      </w:r>
      <w:commentRangeEnd w:id="7"/>
      <w:r w:rsidR="00857BAE">
        <w:rPr>
          <w:rStyle w:val="CommentReference"/>
        </w:rPr>
        <w:commentReference w:id="7"/>
      </w:r>
      <w:commentRangeEnd w:id="8"/>
      <w:r w:rsidR="00FD587E">
        <w:rPr>
          <w:rStyle w:val="CommentReference"/>
        </w:rPr>
        <w:commentReference w:id="8"/>
      </w:r>
      <w:r w:rsidRPr="00FC50B8">
        <w:rPr>
          <w:rFonts w:ascii="Courier New" w:hAnsi="Courier New" w:cs="Courier New"/>
          <w:sz w:val="24"/>
          <w:szCs w:val="24"/>
        </w:rPr>
        <w:t xml:space="preserve"> Our results—evaluated from the beginning of the policy in March 2021 through the end of October 2021—suggest that the policy accounted for 10.5% of these averted cases, 14.1% of averted hospitalizations, and 3.5% of averted mortalities.</w:t>
      </w:r>
    </w:p>
    <w:p w14:paraId="5D50A265" w14:textId="77777777" w:rsidR="001E297B" w:rsidRDefault="001E297B" w:rsidP="00FC50B8">
      <w:pPr>
        <w:spacing w:after="0" w:line="480" w:lineRule="auto"/>
        <w:rPr>
          <w:rFonts w:ascii="Courier New" w:hAnsi="Courier New" w:cs="Courier New"/>
          <w:sz w:val="24"/>
          <w:szCs w:val="24"/>
        </w:rPr>
      </w:pPr>
    </w:p>
    <w:p w14:paraId="1EE19569" w14:textId="2C5DB3B2" w:rsidR="001E297B"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t>Our analysis has the added value of assessing how equitably these averted outcomes were distributed across the population. COVID-19 heavily impacted VEM Q1 communities in the pre-vaccine era of the pandemic, with these communities accounting for 40% of all cases and deaths, despite making up only 27% of California’s population</w:t>
      </w:r>
      <w:r w:rsidR="00857BAE">
        <w:rPr>
          <w:rFonts w:ascii="Courier New" w:hAnsi="Courier New" w:cs="Courier New"/>
          <w:sz w:val="24"/>
          <w:szCs w:val="24"/>
        </w:rPr>
        <w:t>.</w:t>
      </w:r>
      <w:r w:rsidR="00857BAE" w:rsidRPr="002D5C5C">
        <w:rPr>
          <w:rFonts w:ascii="Courier New" w:hAnsi="Courier New" w:cs="Courier New"/>
          <w:sz w:val="24"/>
          <w:szCs w:val="24"/>
          <w:vertAlign w:val="superscript"/>
        </w:rPr>
        <w:t>1</w:t>
      </w:r>
      <w:r w:rsidR="00FD587E">
        <w:rPr>
          <w:rFonts w:ascii="Courier New" w:hAnsi="Courier New" w:cs="Courier New"/>
          <w:sz w:val="24"/>
          <w:szCs w:val="24"/>
          <w:vertAlign w:val="superscript"/>
        </w:rPr>
        <w:t>3</w:t>
      </w:r>
      <w:r w:rsidR="00857BAE">
        <w:rPr>
          <w:rFonts w:ascii="Courier New" w:hAnsi="Courier New" w:cs="Courier New"/>
          <w:sz w:val="24"/>
          <w:szCs w:val="24"/>
        </w:rPr>
        <w:t xml:space="preserve"> </w:t>
      </w:r>
      <w:r w:rsidRPr="00FC50B8">
        <w:rPr>
          <w:rFonts w:ascii="Courier New" w:hAnsi="Courier New" w:cs="Courier New"/>
          <w:sz w:val="24"/>
          <w:szCs w:val="24"/>
        </w:rPr>
        <w:t>Our counterfactual estimates imply that this disparity would have persisted at similar levels without the policy. However, the observed proportion of cases occurring in VEM Q1 communities was briefly equivalent to the proportion of the population in these communities following the policy. This implies that the policy reduced inequities in the distribution of COVID-19 cases but did not successfully eliminate these inequities entirely.</w:t>
      </w:r>
    </w:p>
    <w:p w14:paraId="22FACAF6" w14:textId="77777777" w:rsidR="001E297B" w:rsidRDefault="001E297B" w:rsidP="00FC50B8">
      <w:pPr>
        <w:spacing w:after="0" w:line="480" w:lineRule="auto"/>
        <w:rPr>
          <w:rFonts w:ascii="Courier New" w:hAnsi="Courier New" w:cs="Courier New"/>
          <w:sz w:val="24"/>
          <w:szCs w:val="24"/>
        </w:rPr>
      </w:pPr>
    </w:p>
    <w:p w14:paraId="7DFB7E64" w14:textId="583FE55A" w:rsidR="001E297B" w:rsidRDefault="00FC50B8" w:rsidP="00FC50B8">
      <w:pPr>
        <w:spacing w:after="0" w:line="480" w:lineRule="auto"/>
        <w:rPr>
          <w:rFonts w:ascii="Courier New" w:hAnsi="Courier New" w:cs="Courier New"/>
          <w:sz w:val="24"/>
          <w:szCs w:val="24"/>
        </w:rPr>
      </w:pPr>
      <w:proofErr w:type="gramStart"/>
      <w:r w:rsidRPr="00FC50B8">
        <w:rPr>
          <w:rFonts w:ascii="Courier New" w:hAnsi="Courier New" w:cs="Courier New"/>
          <w:sz w:val="24"/>
          <w:szCs w:val="24"/>
        </w:rPr>
        <w:t>The majority of</w:t>
      </w:r>
      <w:proofErr w:type="gramEnd"/>
      <w:r w:rsidRPr="00FC50B8">
        <w:rPr>
          <w:rFonts w:ascii="Courier New" w:hAnsi="Courier New" w:cs="Courier New"/>
          <w:sz w:val="24"/>
          <w:szCs w:val="24"/>
        </w:rPr>
        <w:t xml:space="preserve"> estimated COVID-19 outcomes averted in this analysis were accumulated in the Delta wave in July and August 2021, more than four months after the policy was implemented in early March. Attributing COVID-19 outcomes averted in this period to the policy may be tenuous since individuals vaccinated earlier because of the policy may feasibly have been vaccinated by August 2021 despite the policy. However, some individuals who were vaccinated because of the policy may otherwise never have been vaccinated due to increased politicization of the vaccine</w:t>
      </w:r>
      <w:r w:rsidR="00963D2F" w:rsidRPr="00D72494">
        <w:rPr>
          <w:rFonts w:ascii="Courier New" w:hAnsi="Courier New" w:cs="Courier New"/>
          <w:sz w:val="24"/>
          <w:szCs w:val="24"/>
          <w:vertAlign w:val="superscript"/>
        </w:rPr>
        <w:t>30</w:t>
      </w:r>
      <w:r w:rsidRPr="00FC50B8">
        <w:rPr>
          <w:rFonts w:ascii="Courier New" w:hAnsi="Courier New" w:cs="Courier New"/>
          <w:sz w:val="24"/>
          <w:szCs w:val="24"/>
        </w:rPr>
        <w:t xml:space="preserve"> in summer 2021 or other factors</w:t>
      </w:r>
      <w:r w:rsidR="00963D2F">
        <w:rPr>
          <w:rFonts w:ascii="Courier New" w:hAnsi="Courier New" w:cs="Courier New"/>
          <w:sz w:val="24"/>
          <w:szCs w:val="24"/>
        </w:rPr>
        <w:t>,</w:t>
      </w:r>
      <w:r w:rsidRPr="00FC50B8">
        <w:rPr>
          <w:rFonts w:ascii="Courier New" w:hAnsi="Courier New" w:cs="Courier New"/>
          <w:sz w:val="24"/>
          <w:szCs w:val="24"/>
        </w:rPr>
        <w:t xml:space="preserve"> such as lack of access. Estimating the size of these and other relevant population subsets that were affected by the policy is infeasible. Despite the large effect estimated in the Delta wave, significant estimates of cases, hospitalizations, and deaths averted were attained quickly after the equity allocation was implemented, well before the Delta wave in California.</w:t>
      </w:r>
    </w:p>
    <w:p w14:paraId="34F3245C" w14:textId="77777777" w:rsidR="001E297B" w:rsidRDefault="001E297B" w:rsidP="00FC50B8">
      <w:pPr>
        <w:spacing w:after="0" w:line="480" w:lineRule="auto"/>
        <w:rPr>
          <w:rFonts w:ascii="Courier New" w:hAnsi="Courier New" w:cs="Courier New"/>
          <w:sz w:val="24"/>
          <w:szCs w:val="24"/>
        </w:rPr>
      </w:pPr>
    </w:p>
    <w:p w14:paraId="56295D19" w14:textId="4A2D82F0" w:rsidR="001E297B"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t>The estimate of cumulative deaths averted due to the policy failed to reach significance (i.e.</w:t>
      </w:r>
      <w:r w:rsidR="00963D2F">
        <w:rPr>
          <w:rFonts w:ascii="Courier New" w:hAnsi="Courier New" w:cs="Courier New"/>
          <w:sz w:val="24"/>
          <w:szCs w:val="24"/>
        </w:rPr>
        <w:t>,</w:t>
      </w:r>
      <w:r w:rsidRPr="00FC50B8">
        <w:rPr>
          <w:rFonts w:ascii="Courier New" w:hAnsi="Courier New" w:cs="Courier New"/>
          <w:sz w:val="24"/>
          <w:szCs w:val="24"/>
        </w:rPr>
        <w:t xml:space="preserve"> overlapped with 0 mortalities averted) at the end of the estimation period, though estimates were significant in some weeks prior to the Delta period. Temporal trends of deaths averted in the eight months following the policy also do not align as well with cases and </w:t>
      </w:r>
      <w:r w:rsidRPr="00FC50B8">
        <w:rPr>
          <w:rFonts w:ascii="Courier New" w:hAnsi="Courier New" w:cs="Courier New"/>
          <w:sz w:val="24"/>
          <w:szCs w:val="24"/>
        </w:rPr>
        <w:lastRenderedPageBreak/>
        <w:t>hospitalizations, suggesting that different factors may have influenced the progression of COVID-19 cases and hospitalizations to deaths. The Delta variant’s increased severity, particularly among unvaccinated individuals</w:t>
      </w:r>
      <w:r w:rsidR="00963D2F">
        <w:rPr>
          <w:rFonts w:ascii="Courier New" w:hAnsi="Courier New" w:cs="Courier New"/>
          <w:sz w:val="24"/>
          <w:szCs w:val="24"/>
        </w:rPr>
        <w:t>,</w:t>
      </w:r>
      <w:r w:rsidR="00963D2F" w:rsidRPr="00D72494">
        <w:rPr>
          <w:rFonts w:ascii="Courier New" w:hAnsi="Courier New" w:cs="Courier New"/>
          <w:sz w:val="24"/>
          <w:szCs w:val="24"/>
          <w:vertAlign w:val="superscript"/>
        </w:rPr>
        <w:t>31</w:t>
      </w:r>
      <w:r w:rsidR="00963D2F">
        <w:rPr>
          <w:rFonts w:ascii="Courier New" w:hAnsi="Courier New" w:cs="Courier New"/>
          <w:sz w:val="24"/>
          <w:szCs w:val="24"/>
        </w:rPr>
        <w:t xml:space="preserve"> </w:t>
      </w:r>
      <w:r w:rsidRPr="00FC50B8">
        <w:rPr>
          <w:rFonts w:ascii="Courier New" w:hAnsi="Courier New" w:cs="Courier New"/>
          <w:sz w:val="24"/>
          <w:szCs w:val="24"/>
        </w:rPr>
        <w:t>is likely partially responsible for this. In addition, changing clinical treatment aided by the approval of remdesivir</w:t>
      </w:r>
      <w:r w:rsidR="00963D2F" w:rsidRPr="00D72494">
        <w:rPr>
          <w:rFonts w:ascii="Courier New" w:hAnsi="Courier New" w:cs="Courier New"/>
          <w:sz w:val="24"/>
          <w:szCs w:val="24"/>
          <w:vertAlign w:val="superscript"/>
        </w:rPr>
        <w:t>32</w:t>
      </w:r>
      <w:r w:rsidRPr="00FC50B8">
        <w:rPr>
          <w:rFonts w:ascii="Courier New" w:hAnsi="Courier New" w:cs="Courier New"/>
          <w:sz w:val="24"/>
          <w:szCs w:val="24"/>
        </w:rPr>
        <w:t xml:space="preserve"> and monoclonal antibodies</w:t>
      </w:r>
      <w:r w:rsidR="00963D2F" w:rsidRPr="00D72494">
        <w:rPr>
          <w:rFonts w:ascii="Courier New" w:hAnsi="Courier New" w:cs="Courier New"/>
          <w:sz w:val="24"/>
          <w:szCs w:val="24"/>
          <w:vertAlign w:val="superscript"/>
        </w:rPr>
        <w:t>33</w:t>
      </w:r>
      <w:r w:rsidR="00963D2F">
        <w:rPr>
          <w:rFonts w:ascii="Courier New" w:hAnsi="Courier New" w:cs="Courier New"/>
          <w:sz w:val="24"/>
          <w:szCs w:val="24"/>
        </w:rPr>
        <w:t xml:space="preserve"> </w:t>
      </w:r>
      <w:r w:rsidRPr="00FC50B8">
        <w:rPr>
          <w:rFonts w:ascii="Courier New" w:hAnsi="Courier New" w:cs="Courier New"/>
          <w:sz w:val="24"/>
          <w:szCs w:val="24"/>
        </w:rPr>
        <w:t>over the course of 2021 could confound the effect of the intervention variable and influence the counterfactual mortality estimates. Similarly, survivorship bias could affect accurate estimation of deaths in the post-policy era as many individuals that were vulnerable to severe COVID-19 outcomes may have succumbed to the disease prior to the widespread availability of vaccines</w:t>
      </w:r>
      <w:r w:rsidR="00963D2F">
        <w:rPr>
          <w:rFonts w:ascii="Courier New" w:hAnsi="Courier New" w:cs="Courier New"/>
          <w:sz w:val="24"/>
          <w:szCs w:val="24"/>
        </w:rPr>
        <w:t>.</w:t>
      </w:r>
      <w:r w:rsidR="00963D2F" w:rsidRPr="00D72494">
        <w:rPr>
          <w:rFonts w:ascii="Courier New" w:hAnsi="Courier New" w:cs="Courier New"/>
          <w:sz w:val="24"/>
          <w:szCs w:val="24"/>
          <w:vertAlign w:val="superscript"/>
        </w:rPr>
        <w:t>34</w:t>
      </w:r>
    </w:p>
    <w:p w14:paraId="7B183ED3" w14:textId="77777777" w:rsidR="001E297B" w:rsidRDefault="001E297B" w:rsidP="00FC50B8">
      <w:pPr>
        <w:spacing w:after="0" w:line="480" w:lineRule="auto"/>
        <w:rPr>
          <w:rFonts w:ascii="Courier New" w:hAnsi="Courier New" w:cs="Courier New"/>
          <w:sz w:val="24"/>
          <w:szCs w:val="24"/>
        </w:rPr>
      </w:pPr>
    </w:p>
    <w:p w14:paraId="2C7D49EF" w14:textId="27D797F9" w:rsidR="001E297B"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t>These findings have important implications for developing equity-focused policies that rely on resource allocation to combat disparities. Area based measures of social vulnerability such as the VEM or broader metrics such as the COVID-19 vaccine equity index</w:t>
      </w:r>
      <w:r w:rsidR="00963D2F">
        <w:rPr>
          <w:rFonts w:ascii="Courier New" w:hAnsi="Courier New" w:cs="Courier New"/>
          <w:sz w:val="24"/>
          <w:szCs w:val="24"/>
        </w:rPr>
        <w:t>,</w:t>
      </w:r>
      <w:r w:rsidR="00963D2F" w:rsidRPr="00D72494">
        <w:rPr>
          <w:rFonts w:ascii="Courier New" w:hAnsi="Courier New" w:cs="Courier New"/>
          <w:sz w:val="24"/>
          <w:szCs w:val="24"/>
          <w:vertAlign w:val="superscript"/>
        </w:rPr>
        <w:t>35</w:t>
      </w:r>
      <w:r w:rsidRPr="00FC50B8">
        <w:rPr>
          <w:rFonts w:ascii="Courier New" w:hAnsi="Courier New" w:cs="Courier New"/>
          <w:sz w:val="24"/>
          <w:szCs w:val="24"/>
        </w:rPr>
        <w:t xml:space="preserve"> social vulnerability index</w:t>
      </w:r>
      <w:r w:rsidR="00963D2F">
        <w:rPr>
          <w:rFonts w:ascii="Courier New" w:hAnsi="Courier New" w:cs="Courier New"/>
          <w:sz w:val="24"/>
          <w:szCs w:val="24"/>
        </w:rPr>
        <w:t>,</w:t>
      </w:r>
      <w:proofErr w:type="gramStart"/>
      <w:r w:rsidR="00963D2F" w:rsidRPr="00D72494">
        <w:rPr>
          <w:rFonts w:ascii="Courier New" w:hAnsi="Courier New" w:cs="Courier New"/>
          <w:sz w:val="24"/>
          <w:szCs w:val="24"/>
          <w:vertAlign w:val="superscript"/>
        </w:rPr>
        <w:t>36</w:t>
      </w:r>
      <w:proofErr w:type="gramEnd"/>
      <w:r w:rsidR="00963D2F">
        <w:rPr>
          <w:rFonts w:ascii="Courier New" w:hAnsi="Courier New" w:cs="Courier New"/>
          <w:sz w:val="24"/>
          <w:szCs w:val="24"/>
        </w:rPr>
        <w:t xml:space="preserve"> </w:t>
      </w:r>
      <w:r w:rsidRPr="00FC50B8">
        <w:rPr>
          <w:rFonts w:ascii="Courier New" w:hAnsi="Courier New" w:cs="Courier New"/>
          <w:sz w:val="24"/>
          <w:szCs w:val="24"/>
        </w:rPr>
        <w:t>and area deprivation index</w:t>
      </w:r>
      <w:r w:rsidR="00963D2F" w:rsidRPr="00D72494">
        <w:rPr>
          <w:rFonts w:ascii="Courier New" w:hAnsi="Courier New" w:cs="Courier New"/>
          <w:sz w:val="24"/>
          <w:szCs w:val="24"/>
          <w:vertAlign w:val="superscript"/>
        </w:rPr>
        <w:t>37</w:t>
      </w:r>
      <w:r w:rsidR="00963D2F">
        <w:rPr>
          <w:rFonts w:ascii="Courier New" w:hAnsi="Courier New" w:cs="Courier New"/>
          <w:sz w:val="24"/>
          <w:szCs w:val="24"/>
        </w:rPr>
        <w:t xml:space="preserve"> </w:t>
      </w:r>
      <w:r w:rsidRPr="00FC50B8">
        <w:rPr>
          <w:rFonts w:ascii="Courier New" w:hAnsi="Courier New" w:cs="Courier New"/>
          <w:sz w:val="24"/>
          <w:szCs w:val="24"/>
        </w:rPr>
        <w:t xml:space="preserve">are essential to facilitate these policies. Because vaccine delivery was conducted at the ZIP level, the VEM was developed at the ZIP level to implement the vaccine equity allocation. However, even at the ZIP level, neighborhood level disparities may be masked, potentially leaving behind </w:t>
      </w:r>
      <w:r w:rsidRPr="00FC50B8">
        <w:rPr>
          <w:rFonts w:ascii="Courier New" w:hAnsi="Courier New" w:cs="Courier New"/>
          <w:sz w:val="24"/>
          <w:szCs w:val="24"/>
        </w:rPr>
        <w:lastRenderedPageBreak/>
        <w:t>communities with higher social vulnerability that are embedded in ZIPs with generally more advantaged conditions. Equity</w:t>
      </w:r>
      <w:r w:rsidR="00963D2F">
        <w:rPr>
          <w:rFonts w:ascii="Courier New" w:hAnsi="Courier New" w:cs="Courier New"/>
          <w:sz w:val="24"/>
          <w:szCs w:val="24"/>
        </w:rPr>
        <w:t>-</w:t>
      </w:r>
      <w:r w:rsidRPr="00FC50B8">
        <w:rPr>
          <w:rFonts w:ascii="Courier New" w:hAnsi="Courier New" w:cs="Courier New"/>
          <w:sz w:val="24"/>
          <w:szCs w:val="24"/>
        </w:rPr>
        <w:t>focused resource allocation strategies should therefore be implemented at the smallest scale feasible for implementation to maximize coverage.</w:t>
      </w:r>
    </w:p>
    <w:p w14:paraId="14C732CF" w14:textId="77777777" w:rsidR="001E297B" w:rsidRDefault="001E297B" w:rsidP="00FC50B8">
      <w:pPr>
        <w:spacing w:after="0" w:line="480" w:lineRule="auto"/>
        <w:rPr>
          <w:rFonts w:ascii="Courier New" w:hAnsi="Courier New" w:cs="Courier New"/>
          <w:sz w:val="24"/>
          <w:szCs w:val="24"/>
        </w:rPr>
      </w:pPr>
    </w:p>
    <w:p w14:paraId="770F1447" w14:textId="1C38BD54" w:rsidR="001E297B" w:rsidRPr="001E297B" w:rsidRDefault="001E297B" w:rsidP="00FC50B8">
      <w:pPr>
        <w:spacing w:after="0" w:line="480" w:lineRule="auto"/>
        <w:rPr>
          <w:rFonts w:ascii="Courier New" w:hAnsi="Courier New" w:cs="Courier New"/>
          <w:b/>
          <w:bCs/>
          <w:sz w:val="24"/>
          <w:szCs w:val="24"/>
        </w:rPr>
      </w:pPr>
      <w:r w:rsidRPr="001E297B">
        <w:rPr>
          <w:rFonts w:ascii="Courier New" w:hAnsi="Courier New" w:cs="Courier New"/>
          <w:b/>
          <w:bCs/>
          <w:sz w:val="24"/>
          <w:szCs w:val="24"/>
        </w:rPr>
        <w:t>CONCLUSION</w:t>
      </w:r>
    </w:p>
    <w:p w14:paraId="4A77CEBC" w14:textId="19A3C333" w:rsidR="00FC50B8" w:rsidRPr="00FC50B8"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t>In conclusion, we found consistent evidence that California’s vaccine equity allocation policy that distributed more vaccines to the least advantaged and most impacted communities resulted in substantial increases in vaccination rates and reductions in COVID-19 outcomes. However, the policy was not sufficient to eliminate disparities in vaccination rates and COVID-19 risk experienced by these communities. Additional public health interventions that address disparities across all social determinants of health, in addition to outcome-specific policies such as the vaccine equity allocation, are needed to achieve health equity</w:t>
      </w:r>
      <w:r w:rsidR="00963D2F">
        <w:rPr>
          <w:rFonts w:ascii="Courier New" w:hAnsi="Courier New" w:cs="Courier New"/>
          <w:sz w:val="24"/>
          <w:szCs w:val="24"/>
        </w:rPr>
        <w:t>.</w:t>
      </w:r>
      <w:r w:rsidR="00963D2F" w:rsidRPr="00D72494">
        <w:rPr>
          <w:rFonts w:ascii="Courier New" w:hAnsi="Courier New" w:cs="Courier New"/>
          <w:sz w:val="24"/>
          <w:szCs w:val="24"/>
          <w:vertAlign w:val="superscript"/>
        </w:rPr>
        <w:t>38</w:t>
      </w:r>
      <w:r w:rsidRPr="00FC50B8">
        <w:rPr>
          <w:rFonts w:ascii="Courier New" w:hAnsi="Courier New" w:cs="Courier New"/>
          <w:sz w:val="24"/>
          <w:szCs w:val="24"/>
        </w:rPr>
        <w:t> </w:t>
      </w:r>
    </w:p>
    <w:p w14:paraId="7C431D57" w14:textId="77777777" w:rsidR="00A05850" w:rsidRDefault="00A05850" w:rsidP="00A05850">
      <w:pPr>
        <w:spacing w:after="0" w:line="480" w:lineRule="auto"/>
        <w:rPr>
          <w:rFonts w:ascii="Courier New" w:hAnsi="Courier New" w:cs="Courier New"/>
          <w:b/>
          <w:bCs/>
          <w:sz w:val="24"/>
          <w:szCs w:val="24"/>
        </w:rPr>
      </w:pPr>
    </w:p>
    <w:p w14:paraId="0EE43A0A" w14:textId="77777777" w:rsidR="00A05850" w:rsidRDefault="00A05850" w:rsidP="00A05850">
      <w:pPr>
        <w:spacing w:after="0" w:line="480" w:lineRule="auto"/>
        <w:rPr>
          <w:rFonts w:ascii="Courier New" w:hAnsi="Courier New" w:cs="Courier New"/>
          <w:b/>
          <w:bCs/>
          <w:sz w:val="24"/>
          <w:szCs w:val="24"/>
        </w:rPr>
      </w:pPr>
    </w:p>
    <w:p w14:paraId="1978D14B" w14:textId="4B7C34BC" w:rsidR="00A05850" w:rsidRPr="00204B9A" w:rsidRDefault="00A05850" w:rsidP="00A05850">
      <w:pPr>
        <w:spacing w:after="0" w:line="480" w:lineRule="auto"/>
        <w:rPr>
          <w:rFonts w:ascii="Courier New" w:hAnsi="Courier New" w:cs="Courier New"/>
          <w:b/>
          <w:bCs/>
          <w:sz w:val="24"/>
          <w:szCs w:val="24"/>
        </w:rPr>
      </w:pPr>
      <w:r w:rsidRPr="00204B9A">
        <w:rPr>
          <w:rFonts w:ascii="Courier New" w:hAnsi="Courier New" w:cs="Courier New"/>
          <w:b/>
          <w:bCs/>
          <w:sz w:val="24"/>
          <w:szCs w:val="24"/>
        </w:rPr>
        <w:t>NOTES</w:t>
      </w:r>
    </w:p>
    <w:p w14:paraId="4B01FB65" w14:textId="77777777"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1.</w:t>
      </w:r>
      <w:r>
        <w:rPr>
          <w:rFonts w:ascii="Courier New" w:hAnsi="Courier New" w:cs="Courier New"/>
          <w:sz w:val="24"/>
          <w:szCs w:val="24"/>
        </w:rPr>
        <w:t xml:space="preserve"> </w:t>
      </w:r>
      <w:r w:rsidRPr="00FC50B8">
        <w:rPr>
          <w:rFonts w:ascii="Courier New" w:hAnsi="Courier New" w:cs="Courier New"/>
          <w:sz w:val="24"/>
          <w:szCs w:val="24"/>
        </w:rPr>
        <w:t xml:space="preserve">Azar KM, Shen Z, Romanelli RJ, Lockhart SH, Smits K, Robinson S, et al. Disparities in outcomes among COVID-19 patients in a large health care system in California: Study estimates the </w:t>
      </w:r>
      <w:r w:rsidRPr="00FC50B8">
        <w:rPr>
          <w:rFonts w:ascii="Courier New" w:hAnsi="Courier New" w:cs="Courier New"/>
          <w:sz w:val="24"/>
          <w:szCs w:val="24"/>
        </w:rPr>
        <w:lastRenderedPageBreak/>
        <w:t xml:space="preserve">COVID-19 infection fatality rate at the US county level. Health Affairs. 2020;39(7):1253–62. </w:t>
      </w:r>
    </w:p>
    <w:p w14:paraId="261620AB" w14:textId="77777777"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2.</w:t>
      </w:r>
      <w:r>
        <w:rPr>
          <w:rFonts w:ascii="Courier New" w:hAnsi="Courier New" w:cs="Courier New"/>
          <w:sz w:val="24"/>
          <w:szCs w:val="24"/>
        </w:rPr>
        <w:t xml:space="preserve"> </w:t>
      </w:r>
      <w:r w:rsidRPr="00FC50B8">
        <w:rPr>
          <w:rFonts w:ascii="Courier New" w:hAnsi="Courier New" w:cs="Courier New"/>
          <w:sz w:val="24"/>
          <w:szCs w:val="24"/>
        </w:rPr>
        <w:t>Karmakar M, Lantz PM, Tipirneni R. Association of social and demographic factors with COVID-19 incidence and death rates in the US. JAMA network open. 2021;4(1</w:t>
      </w:r>
      <w:proofErr w:type="gramStart"/>
      <w:r w:rsidRPr="00FC50B8">
        <w:rPr>
          <w:rFonts w:ascii="Courier New" w:hAnsi="Courier New" w:cs="Courier New"/>
          <w:sz w:val="24"/>
          <w:szCs w:val="24"/>
        </w:rPr>
        <w:t>):e</w:t>
      </w:r>
      <w:proofErr w:type="gramEnd"/>
      <w:r w:rsidRPr="00FC50B8">
        <w:rPr>
          <w:rFonts w:ascii="Courier New" w:hAnsi="Courier New" w:cs="Courier New"/>
          <w:sz w:val="24"/>
          <w:szCs w:val="24"/>
        </w:rPr>
        <w:t xml:space="preserve">2036462–e2036462. </w:t>
      </w:r>
    </w:p>
    <w:p w14:paraId="39F004D5" w14:textId="77777777"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3.</w:t>
      </w:r>
      <w:r>
        <w:rPr>
          <w:rFonts w:ascii="Courier New" w:hAnsi="Courier New" w:cs="Courier New"/>
          <w:sz w:val="24"/>
          <w:szCs w:val="24"/>
        </w:rPr>
        <w:t xml:space="preserve"> </w:t>
      </w:r>
      <w:r w:rsidRPr="00FC50B8">
        <w:rPr>
          <w:rFonts w:ascii="Courier New" w:hAnsi="Courier New" w:cs="Courier New"/>
          <w:sz w:val="24"/>
          <w:szCs w:val="24"/>
        </w:rPr>
        <w:t xml:space="preserve">Abedi V, </w:t>
      </w:r>
      <w:proofErr w:type="spellStart"/>
      <w:r w:rsidRPr="00FC50B8">
        <w:rPr>
          <w:rFonts w:ascii="Courier New" w:hAnsi="Courier New" w:cs="Courier New"/>
          <w:sz w:val="24"/>
          <w:szCs w:val="24"/>
        </w:rPr>
        <w:t>Olulana</w:t>
      </w:r>
      <w:proofErr w:type="spellEnd"/>
      <w:r w:rsidRPr="00FC50B8">
        <w:rPr>
          <w:rFonts w:ascii="Courier New" w:hAnsi="Courier New" w:cs="Courier New"/>
          <w:sz w:val="24"/>
          <w:szCs w:val="24"/>
        </w:rPr>
        <w:t xml:space="preserve"> O, Avula V, Chaudhary D, Khan A, </w:t>
      </w:r>
      <w:proofErr w:type="spellStart"/>
      <w:r w:rsidRPr="00FC50B8">
        <w:rPr>
          <w:rFonts w:ascii="Courier New" w:hAnsi="Courier New" w:cs="Courier New"/>
          <w:sz w:val="24"/>
          <w:szCs w:val="24"/>
        </w:rPr>
        <w:t>Shahjouei</w:t>
      </w:r>
      <w:proofErr w:type="spellEnd"/>
      <w:r w:rsidRPr="00FC50B8">
        <w:rPr>
          <w:rFonts w:ascii="Courier New" w:hAnsi="Courier New" w:cs="Courier New"/>
          <w:sz w:val="24"/>
          <w:szCs w:val="24"/>
        </w:rPr>
        <w:t xml:space="preserve"> S, et al. Racial, Economic, and Health Inequality and COVID-19 Infection in the United States. J Racial and Ethnic Health Disparities. 2021 Jun 1;8(3):732–42. </w:t>
      </w:r>
    </w:p>
    <w:p w14:paraId="47F62882" w14:textId="77777777"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4.</w:t>
      </w:r>
      <w:r>
        <w:rPr>
          <w:rFonts w:ascii="Courier New" w:hAnsi="Courier New" w:cs="Courier New"/>
          <w:sz w:val="24"/>
          <w:szCs w:val="24"/>
        </w:rPr>
        <w:t xml:space="preserve"> </w:t>
      </w:r>
      <w:r w:rsidRPr="00FC50B8">
        <w:rPr>
          <w:rFonts w:ascii="Courier New" w:hAnsi="Courier New" w:cs="Courier New"/>
          <w:sz w:val="24"/>
          <w:szCs w:val="24"/>
        </w:rPr>
        <w:t xml:space="preserve">Mude W, </w:t>
      </w:r>
      <w:proofErr w:type="spellStart"/>
      <w:r w:rsidRPr="00FC50B8">
        <w:rPr>
          <w:rFonts w:ascii="Courier New" w:hAnsi="Courier New" w:cs="Courier New"/>
          <w:sz w:val="24"/>
          <w:szCs w:val="24"/>
        </w:rPr>
        <w:t>Oguoma</w:t>
      </w:r>
      <w:proofErr w:type="spellEnd"/>
      <w:r w:rsidRPr="00FC50B8">
        <w:rPr>
          <w:rFonts w:ascii="Courier New" w:hAnsi="Courier New" w:cs="Courier New"/>
          <w:sz w:val="24"/>
          <w:szCs w:val="24"/>
        </w:rPr>
        <w:t xml:space="preserve"> VM, </w:t>
      </w:r>
      <w:proofErr w:type="spellStart"/>
      <w:r w:rsidRPr="00FC50B8">
        <w:rPr>
          <w:rFonts w:ascii="Courier New" w:hAnsi="Courier New" w:cs="Courier New"/>
          <w:sz w:val="24"/>
          <w:szCs w:val="24"/>
        </w:rPr>
        <w:t>Nyanhanda</w:t>
      </w:r>
      <w:proofErr w:type="spellEnd"/>
      <w:r w:rsidRPr="00FC50B8">
        <w:rPr>
          <w:rFonts w:ascii="Courier New" w:hAnsi="Courier New" w:cs="Courier New"/>
          <w:sz w:val="24"/>
          <w:szCs w:val="24"/>
        </w:rPr>
        <w:t xml:space="preserve"> T, </w:t>
      </w:r>
      <w:proofErr w:type="spellStart"/>
      <w:r w:rsidRPr="00FC50B8">
        <w:rPr>
          <w:rFonts w:ascii="Courier New" w:hAnsi="Courier New" w:cs="Courier New"/>
          <w:sz w:val="24"/>
          <w:szCs w:val="24"/>
        </w:rPr>
        <w:t>Mwanri</w:t>
      </w:r>
      <w:proofErr w:type="spellEnd"/>
      <w:r w:rsidRPr="00FC50B8">
        <w:rPr>
          <w:rFonts w:ascii="Courier New" w:hAnsi="Courier New" w:cs="Courier New"/>
          <w:sz w:val="24"/>
          <w:szCs w:val="24"/>
        </w:rPr>
        <w:t xml:space="preserve"> L, Njue C. Racial disparities in COVID-19 pandemic cases, </w:t>
      </w:r>
      <w:proofErr w:type="spellStart"/>
      <w:r w:rsidRPr="00FC50B8">
        <w:rPr>
          <w:rFonts w:ascii="Courier New" w:hAnsi="Courier New" w:cs="Courier New"/>
          <w:sz w:val="24"/>
          <w:szCs w:val="24"/>
        </w:rPr>
        <w:t>hospitalisations</w:t>
      </w:r>
      <w:proofErr w:type="spellEnd"/>
      <w:r w:rsidRPr="00FC50B8">
        <w:rPr>
          <w:rFonts w:ascii="Courier New" w:hAnsi="Courier New" w:cs="Courier New"/>
          <w:sz w:val="24"/>
          <w:szCs w:val="24"/>
        </w:rPr>
        <w:t xml:space="preserve">, and deaths: A systematic review and meta-analysis. J Glob Health. 11:05015. </w:t>
      </w:r>
    </w:p>
    <w:p w14:paraId="497CE7DB" w14:textId="77777777"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5.</w:t>
      </w:r>
      <w:r>
        <w:rPr>
          <w:rFonts w:ascii="Courier New" w:hAnsi="Courier New" w:cs="Courier New"/>
          <w:sz w:val="24"/>
          <w:szCs w:val="24"/>
        </w:rPr>
        <w:t xml:space="preserve"> </w:t>
      </w:r>
      <w:r w:rsidRPr="00FC50B8">
        <w:rPr>
          <w:rFonts w:ascii="Courier New" w:hAnsi="Courier New" w:cs="Courier New"/>
          <w:sz w:val="24"/>
          <w:szCs w:val="24"/>
        </w:rPr>
        <w:t xml:space="preserve">Reitsma MB, Claypool AL, Vargo J, Shete PB, McCorvie R, Wheeler WH, et al. Racial/Ethnic Disparities In COVID-19 Exposure Risk, Testing, And Cases </w:t>
      </w:r>
      <w:proofErr w:type="gramStart"/>
      <w:r w:rsidRPr="00FC50B8">
        <w:rPr>
          <w:rFonts w:ascii="Courier New" w:hAnsi="Courier New" w:cs="Courier New"/>
          <w:sz w:val="24"/>
          <w:szCs w:val="24"/>
        </w:rPr>
        <w:t>At</w:t>
      </w:r>
      <w:proofErr w:type="gramEnd"/>
      <w:r w:rsidRPr="00FC50B8">
        <w:rPr>
          <w:rFonts w:ascii="Courier New" w:hAnsi="Courier New" w:cs="Courier New"/>
          <w:sz w:val="24"/>
          <w:szCs w:val="24"/>
        </w:rPr>
        <w:t xml:space="preserve"> The Subcounty Level In California: Study examines racial/ethnic disparities in COVID-19 risk, testing, and cases. Health Affairs. 2021;40(6):870–8. </w:t>
      </w:r>
    </w:p>
    <w:p w14:paraId="57D79439" w14:textId="77777777"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6.</w:t>
      </w:r>
      <w:r>
        <w:rPr>
          <w:rFonts w:ascii="Courier New" w:hAnsi="Courier New" w:cs="Courier New"/>
          <w:sz w:val="24"/>
          <w:szCs w:val="24"/>
        </w:rPr>
        <w:t xml:space="preserve"> </w:t>
      </w:r>
      <w:r w:rsidRPr="00FC50B8">
        <w:rPr>
          <w:rFonts w:ascii="Courier New" w:hAnsi="Courier New" w:cs="Courier New"/>
          <w:sz w:val="24"/>
          <w:szCs w:val="24"/>
        </w:rPr>
        <w:t xml:space="preserve">Franz B, Parker B, Milner A, Braddock JH. The Relationship between Systemic Racism, Residential Segregation, and Racial/Ethnic Disparities in COVID-19 Deaths in the United States. </w:t>
      </w:r>
      <w:proofErr w:type="spellStart"/>
      <w:r w:rsidRPr="00FC50B8">
        <w:rPr>
          <w:rFonts w:ascii="Courier New" w:hAnsi="Courier New" w:cs="Courier New"/>
          <w:sz w:val="24"/>
          <w:szCs w:val="24"/>
        </w:rPr>
        <w:t>Ethn</w:t>
      </w:r>
      <w:proofErr w:type="spellEnd"/>
      <w:r w:rsidRPr="00FC50B8">
        <w:rPr>
          <w:rFonts w:ascii="Courier New" w:hAnsi="Courier New" w:cs="Courier New"/>
          <w:sz w:val="24"/>
          <w:szCs w:val="24"/>
        </w:rPr>
        <w:t xml:space="preserve"> Dis. 2022;32(1):31–8. </w:t>
      </w:r>
    </w:p>
    <w:p w14:paraId="045E3C7B" w14:textId="77777777"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7.</w:t>
      </w:r>
      <w:r>
        <w:rPr>
          <w:rFonts w:ascii="Courier New" w:hAnsi="Courier New" w:cs="Courier New"/>
          <w:sz w:val="24"/>
          <w:szCs w:val="24"/>
        </w:rPr>
        <w:t xml:space="preserve"> </w:t>
      </w:r>
      <w:r w:rsidRPr="00FC50B8">
        <w:rPr>
          <w:rFonts w:ascii="Courier New" w:hAnsi="Courier New" w:cs="Courier New"/>
          <w:sz w:val="24"/>
          <w:szCs w:val="24"/>
        </w:rPr>
        <w:t xml:space="preserve">Assoumou SA, Peterson A, </w:t>
      </w:r>
      <w:proofErr w:type="spellStart"/>
      <w:r w:rsidRPr="00FC50B8">
        <w:rPr>
          <w:rFonts w:ascii="Courier New" w:hAnsi="Courier New" w:cs="Courier New"/>
          <w:sz w:val="24"/>
          <w:szCs w:val="24"/>
        </w:rPr>
        <w:t>Ginman</w:t>
      </w:r>
      <w:proofErr w:type="spellEnd"/>
      <w:r w:rsidRPr="00FC50B8">
        <w:rPr>
          <w:rFonts w:ascii="Courier New" w:hAnsi="Courier New" w:cs="Courier New"/>
          <w:sz w:val="24"/>
          <w:szCs w:val="24"/>
        </w:rPr>
        <w:t xml:space="preserve"> E, James T, Pierre CM, Hamilton S, et al. Addressing Inequities in SARS-CoV-2 Vaccine </w:t>
      </w:r>
      <w:r w:rsidRPr="00FC50B8">
        <w:rPr>
          <w:rFonts w:ascii="Courier New" w:hAnsi="Courier New" w:cs="Courier New"/>
          <w:sz w:val="24"/>
          <w:szCs w:val="24"/>
        </w:rPr>
        <w:lastRenderedPageBreak/>
        <w:t xml:space="preserve">Uptake: The Boston Medical Center Health System Experience. Annals of Internal Medicine. 2022;175(6):879–84. </w:t>
      </w:r>
    </w:p>
    <w:p w14:paraId="2E42F222" w14:textId="77777777"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8.</w:t>
      </w:r>
      <w:r>
        <w:rPr>
          <w:rFonts w:ascii="Courier New" w:hAnsi="Courier New" w:cs="Courier New"/>
          <w:sz w:val="24"/>
          <w:szCs w:val="24"/>
        </w:rPr>
        <w:t xml:space="preserve"> </w:t>
      </w:r>
      <w:r w:rsidRPr="00FC50B8">
        <w:rPr>
          <w:rFonts w:ascii="Courier New" w:hAnsi="Courier New" w:cs="Courier New"/>
          <w:sz w:val="24"/>
          <w:szCs w:val="24"/>
        </w:rPr>
        <w:t xml:space="preserve">Casillas E, Ye M, Vargo J, Nardone A, Shete P, Thakur N. The Color of a Pandemic: The Association Between Historical Residential Redlining and COVID-19 Outcomes in California. In: C14 BURNOUT, DISPARITIES, AND OUTCOMES OF THE COVID-19 PANDEMIC. American Thoracic Society; 2022. p. A3693–A3693. </w:t>
      </w:r>
    </w:p>
    <w:p w14:paraId="594FC5B6" w14:textId="77777777"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9.</w:t>
      </w:r>
      <w:r>
        <w:rPr>
          <w:rFonts w:ascii="Courier New" w:hAnsi="Courier New" w:cs="Courier New"/>
          <w:sz w:val="24"/>
          <w:szCs w:val="24"/>
        </w:rPr>
        <w:t xml:space="preserve"> </w:t>
      </w:r>
      <w:r w:rsidRPr="00FC50B8">
        <w:rPr>
          <w:rFonts w:ascii="Courier New" w:hAnsi="Courier New" w:cs="Courier New"/>
          <w:sz w:val="24"/>
          <w:szCs w:val="24"/>
        </w:rPr>
        <w:t xml:space="preserve">Andrews N, Tessier E, Stowe J, Gower C, </w:t>
      </w:r>
      <w:proofErr w:type="spellStart"/>
      <w:r w:rsidRPr="00FC50B8">
        <w:rPr>
          <w:rFonts w:ascii="Courier New" w:hAnsi="Courier New" w:cs="Courier New"/>
          <w:sz w:val="24"/>
          <w:szCs w:val="24"/>
        </w:rPr>
        <w:t>Kirsebom</w:t>
      </w:r>
      <w:proofErr w:type="spellEnd"/>
      <w:r w:rsidRPr="00FC50B8">
        <w:rPr>
          <w:rFonts w:ascii="Courier New" w:hAnsi="Courier New" w:cs="Courier New"/>
          <w:sz w:val="24"/>
          <w:szCs w:val="24"/>
        </w:rPr>
        <w:t xml:space="preserve"> F, Simmons R, et al. Duration of Protection against Mild and Severe Disease by Covid-19 Vaccines. New England Journal of Medicine. 2022 Jan 27;386(4):340–50. </w:t>
      </w:r>
    </w:p>
    <w:p w14:paraId="6460BC45" w14:textId="77777777"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10.</w:t>
      </w:r>
      <w:r>
        <w:rPr>
          <w:rFonts w:ascii="Courier New" w:hAnsi="Courier New" w:cs="Courier New"/>
          <w:sz w:val="24"/>
          <w:szCs w:val="24"/>
        </w:rPr>
        <w:t xml:space="preserve"> </w:t>
      </w:r>
      <w:r w:rsidRPr="00FC50B8">
        <w:rPr>
          <w:rFonts w:ascii="Courier New" w:hAnsi="Courier New" w:cs="Courier New"/>
          <w:sz w:val="24"/>
          <w:szCs w:val="24"/>
        </w:rPr>
        <w:t xml:space="preserve">National Academies of Sciences Engineering, Medicine, others. Framework for equitable allocation of COVID-19 vaccine. National Academies Press; 2020. </w:t>
      </w:r>
    </w:p>
    <w:p w14:paraId="6E238525" w14:textId="77777777"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11.</w:t>
      </w:r>
      <w:r>
        <w:rPr>
          <w:rFonts w:ascii="Courier New" w:hAnsi="Courier New" w:cs="Courier New"/>
          <w:sz w:val="24"/>
          <w:szCs w:val="24"/>
        </w:rPr>
        <w:t xml:space="preserve"> </w:t>
      </w:r>
      <w:r w:rsidRPr="00FC50B8">
        <w:rPr>
          <w:rFonts w:ascii="Courier New" w:hAnsi="Courier New" w:cs="Courier New"/>
          <w:sz w:val="24"/>
          <w:szCs w:val="24"/>
        </w:rPr>
        <w:t xml:space="preserve">Chen L, Xu F, Han Z, Tang K, Hui P, Evans J, et al. Strategic COVID-19 vaccine distribution can simultaneously elevate social utility and equity. Nat Hum </w:t>
      </w:r>
      <w:proofErr w:type="spellStart"/>
      <w:r w:rsidRPr="00FC50B8">
        <w:rPr>
          <w:rFonts w:ascii="Courier New" w:hAnsi="Courier New" w:cs="Courier New"/>
          <w:sz w:val="24"/>
          <w:szCs w:val="24"/>
        </w:rPr>
        <w:t>Behav</w:t>
      </w:r>
      <w:proofErr w:type="spellEnd"/>
      <w:r w:rsidRPr="00FC50B8">
        <w:rPr>
          <w:rFonts w:ascii="Courier New" w:hAnsi="Courier New" w:cs="Courier New"/>
          <w:sz w:val="24"/>
          <w:szCs w:val="24"/>
        </w:rPr>
        <w:t xml:space="preserve">. 2022 Nov;6(11):1503–14. </w:t>
      </w:r>
    </w:p>
    <w:p w14:paraId="7259D18C" w14:textId="6B8F8AA8" w:rsidR="00CD5CEE" w:rsidRPr="00FC50B8" w:rsidRDefault="00CD5CEE" w:rsidP="00CD5CEE">
      <w:pPr>
        <w:spacing w:after="0" w:line="480" w:lineRule="auto"/>
        <w:rPr>
          <w:rFonts w:ascii="Courier New" w:hAnsi="Courier New" w:cs="Courier New"/>
          <w:sz w:val="24"/>
          <w:szCs w:val="24"/>
        </w:rPr>
      </w:pPr>
      <w:r w:rsidRPr="00CD5CEE">
        <w:rPr>
          <w:rFonts w:ascii="Courier New" w:hAnsi="Courier New" w:cs="Courier New"/>
          <w:sz w:val="24"/>
          <w:szCs w:val="24"/>
        </w:rPr>
        <w:t>12</w:t>
      </w:r>
      <w:commentRangeStart w:id="9"/>
      <w:commentRangeStart w:id="10"/>
      <w:r w:rsidRPr="00857BAE">
        <w:rPr>
          <w:rFonts w:ascii="Courier New" w:hAnsi="Courier New" w:cs="Courier New"/>
          <w:sz w:val="24"/>
          <w:szCs w:val="24"/>
          <w:highlight w:val="yellow"/>
        </w:rPr>
        <w:t>. Chapman LA, Shukla P, Rodríguez-</w:t>
      </w:r>
      <w:proofErr w:type="spellStart"/>
      <w:r w:rsidRPr="00857BAE">
        <w:rPr>
          <w:rFonts w:ascii="Courier New" w:hAnsi="Courier New" w:cs="Courier New"/>
          <w:sz w:val="24"/>
          <w:szCs w:val="24"/>
          <w:highlight w:val="yellow"/>
        </w:rPr>
        <w:t>Barraquer</w:t>
      </w:r>
      <w:proofErr w:type="spellEnd"/>
      <w:r w:rsidRPr="00857BAE">
        <w:rPr>
          <w:rFonts w:ascii="Courier New" w:hAnsi="Courier New" w:cs="Courier New"/>
          <w:sz w:val="24"/>
          <w:szCs w:val="24"/>
          <w:highlight w:val="yellow"/>
        </w:rPr>
        <w:t xml:space="preserve"> I, Shete PB, León TM, Bibbins-Domingo K, et al. Risk factor targeting for vaccine prioritization during the COVID-19 pandemic. Scientific Reports. 2022;12(1):1–12.</w:t>
      </w:r>
      <w:r w:rsidRPr="00FC50B8">
        <w:rPr>
          <w:rFonts w:ascii="Courier New" w:hAnsi="Courier New" w:cs="Courier New"/>
          <w:sz w:val="24"/>
          <w:szCs w:val="24"/>
        </w:rPr>
        <w:t xml:space="preserve"> </w:t>
      </w:r>
      <w:commentRangeEnd w:id="9"/>
      <w:r>
        <w:rPr>
          <w:rStyle w:val="CommentReference"/>
        </w:rPr>
        <w:commentReference w:id="9"/>
      </w:r>
      <w:commentRangeEnd w:id="10"/>
      <w:r>
        <w:rPr>
          <w:rStyle w:val="CommentReference"/>
        </w:rPr>
        <w:commentReference w:id="10"/>
      </w:r>
    </w:p>
    <w:p w14:paraId="63B7D3BA" w14:textId="62569484"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1</w:t>
      </w:r>
      <w:r w:rsidR="00CD5CEE">
        <w:rPr>
          <w:rFonts w:ascii="Courier New" w:hAnsi="Courier New" w:cs="Courier New"/>
          <w:sz w:val="24"/>
          <w:szCs w:val="24"/>
        </w:rPr>
        <w:t>3</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 xml:space="preserve">FACT SHEET: Ending the Pandemic Through Equitable Vaccine Administration [Internet]. Office of the Governor of California; </w:t>
      </w:r>
      <w:r w:rsidRPr="00FC50B8">
        <w:rPr>
          <w:rFonts w:ascii="Courier New" w:hAnsi="Courier New" w:cs="Courier New"/>
          <w:sz w:val="24"/>
          <w:szCs w:val="24"/>
        </w:rPr>
        <w:lastRenderedPageBreak/>
        <w:t>2021. Available from: https://www.gov.ca.gov/wp-content/uploads/2021/03/Equitable-Vaccine-Administration-Fact-Sheet.pdf?emrc=48b733</w:t>
      </w:r>
    </w:p>
    <w:p w14:paraId="1E426701" w14:textId="7A37C143"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1</w:t>
      </w:r>
      <w:r w:rsidR="00CD5CEE">
        <w:rPr>
          <w:rFonts w:ascii="Courier New" w:hAnsi="Courier New" w:cs="Courier New"/>
          <w:sz w:val="24"/>
          <w:szCs w:val="24"/>
        </w:rPr>
        <w:t>4</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 xml:space="preserve">Maizlish N, Delaney T, Dowling H, Chapman DA, Sabo R, Woolf S, et al. California healthy places index: frames matter. Public Health Reports. 2019;134(4):354–62. </w:t>
      </w:r>
    </w:p>
    <w:p w14:paraId="7476626F" w14:textId="268AE1EA"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1</w:t>
      </w:r>
      <w:r w:rsidR="00CD5CEE">
        <w:rPr>
          <w:rFonts w:ascii="Courier New" w:hAnsi="Courier New" w:cs="Courier New"/>
          <w:sz w:val="24"/>
          <w:szCs w:val="24"/>
        </w:rPr>
        <w:t>5</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California Department of Public Health. Blueprint For a Safer Economy: Equity Focus [Internet]. 2021 [cited 2022 Nov 1]. Available from: https://www.cdph.ca.gov/Programs/CID/DCDC/Pages/COVID-19/CaliforniaHealthEquityMetric.aspx</w:t>
      </w:r>
    </w:p>
    <w:p w14:paraId="7CAB2AB1" w14:textId="66D57331"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1</w:t>
      </w:r>
      <w:r w:rsidR="00CD5CEE">
        <w:rPr>
          <w:rFonts w:ascii="Courier New" w:hAnsi="Courier New" w:cs="Courier New"/>
          <w:sz w:val="24"/>
          <w:szCs w:val="24"/>
        </w:rPr>
        <w:t>6</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 xml:space="preserve">Delaney T, Dominie W, Dowling H, Maizlish N, Chapman D, Hill L, et al. Healthy places index. Public Health Alliance of Southern California, Long Beach, CA. </w:t>
      </w:r>
      <w:proofErr w:type="gramStart"/>
      <w:r w:rsidRPr="00FC50B8">
        <w:rPr>
          <w:rFonts w:ascii="Courier New" w:hAnsi="Courier New" w:cs="Courier New"/>
          <w:sz w:val="24"/>
          <w:szCs w:val="24"/>
        </w:rPr>
        <w:t>2018;</w:t>
      </w:r>
      <w:proofErr w:type="gramEnd"/>
      <w:r w:rsidRPr="00FC50B8">
        <w:rPr>
          <w:rFonts w:ascii="Courier New" w:hAnsi="Courier New" w:cs="Courier New"/>
          <w:sz w:val="24"/>
          <w:szCs w:val="24"/>
        </w:rPr>
        <w:t xml:space="preserve"> </w:t>
      </w:r>
    </w:p>
    <w:p w14:paraId="4D91B792" w14:textId="5232DCAC"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1</w:t>
      </w:r>
      <w:r w:rsidR="00CD5CEE">
        <w:rPr>
          <w:rFonts w:ascii="Courier New" w:hAnsi="Courier New" w:cs="Courier New"/>
          <w:sz w:val="24"/>
          <w:szCs w:val="24"/>
        </w:rPr>
        <w:t>7</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HPI into Action During the COVID-19 Pandemic: The State of California’s Health Equity and Vaccine Equity Metrics [Internet]. Public Health Alliance of Southern California; 2021 Dec. Available from: https://assets.website-files.com/613a633a3add5db901277f96/62cf1862fc7cc631dfe09812_HPI%20COVID-19%20State%20Uses.pdf</w:t>
      </w:r>
    </w:p>
    <w:p w14:paraId="6A3C2BD6" w14:textId="2DBBECE6"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1</w:t>
      </w:r>
      <w:r w:rsidR="00CD5CEE">
        <w:rPr>
          <w:rFonts w:ascii="Courier New" w:hAnsi="Courier New" w:cs="Courier New"/>
          <w:sz w:val="24"/>
          <w:szCs w:val="24"/>
        </w:rPr>
        <w:t>8</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 xml:space="preserve">COVID-19 Community Vulnerability Index (CCVI) Methodology [Internet]. </w:t>
      </w:r>
      <w:proofErr w:type="spellStart"/>
      <w:r w:rsidRPr="00FC50B8">
        <w:rPr>
          <w:rFonts w:ascii="Courier New" w:hAnsi="Courier New" w:cs="Courier New"/>
          <w:sz w:val="24"/>
          <w:szCs w:val="24"/>
        </w:rPr>
        <w:t>Surgo</w:t>
      </w:r>
      <w:proofErr w:type="spellEnd"/>
      <w:r w:rsidRPr="00FC50B8">
        <w:rPr>
          <w:rFonts w:ascii="Courier New" w:hAnsi="Courier New" w:cs="Courier New"/>
          <w:sz w:val="24"/>
          <w:szCs w:val="24"/>
        </w:rPr>
        <w:t xml:space="preserve"> Ventures; 2020 Dec. Available from: https://covid-static-assets.s3.amazonaws.com/US-CCVI/COVID-19+Community+Vulnerability+Index+(CCVI)+Methodology.pdf</w:t>
      </w:r>
    </w:p>
    <w:p w14:paraId="216A9BBE" w14:textId="1B1E1B88"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lastRenderedPageBreak/>
        <w:t>1</w:t>
      </w:r>
      <w:r w:rsidR="00CD5CEE">
        <w:rPr>
          <w:rFonts w:ascii="Courier New" w:hAnsi="Courier New" w:cs="Courier New"/>
          <w:sz w:val="24"/>
          <w:szCs w:val="24"/>
        </w:rPr>
        <w:t>9</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State of California. Identifying California’s Hard-to-Count in Census 2020 [Internet]. [cited 2022 Nov 1]. Available from: https://census.ca.gov/california-htc/</w:t>
      </w:r>
    </w:p>
    <w:p w14:paraId="11E58A30" w14:textId="22A57B59" w:rsidR="00A05850" w:rsidRDefault="00CD5CEE" w:rsidP="00A05850">
      <w:pPr>
        <w:spacing w:after="0" w:line="480" w:lineRule="auto"/>
        <w:rPr>
          <w:rFonts w:ascii="Courier New" w:hAnsi="Courier New" w:cs="Courier New"/>
          <w:sz w:val="24"/>
          <w:szCs w:val="24"/>
        </w:rPr>
      </w:pPr>
      <w:r>
        <w:rPr>
          <w:rFonts w:ascii="Courier New" w:hAnsi="Courier New" w:cs="Courier New"/>
          <w:sz w:val="24"/>
          <w:szCs w:val="24"/>
        </w:rPr>
        <w:t>20</w:t>
      </w:r>
      <w:r w:rsidR="00A05850" w:rsidRPr="00FC50B8">
        <w:rPr>
          <w:rFonts w:ascii="Courier New" w:hAnsi="Courier New" w:cs="Courier New"/>
          <w:sz w:val="24"/>
          <w:szCs w:val="24"/>
        </w:rPr>
        <w:t>.</w:t>
      </w:r>
      <w:r w:rsidR="00A05850">
        <w:rPr>
          <w:rFonts w:ascii="Courier New" w:hAnsi="Courier New" w:cs="Courier New"/>
          <w:sz w:val="24"/>
          <w:szCs w:val="24"/>
        </w:rPr>
        <w:t xml:space="preserve"> </w:t>
      </w:r>
      <w:r w:rsidR="00A05850" w:rsidRPr="00FC50B8">
        <w:rPr>
          <w:rFonts w:ascii="Courier New" w:hAnsi="Courier New" w:cs="Courier New"/>
          <w:sz w:val="24"/>
          <w:szCs w:val="24"/>
        </w:rPr>
        <w:t xml:space="preserve">Centers for Disease Control and Prevention. Coronavirus Disease 2019 (COVID-19) 2020 Interim Case Definition, Approved August 5, 2020 [Internet]. 2021 [cited 2022 Nov 1]. Available from: </w:t>
      </w:r>
      <w:hyperlink r:id="rId13" w:history="1">
        <w:r w:rsidR="00A05850" w:rsidRPr="00470042">
          <w:rPr>
            <w:rStyle w:val="Hyperlink"/>
            <w:rFonts w:ascii="Courier New" w:hAnsi="Courier New" w:cs="Courier New"/>
            <w:sz w:val="24"/>
            <w:szCs w:val="24"/>
          </w:rPr>
          <w:t>https://ndc.services.cdc.gov/case-definitions/coronavirus-disease-2019-2020-08-05/</w:t>
        </w:r>
      </w:hyperlink>
    </w:p>
    <w:p w14:paraId="2DF315D3" w14:textId="20CE50C5" w:rsidR="00A05850" w:rsidRPr="00FC50B8" w:rsidRDefault="00A05850" w:rsidP="00A05850">
      <w:pPr>
        <w:spacing w:after="0" w:line="480" w:lineRule="auto"/>
        <w:rPr>
          <w:rFonts w:ascii="Courier New" w:hAnsi="Courier New" w:cs="Courier New"/>
          <w:sz w:val="24"/>
          <w:szCs w:val="24"/>
        </w:rPr>
      </w:pPr>
      <w:r>
        <w:rPr>
          <w:rFonts w:ascii="Courier New" w:hAnsi="Courier New" w:cs="Courier New"/>
          <w:sz w:val="24"/>
          <w:szCs w:val="24"/>
        </w:rPr>
        <w:t>2</w:t>
      </w:r>
      <w:r w:rsidR="00CD5CEE">
        <w:rPr>
          <w:rFonts w:ascii="Courier New" w:hAnsi="Courier New" w:cs="Courier New"/>
          <w:sz w:val="24"/>
          <w:szCs w:val="24"/>
        </w:rPr>
        <w:t>1</w:t>
      </w:r>
      <w:r>
        <w:rPr>
          <w:rFonts w:ascii="Courier New" w:hAnsi="Courier New" w:cs="Courier New"/>
          <w:sz w:val="24"/>
          <w:szCs w:val="24"/>
        </w:rPr>
        <w:t xml:space="preserve">. </w:t>
      </w:r>
      <w:r w:rsidRPr="00A05850">
        <w:rPr>
          <w:rFonts w:ascii="Courier New" w:hAnsi="Courier New" w:cs="Courier New"/>
          <w:sz w:val="24"/>
          <w:szCs w:val="24"/>
        </w:rPr>
        <w:t>To access the appendix, click on the Details tab of the article online.</w:t>
      </w:r>
    </w:p>
    <w:p w14:paraId="619916F1" w14:textId="701BA3F9"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2</w:t>
      </w:r>
      <w:r w:rsidR="00FD587E">
        <w:rPr>
          <w:rFonts w:ascii="Courier New" w:hAnsi="Courier New" w:cs="Courier New"/>
          <w:sz w:val="24"/>
          <w:szCs w:val="24"/>
        </w:rPr>
        <w:t>2</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 xml:space="preserve">Head JR, </w:t>
      </w:r>
      <w:proofErr w:type="spellStart"/>
      <w:r w:rsidRPr="00FC50B8">
        <w:rPr>
          <w:rFonts w:ascii="Courier New" w:hAnsi="Courier New" w:cs="Courier New"/>
          <w:sz w:val="24"/>
          <w:szCs w:val="24"/>
        </w:rPr>
        <w:t>Collender</w:t>
      </w:r>
      <w:proofErr w:type="spellEnd"/>
      <w:r w:rsidRPr="00FC50B8">
        <w:rPr>
          <w:rFonts w:ascii="Courier New" w:hAnsi="Courier New" w:cs="Courier New"/>
          <w:sz w:val="24"/>
          <w:szCs w:val="24"/>
        </w:rPr>
        <w:t xml:space="preserve"> PA, </w:t>
      </w:r>
      <w:proofErr w:type="spellStart"/>
      <w:r w:rsidRPr="00FC50B8">
        <w:rPr>
          <w:rFonts w:ascii="Courier New" w:hAnsi="Courier New" w:cs="Courier New"/>
          <w:sz w:val="24"/>
          <w:szCs w:val="24"/>
        </w:rPr>
        <w:t>Lewnard</w:t>
      </w:r>
      <w:proofErr w:type="spellEnd"/>
      <w:r w:rsidRPr="00FC50B8">
        <w:rPr>
          <w:rFonts w:ascii="Courier New" w:hAnsi="Courier New" w:cs="Courier New"/>
          <w:sz w:val="24"/>
          <w:szCs w:val="24"/>
        </w:rPr>
        <w:t xml:space="preserve"> JA, Skaff NK, Li L, Cheng Q, et al. Early evidence of inactivated enterovirus 71 vaccine impact against hand, foot, and mouth disease in a major center of ongoing transmission in China, 2011–2018: a longitudinal surveillance study. Clinical Infectious Diseases. 2020;71(12):3088–95. </w:t>
      </w:r>
    </w:p>
    <w:p w14:paraId="49120CD8" w14:textId="4CA0E11C"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2</w:t>
      </w:r>
      <w:r w:rsidR="00FD587E">
        <w:rPr>
          <w:rFonts w:ascii="Courier New" w:hAnsi="Courier New" w:cs="Courier New"/>
          <w:sz w:val="24"/>
          <w:szCs w:val="24"/>
        </w:rPr>
        <w:t>3</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 xml:space="preserve">Bruhn CAW, Hetterich S, Schuck-Paim C, </w:t>
      </w:r>
      <w:proofErr w:type="spellStart"/>
      <w:r w:rsidRPr="00FC50B8">
        <w:rPr>
          <w:rFonts w:ascii="Courier New" w:hAnsi="Courier New" w:cs="Courier New"/>
          <w:sz w:val="24"/>
          <w:szCs w:val="24"/>
        </w:rPr>
        <w:t>Kürüm</w:t>
      </w:r>
      <w:proofErr w:type="spellEnd"/>
      <w:r w:rsidRPr="00FC50B8">
        <w:rPr>
          <w:rFonts w:ascii="Courier New" w:hAnsi="Courier New" w:cs="Courier New"/>
          <w:sz w:val="24"/>
          <w:szCs w:val="24"/>
        </w:rPr>
        <w:t xml:space="preserve"> E, Taylor RJ, Lustig R, et al. Estimating the population-level impact of vaccines using synthetic controls. Proceedings of the National Academy of Sciences. 2017 Feb 14;114(7):1524–9. </w:t>
      </w:r>
    </w:p>
    <w:p w14:paraId="54838685" w14:textId="5BCDD18D"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2</w:t>
      </w:r>
      <w:r w:rsidR="00FD587E">
        <w:rPr>
          <w:rFonts w:ascii="Courier New" w:hAnsi="Courier New" w:cs="Courier New"/>
          <w:sz w:val="24"/>
          <w:szCs w:val="24"/>
        </w:rPr>
        <w:t>4</w:t>
      </w:r>
      <w:r w:rsidRPr="00FC50B8">
        <w:rPr>
          <w:rFonts w:ascii="Courier New" w:hAnsi="Courier New" w:cs="Courier New"/>
          <w:sz w:val="24"/>
          <w:szCs w:val="24"/>
        </w:rPr>
        <w:t>.</w:t>
      </w:r>
      <w:r>
        <w:rPr>
          <w:rFonts w:ascii="Courier New" w:hAnsi="Courier New" w:cs="Courier New"/>
          <w:sz w:val="24"/>
          <w:szCs w:val="24"/>
        </w:rPr>
        <w:t xml:space="preserve"> </w:t>
      </w:r>
      <w:proofErr w:type="spellStart"/>
      <w:r w:rsidRPr="00FC50B8">
        <w:rPr>
          <w:rFonts w:ascii="Courier New" w:hAnsi="Courier New" w:cs="Courier New"/>
          <w:sz w:val="24"/>
          <w:szCs w:val="24"/>
        </w:rPr>
        <w:t>Shewry</w:t>
      </w:r>
      <w:proofErr w:type="spellEnd"/>
      <w:r w:rsidRPr="00FC50B8">
        <w:rPr>
          <w:rFonts w:ascii="Courier New" w:hAnsi="Courier New" w:cs="Courier New"/>
          <w:sz w:val="24"/>
          <w:szCs w:val="24"/>
        </w:rPr>
        <w:t xml:space="preserve"> S, Pan E. CDPH Allocation Guidelines for COVID-19 Vaccine During Phase 1A: Recommendations [Internet]. 2020. Available from: https://www.cdph.ca.gov/Programs/CID/DCDC/Pages/COVID-19/CDPH-</w:t>
      </w:r>
      <w:r w:rsidRPr="00FC50B8">
        <w:rPr>
          <w:rFonts w:ascii="Courier New" w:hAnsi="Courier New" w:cs="Courier New"/>
          <w:sz w:val="24"/>
          <w:szCs w:val="24"/>
        </w:rPr>
        <w:lastRenderedPageBreak/>
        <w:t>Allocation-Guidelines-for-COVID-19-Vaccine-During-Phase-1A-Recommendations.aspx</w:t>
      </w:r>
    </w:p>
    <w:p w14:paraId="54CC842B" w14:textId="29DF5BD4"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2</w:t>
      </w:r>
      <w:r w:rsidR="00FD587E">
        <w:rPr>
          <w:rFonts w:ascii="Courier New" w:hAnsi="Courier New" w:cs="Courier New"/>
          <w:sz w:val="24"/>
          <w:szCs w:val="24"/>
        </w:rPr>
        <w:t>5</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R Core Team. R: A Language and Environment for Statistical Computing [Internet]. Vienna, Austria: R Foundation for Statistical Computing; 2021. Available from: https://www.R-project.org/</w:t>
      </w:r>
    </w:p>
    <w:p w14:paraId="44F73605" w14:textId="553CFFE2"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2</w:t>
      </w:r>
      <w:r w:rsidR="00FD587E">
        <w:rPr>
          <w:rFonts w:ascii="Courier New" w:hAnsi="Courier New" w:cs="Courier New"/>
          <w:sz w:val="24"/>
          <w:szCs w:val="24"/>
        </w:rPr>
        <w:t>6</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 xml:space="preserve">Wickham H, Averick M, Bryan J, Chang W, McGowan LD, François R, et al. Welcome to the </w:t>
      </w:r>
      <w:proofErr w:type="spellStart"/>
      <w:r w:rsidRPr="00FC50B8">
        <w:rPr>
          <w:rFonts w:ascii="Courier New" w:hAnsi="Courier New" w:cs="Courier New"/>
          <w:sz w:val="24"/>
          <w:szCs w:val="24"/>
        </w:rPr>
        <w:t>tidyverse</w:t>
      </w:r>
      <w:proofErr w:type="spellEnd"/>
      <w:r w:rsidRPr="00FC50B8">
        <w:rPr>
          <w:rFonts w:ascii="Courier New" w:hAnsi="Courier New" w:cs="Courier New"/>
          <w:sz w:val="24"/>
          <w:szCs w:val="24"/>
        </w:rPr>
        <w:t xml:space="preserve">. Journal of </w:t>
      </w:r>
      <w:proofErr w:type="gramStart"/>
      <w:r w:rsidRPr="00FC50B8">
        <w:rPr>
          <w:rFonts w:ascii="Courier New" w:hAnsi="Courier New" w:cs="Courier New"/>
          <w:sz w:val="24"/>
          <w:szCs w:val="24"/>
        </w:rPr>
        <w:t>Open Source</w:t>
      </w:r>
      <w:proofErr w:type="gramEnd"/>
      <w:r w:rsidRPr="00FC50B8">
        <w:rPr>
          <w:rFonts w:ascii="Courier New" w:hAnsi="Courier New" w:cs="Courier New"/>
          <w:sz w:val="24"/>
          <w:szCs w:val="24"/>
        </w:rPr>
        <w:t xml:space="preserve"> Software. 2019;4(43):1686. </w:t>
      </w:r>
    </w:p>
    <w:p w14:paraId="5AE033D5" w14:textId="71AC058A"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2</w:t>
      </w:r>
      <w:r w:rsidR="00FD587E">
        <w:rPr>
          <w:rFonts w:ascii="Courier New" w:hAnsi="Courier New" w:cs="Courier New"/>
          <w:sz w:val="24"/>
          <w:szCs w:val="24"/>
        </w:rPr>
        <w:t>7</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 xml:space="preserve">Bates D, </w:t>
      </w:r>
      <w:proofErr w:type="spellStart"/>
      <w:r w:rsidRPr="00FC50B8">
        <w:rPr>
          <w:rFonts w:ascii="Courier New" w:hAnsi="Courier New" w:cs="Courier New"/>
          <w:sz w:val="24"/>
          <w:szCs w:val="24"/>
        </w:rPr>
        <w:t>Mächler</w:t>
      </w:r>
      <w:proofErr w:type="spellEnd"/>
      <w:r w:rsidRPr="00FC50B8">
        <w:rPr>
          <w:rFonts w:ascii="Courier New" w:hAnsi="Courier New" w:cs="Courier New"/>
          <w:sz w:val="24"/>
          <w:szCs w:val="24"/>
        </w:rPr>
        <w:t xml:space="preserve"> M, Bolker B, Walker S. Fitting Linear Mixed-Effects Models Using lme4. Journal of Statistical Software. 2015 Oct </w:t>
      </w:r>
      <w:proofErr w:type="gramStart"/>
      <w:r w:rsidRPr="00FC50B8">
        <w:rPr>
          <w:rFonts w:ascii="Courier New" w:hAnsi="Courier New" w:cs="Courier New"/>
          <w:sz w:val="24"/>
          <w:szCs w:val="24"/>
        </w:rPr>
        <w:t>7;67:1</w:t>
      </w:r>
      <w:proofErr w:type="gramEnd"/>
      <w:r w:rsidRPr="00FC50B8">
        <w:rPr>
          <w:rFonts w:ascii="Courier New" w:hAnsi="Courier New" w:cs="Courier New"/>
          <w:sz w:val="24"/>
          <w:szCs w:val="24"/>
        </w:rPr>
        <w:t xml:space="preserve">–48. </w:t>
      </w:r>
    </w:p>
    <w:p w14:paraId="6631604C" w14:textId="5A3796E3"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2</w:t>
      </w:r>
      <w:r w:rsidR="00FD587E">
        <w:rPr>
          <w:rFonts w:ascii="Courier New" w:hAnsi="Courier New" w:cs="Courier New"/>
          <w:sz w:val="24"/>
          <w:szCs w:val="24"/>
        </w:rPr>
        <w:t>8</w:t>
      </w:r>
      <w:r w:rsidRPr="00FC50B8">
        <w:rPr>
          <w:rFonts w:ascii="Courier New" w:hAnsi="Courier New" w:cs="Courier New"/>
          <w:sz w:val="24"/>
          <w:szCs w:val="24"/>
        </w:rPr>
        <w:t>.</w:t>
      </w:r>
      <w:r>
        <w:rPr>
          <w:rFonts w:ascii="Courier New" w:hAnsi="Courier New" w:cs="Courier New"/>
          <w:sz w:val="24"/>
          <w:szCs w:val="24"/>
        </w:rPr>
        <w:t xml:space="preserve"> </w:t>
      </w:r>
      <w:proofErr w:type="spellStart"/>
      <w:r w:rsidRPr="00FC50B8">
        <w:rPr>
          <w:rFonts w:ascii="Courier New" w:hAnsi="Courier New" w:cs="Courier New"/>
          <w:sz w:val="24"/>
          <w:szCs w:val="24"/>
        </w:rPr>
        <w:t>Zeileis</w:t>
      </w:r>
      <w:proofErr w:type="spellEnd"/>
      <w:r w:rsidRPr="00FC50B8">
        <w:rPr>
          <w:rFonts w:ascii="Courier New" w:hAnsi="Courier New" w:cs="Courier New"/>
          <w:sz w:val="24"/>
          <w:szCs w:val="24"/>
        </w:rPr>
        <w:t xml:space="preserve"> A, </w:t>
      </w:r>
      <w:proofErr w:type="spellStart"/>
      <w:r w:rsidRPr="00FC50B8">
        <w:rPr>
          <w:rFonts w:ascii="Courier New" w:hAnsi="Courier New" w:cs="Courier New"/>
          <w:sz w:val="24"/>
          <w:szCs w:val="24"/>
        </w:rPr>
        <w:t>Köll</w:t>
      </w:r>
      <w:proofErr w:type="spellEnd"/>
      <w:r w:rsidRPr="00FC50B8">
        <w:rPr>
          <w:rFonts w:ascii="Courier New" w:hAnsi="Courier New" w:cs="Courier New"/>
          <w:sz w:val="24"/>
          <w:szCs w:val="24"/>
        </w:rPr>
        <w:t xml:space="preserve"> S, Graham N. Various Versatile Variances: An Object-Oriented Implementation of Clustered Covariances in R. Journal of Statistical Software. 2020 Oct </w:t>
      </w:r>
      <w:proofErr w:type="gramStart"/>
      <w:r w:rsidRPr="00FC50B8">
        <w:rPr>
          <w:rFonts w:ascii="Courier New" w:hAnsi="Courier New" w:cs="Courier New"/>
          <w:sz w:val="24"/>
          <w:szCs w:val="24"/>
        </w:rPr>
        <w:t>7;95:1</w:t>
      </w:r>
      <w:proofErr w:type="gramEnd"/>
      <w:r w:rsidRPr="00FC50B8">
        <w:rPr>
          <w:rFonts w:ascii="Courier New" w:hAnsi="Courier New" w:cs="Courier New"/>
          <w:sz w:val="24"/>
          <w:szCs w:val="24"/>
        </w:rPr>
        <w:t xml:space="preserve">–36. </w:t>
      </w:r>
    </w:p>
    <w:p w14:paraId="5F4D978A" w14:textId="68647061"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2</w:t>
      </w:r>
      <w:r>
        <w:rPr>
          <w:rFonts w:ascii="Courier New" w:hAnsi="Courier New" w:cs="Courier New"/>
          <w:sz w:val="24"/>
          <w:szCs w:val="24"/>
        </w:rPr>
        <w:t>9</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Tan ST, Park HJ, Rodríguez-</w:t>
      </w:r>
      <w:proofErr w:type="spellStart"/>
      <w:r w:rsidRPr="00FC50B8">
        <w:rPr>
          <w:rFonts w:ascii="Courier New" w:hAnsi="Courier New" w:cs="Courier New"/>
          <w:sz w:val="24"/>
          <w:szCs w:val="24"/>
        </w:rPr>
        <w:t>Barraquer</w:t>
      </w:r>
      <w:proofErr w:type="spellEnd"/>
      <w:r w:rsidRPr="00FC50B8">
        <w:rPr>
          <w:rFonts w:ascii="Courier New" w:hAnsi="Courier New" w:cs="Courier New"/>
          <w:sz w:val="24"/>
          <w:szCs w:val="24"/>
        </w:rPr>
        <w:t xml:space="preserve"> I, Rutherford GW, Bibbins-Domingo K, Schechter R, et al. COVID-19 Vaccination and Estimated Public Health Impact in California. JAMA network open. 2022;5(4</w:t>
      </w:r>
      <w:proofErr w:type="gramStart"/>
      <w:r w:rsidRPr="00FC50B8">
        <w:rPr>
          <w:rFonts w:ascii="Courier New" w:hAnsi="Courier New" w:cs="Courier New"/>
          <w:sz w:val="24"/>
          <w:szCs w:val="24"/>
        </w:rPr>
        <w:t>):e</w:t>
      </w:r>
      <w:proofErr w:type="gramEnd"/>
      <w:r w:rsidRPr="00FC50B8">
        <w:rPr>
          <w:rFonts w:ascii="Courier New" w:hAnsi="Courier New" w:cs="Courier New"/>
          <w:sz w:val="24"/>
          <w:szCs w:val="24"/>
        </w:rPr>
        <w:t xml:space="preserve">228526–e228526. </w:t>
      </w:r>
    </w:p>
    <w:p w14:paraId="3EBB6F09" w14:textId="19883BBB" w:rsidR="00A05850" w:rsidRPr="00FC50B8" w:rsidRDefault="00A05850" w:rsidP="00A05850">
      <w:pPr>
        <w:spacing w:after="0" w:line="480" w:lineRule="auto"/>
        <w:rPr>
          <w:rFonts w:ascii="Courier New" w:hAnsi="Courier New" w:cs="Courier New"/>
          <w:sz w:val="24"/>
          <w:szCs w:val="24"/>
        </w:rPr>
      </w:pPr>
      <w:r>
        <w:rPr>
          <w:rFonts w:ascii="Courier New" w:hAnsi="Courier New" w:cs="Courier New"/>
          <w:sz w:val="24"/>
          <w:szCs w:val="24"/>
        </w:rPr>
        <w:t>30</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 xml:space="preserve">Sharfstein JM, Callaghan T, </w:t>
      </w:r>
      <w:proofErr w:type="spellStart"/>
      <w:r w:rsidRPr="00FC50B8">
        <w:rPr>
          <w:rFonts w:ascii="Courier New" w:hAnsi="Courier New" w:cs="Courier New"/>
          <w:sz w:val="24"/>
          <w:szCs w:val="24"/>
        </w:rPr>
        <w:t>Carpiano</w:t>
      </w:r>
      <w:proofErr w:type="spellEnd"/>
      <w:r w:rsidRPr="00FC50B8">
        <w:rPr>
          <w:rFonts w:ascii="Courier New" w:hAnsi="Courier New" w:cs="Courier New"/>
          <w:sz w:val="24"/>
          <w:szCs w:val="24"/>
        </w:rPr>
        <w:t xml:space="preserve"> RM, </w:t>
      </w:r>
      <w:proofErr w:type="spellStart"/>
      <w:r w:rsidRPr="00FC50B8">
        <w:rPr>
          <w:rFonts w:ascii="Courier New" w:hAnsi="Courier New" w:cs="Courier New"/>
          <w:sz w:val="24"/>
          <w:szCs w:val="24"/>
        </w:rPr>
        <w:t>Sgaier</w:t>
      </w:r>
      <w:proofErr w:type="spellEnd"/>
      <w:r w:rsidRPr="00FC50B8">
        <w:rPr>
          <w:rFonts w:ascii="Courier New" w:hAnsi="Courier New" w:cs="Courier New"/>
          <w:sz w:val="24"/>
          <w:szCs w:val="24"/>
        </w:rPr>
        <w:t xml:space="preserve"> SK, Brewer NT, Galvani AP, et al. Uncoupling vaccination from politics: a call to action. The Lancet. 2021 Oct 2;398(10307):1211–2. </w:t>
      </w:r>
    </w:p>
    <w:p w14:paraId="379F874F" w14:textId="25C9072A"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3</w:t>
      </w:r>
      <w:r>
        <w:rPr>
          <w:rFonts w:ascii="Courier New" w:hAnsi="Courier New" w:cs="Courier New"/>
          <w:sz w:val="24"/>
          <w:szCs w:val="24"/>
        </w:rPr>
        <w:t>1</w:t>
      </w:r>
      <w:r w:rsidRPr="00FC50B8">
        <w:rPr>
          <w:rFonts w:ascii="Courier New" w:hAnsi="Courier New" w:cs="Courier New"/>
          <w:sz w:val="24"/>
          <w:szCs w:val="24"/>
        </w:rPr>
        <w:t>.</w:t>
      </w:r>
      <w:r>
        <w:rPr>
          <w:rFonts w:ascii="Courier New" w:hAnsi="Courier New" w:cs="Courier New"/>
          <w:sz w:val="24"/>
          <w:szCs w:val="24"/>
        </w:rPr>
        <w:t xml:space="preserve"> </w:t>
      </w:r>
      <w:proofErr w:type="spellStart"/>
      <w:r w:rsidRPr="00FC50B8">
        <w:rPr>
          <w:rFonts w:ascii="Courier New" w:hAnsi="Courier New" w:cs="Courier New"/>
          <w:sz w:val="24"/>
          <w:szCs w:val="24"/>
        </w:rPr>
        <w:t>Lewnard</w:t>
      </w:r>
      <w:proofErr w:type="spellEnd"/>
      <w:r w:rsidRPr="00FC50B8">
        <w:rPr>
          <w:rFonts w:ascii="Courier New" w:hAnsi="Courier New" w:cs="Courier New"/>
          <w:sz w:val="24"/>
          <w:szCs w:val="24"/>
        </w:rPr>
        <w:t xml:space="preserve"> JA, Hong VX, Patel MM, Kahn R, </w:t>
      </w:r>
      <w:proofErr w:type="spellStart"/>
      <w:r w:rsidRPr="00FC50B8">
        <w:rPr>
          <w:rFonts w:ascii="Courier New" w:hAnsi="Courier New" w:cs="Courier New"/>
          <w:sz w:val="24"/>
          <w:szCs w:val="24"/>
        </w:rPr>
        <w:t>Lipsitch</w:t>
      </w:r>
      <w:proofErr w:type="spellEnd"/>
      <w:r w:rsidRPr="00FC50B8">
        <w:rPr>
          <w:rFonts w:ascii="Courier New" w:hAnsi="Courier New" w:cs="Courier New"/>
          <w:sz w:val="24"/>
          <w:szCs w:val="24"/>
        </w:rPr>
        <w:t xml:space="preserve"> M, </w:t>
      </w:r>
      <w:proofErr w:type="spellStart"/>
      <w:r w:rsidRPr="00FC50B8">
        <w:rPr>
          <w:rFonts w:ascii="Courier New" w:hAnsi="Courier New" w:cs="Courier New"/>
          <w:sz w:val="24"/>
          <w:szCs w:val="24"/>
        </w:rPr>
        <w:t>Tartof</w:t>
      </w:r>
      <w:proofErr w:type="spellEnd"/>
      <w:r w:rsidRPr="00FC50B8">
        <w:rPr>
          <w:rFonts w:ascii="Courier New" w:hAnsi="Courier New" w:cs="Courier New"/>
          <w:sz w:val="24"/>
          <w:szCs w:val="24"/>
        </w:rPr>
        <w:t xml:space="preserve"> SY. Clinical outcomes associated with SARS-CoV-2 Omicron </w:t>
      </w:r>
      <w:r w:rsidRPr="00FC50B8">
        <w:rPr>
          <w:rFonts w:ascii="Courier New" w:hAnsi="Courier New" w:cs="Courier New"/>
          <w:sz w:val="24"/>
          <w:szCs w:val="24"/>
        </w:rPr>
        <w:lastRenderedPageBreak/>
        <w:t xml:space="preserve">(B.1.1.529) variant and BA.1/BA.1.1 or BA.2 subvariant infection in Southern California. Nat Med. 2022 Sep;28(9):1933–43. </w:t>
      </w:r>
    </w:p>
    <w:p w14:paraId="7E16AFC5" w14:textId="7EA6C744"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3</w:t>
      </w:r>
      <w:r>
        <w:rPr>
          <w:rFonts w:ascii="Courier New" w:hAnsi="Courier New" w:cs="Courier New"/>
          <w:sz w:val="24"/>
          <w:szCs w:val="24"/>
        </w:rPr>
        <w:t>2</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 xml:space="preserve">Beigel JH, Tomashek KM, Dodd LE, Mehta AK, Zingman BS, Kalil AC, et al. Remdesivir for the Treatment of Covid-19 — Final Report. N Engl J Med. 2020 Nov 5;383(19):1813–26. </w:t>
      </w:r>
    </w:p>
    <w:p w14:paraId="4762231C" w14:textId="3D54E499"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3</w:t>
      </w:r>
      <w:r>
        <w:rPr>
          <w:rFonts w:ascii="Courier New" w:hAnsi="Courier New" w:cs="Courier New"/>
          <w:sz w:val="24"/>
          <w:szCs w:val="24"/>
        </w:rPr>
        <w:t>3</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 xml:space="preserve">Marovich M, Mascola JR, Cohen MS. Monoclonal Antibodies for Prevention and Treatment of COVID-19. JAMA. 2020 Jul 14;324(2):131–2. </w:t>
      </w:r>
    </w:p>
    <w:p w14:paraId="1AE9BD78" w14:textId="67911380"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3</w:t>
      </w:r>
      <w:r>
        <w:rPr>
          <w:rFonts w:ascii="Courier New" w:hAnsi="Courier New" w:cs="Courier New"/>
          <w:sz w:val="24"/>
          <w:szCs w:val="24"/>
        </w:rPr>
        <w:t>4</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 xml:space="preserve">Shi X, Li KQ, Mukherjee B. Current Challenges </w:t>
      </w:r>
      <w:proofErr w:type="gramStart"/>
      <w:r w:rsidRPr="00FC50B8">
        <w:rPr>
          <w:rFonts w:ascii="Courier New" w:hAnsi="Courier New" w:cs="Courier New"/>
          <w:sz w:val="24"/>
          <w:szCs w:val="24"/>
        </w:rPr>
        <w:t>With</w:t>
      </w:r>
      <w:proofErr w:type="gramEnd"/>
      <w:r w:rsidRPr="00FC50B8">
        <w:rPr>
          <w:rFonts w:ascii="Courier New" w:hAnsi="Courier New" w:cs="Courier New"/>
          <w:sz w:val="24"/>
          <w:szCs w:val="24"/>
        </w:rPr>
        <w:t xml:space="preserve"> the Use of Test-Negative Designs for Modeling COVID-19 Vaccination and Outcomes. American Journal of Epidemiology. 2023 Feb 24;192(3):328–33. </w:t>
      </w:r>
    </w:p>
    <w:p w14:paraId="14166556" w14:textId="0E2F9E86"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3</w:t>
      </w:r>
      <w:r>
        <w:rPr>
          <w:rFonts w:ascii="Courier New" w:hAnsi="Courier New" w:cs="Courier New"/>
          <w:sz w:val="24"/>
          <w:szCs w:val="24"/>
        </w:rPr>
        <w:t>5</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 xml:space="preserve">Pressman AR, Lockhart SH, Shen Z, Azar KMJ. Measuring and Promoting SARS-CoV-2 Vaccine Equity: Development of a COVID-19 Vaccine Equity Index. Health Equity. 2021 Jul 13;5(1):476–83. </w:t>
      </w:r>
    </w:p>
    <w:p w14:paraId="3A3A4552" w14:textId="2F1F2099"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3</w:t>
      </w:r>
      <w:r>
        <w:rPr>
          <w:rFonts w:ascii="Courier New" w:hAnsi="Courier New" w:cs="Courier New"/>
          <w:sz w:val="24"/>
          <w:szCs w:val="24"/>
        </w:rPr>
        <w:t>6</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CDC/ATSDR Social Vulnerability Index (SVI) [Internet]. 2023 [cited 2023 Nov 27]. Available from: https://www.atsdr.cdc.gov/placeandhealth/svi/index.html</w:t>
      </w:r>
    </w:p>
    <w:p w14:paraId="688233A7" w14:textId="096C4204"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3</w:t>
      </w:r>
      <w:r>
        <w:rPr>
          <w:rFonts w:ascii="Courier New" w:hAnsi="Courier New" w:cs="Courier New"/>
          <w:sz w:val="24"/>
          <w:szCs w:val="24"/>
        </w:rPr>
        <w:t>7</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 xml:space="preserve">Kind AJH, Buckingham WR. Making Neighborhood-Disadvantage Metrics Accessible — The Neighborhood Atlas. N Engl J Med. 2018 Jun 28;378(26):2456–8. </w:t>
      </w:r>
    </w:p>
    <w:p w14:paraId="660477D7" w14:textId="2F502CC3" w:rsidR="00A05850" w:rsidRPr="00FC50B8" w:rsidRDefault="00A05850" w:rsidP="00A05850">
      <w:pPr>
        <w:spacing w:after="0" w:line="480" w:lineRule="auto"/>
        <w:rPr>
          <w:rFonts w:ascii="Courier New" w:hAnsi="Courier New" w:cs="Courier New"/>
          <w:sz w:val="24"/>
          <w:szCs w:val="24"/>
        </w:rPr>
      </w:pPr>
      <w:r w:rsidRPr="00FC50B8">
        <w:rPr>
          <w:rFonts w:ascii="Courier New" w:hAnsi="Courier New" w:cs="Courier New"/>
          <w:sz w:val="24"/>
          <w:szCs w:val="24"/>
        </w:rPr>
        <w:t>3</w:t>
      </w:r>
      <w:r>
        <w:rPr>
          <w:rFonts w:ascii="Courier New" w:hAnsi="Courier New" w:cs="Courier New"/>
          <w:sz w:val="24"/>
          <w:szCs w:val="24"/>
        </w:rPr>
        <w:t>8</w:t>
      </w:r>
      <w:r w:rsidRPr="00FC50B8">
        <w:rPr>
          <w:rFonts w:ascii="Courier New" w:hAnsi="Courier New" w:cs="Courier New"/>
          <w:sz w:val="24"/>
          <w:szCs w:val="24"/>
        </w:rPr>
        <w:t>.</w:t>
      </w:r>
      <w:r>
        <w:rPr>
          <w:rFonts w:ascii="Courier New" w:hAnsi="Courier New" w:cs="Courier New"/>
          <w:sz w:val="24"/>
          <w:szCs w:val="24"/>
        </w:rPr>
        <w:t xml:space="preserve"> </w:t>
      </w:r>
      <w:r w:rsidRPr="00FC50B8">
        <w:rPr>
          <w:rFonts w:ascii="Courier New" w:hAnsi="Courier New" w:cs="Courier New"/>
          <w:sz w:val="24"/>
          <w:szCs w:val="24"/>
        </w:rPr>
        <w:t xml:space="preserve">Lavery JV, Porter RM, </w:t>
      </w:r>
      <w:proofErr w:type="spellStart"/>
      <w:r w:rsidRPr="00FC50B8">
        <w:rPr>
          <w:rFonts w:ascii="Courier New" w:hAnsi="Courier New" w:cs="Courier New"/>
          <w:sz w:val="24"/>
          <w:szCs w:val="24"/>
        </w:rPr>
        <w:t>Addiss</w:t>
      </w:r>
      <w:proofErr w:type="spellEnd"/>
      <w:r w:rsidRPr="00FC50B8">
        <w:rPr>
          <w:rFonts w:ascii="Courier New" w:hAnsi="Courier New" w:cs="Courier New"/>
          <w:sz w:val="24"/>
          <w:szCs w:val="24"/>
        </w:rPr>
        <w:t xml:space="preserve"> DG. Cascading failures in COVID-19 vaccine equity. Science. 2023 May 5;380(6644):460–2. </w:t>
      </w:r>
    </w:p>
    <w:p w14:paraId="288017CD" w14:textId="77777777" w:rsidR="001E297B" w:rsidRDefault="001E297B" w:rsidP="00FC50B8">
      <w:pPr>
        <w:spacing w:after="0" w:line="480" w:lineRule="auto"/>
        <w:rPr>
          <w:rFonts w:ascii="Courier New" w:hAnsi="Courier New" w:cs="Courier New"/>
          <w:sz w:val="24"/>
          <w:szCs w:val="24"/>
        </w:rPr>
      </w:pPr>
    </w:p>
    <w:p w14:paraId="54C15F7B" w14:textId="77777777" w:rsidR="00A05850" w:rsidRDefault="00A05850" w:rsidP="00FC50B8">
      <w:pPr>
        <w:spacing w:after="0" w:line="480" w:lineRule="auto"/>
        <w:rPr>
          <w:rFonts w:ascii="Courier New" w:hAnsi="Courier New" w:cs="Courier New"/>
          <w:sz w:val="24"/>
          <w:szCs w:val="24"/>
        </w:rPr>
      </w:pPr>
    </w:p>
    <w:p w14:paraId="58B5F050" w14:textId="77777777" w:rsidR="00214DB8" w:rsidRDefault="00214DB8">
      <w:pPr>
        <w:rPr>
          <w:rFonts w:ascii="Courier New" w:hAnsi="Courier New" w:cs="Courier New"/>
          <w:b/>
          <w:bCs/>
          <w:sz w:val="24"/>
          <w:szCs w:val="24"/>
        </w:rPr>
      </w:pPr>
      <w:r>
        <w:rPr>
          <w:rFonts w:ascii="Courier New" w:hAnsi="Courier New" w:cs="Courier New"/>
          <w:b/>
          <w:bCs/>
          <w:sz w:val="24"/>
          <w:szCs w:val="24"/>
        </w:rPr>
        <w:br w:type="page"/>
      </w:r>
    </w:p>
    <w:p w14:paraId="7142D52A" w14:textId="70279588" w:rsidR="00FC50B8" w:rsidRPr="001E297B" w:rsidRDefault="001E297B" w:rsidP="00FC50B8">
      <w:pPr>
        <w:spacing w:after="0" w:line="480" w:lineRule="auto"/>
        <w:rPr>
          <w:rFonts w:ascii="Courier New" w:hAnsi="Courier New" w:cs="Courier New"/>
          <w:b/>
          <w:bCs/>
          <w:sz w:val="24"/>
          <w:szCs w:val="24"/>
        </w:rPr>
      </w:pPr>
      <w:commentRangeStart w:id="11"/>
      <w:commentRangeStart w:id="12"/>
      <w:r w:rsidRPr="001E297B">
        <w:rPr>
          <w:rFonts w:ascii="Courier New" w:hAnsi="Courier New" w:cs="Courier New"/>
          <w:b/>
          <w:bCs/>
          <w:sz w:val="24"/>
          <w:szCs w:val="24"/>
        </w:rPr>
        <w:lastRenderedPageBreak/>
        <w:t>EXHIBIT</w:t>
      </w:r>
      <w:r w:rsidRPr="001E297B">
        <w:rPr>
          <w:rFonts w:ascii="Courier New" w:hAnsi="Courier New" w:cs="Courier New"/>
          <w:b/>
          <w:bCs/>
          <w:sz w:val="24"/>
          <w:szCs w:val="24"/>
        </w:rPr>
        <w:t xml:space="preserve"> LIST</w:t>
      </w:r>
      <w:commentRangeEnd w:id="11"/>
      <w:r w:rsidR="00DC6840">
        <w:rPr>
          <w:rStyle w:val="CommentReference"/>
        </w:rPr>
        <w:commentReference w:id="11"/>
      </w:r>
      <w:commentRangeEnd w:id="12"/>
      <w:r w:rsidR="007B3522">
        <w:rPr>
          <w:rStyle w:val="CommentReference"/>
        </w:rPr>
        <w:commentReference w:id="12"/>
      </w:r>
    </w:p>
    <w:p w14:paraId="07C1E0CE" w14:textId="77777777" w:rsidR="00573429" w:rsidRDefault="00573429" w:rsidP="00FC50B8">
      <w:pPr>
        <w:spacing w:after="0" w:line="480" w:lineRule="auto"/>
        <w:rPr>
          <w:rFonts w:ascii="Courier New" w:hAnsi="Courier New" w:cs="Courier New"/>
          <w:b/>
          <w:bCs/>
          <w:sz w:val="24"/>
          <w:szCs w:val="24"/>
        </w:rPr>
      </w:pPr>
    </w:p>
    <w:p w14:paraId="4FF4453B" w14:textId="53A1F85D" w:rsidR="00DB421E" w:rsidRPr="00573429" w:rsidRDefault="00FC50B8" w:rsidP="00FC50B8">
      <w:pPr>
        <w:spacing w:after="0" w:line="480" w:lineRule="auto"/>
        <w:rPr>
          <w:rFonts w:ascii="Courier New" w:hAnsi="Courier New" w:cs="Courier New"/>
          <w:b/>
          <w:bCs/>
          <w:sz w:val="24"/>
          <w:szCs w:val="24"/>
        </w:rPr>
      </w:pPr>
      <w:r w:rsidRPr="00573429">
        <w:rPr>
          <w:rFonts w:ascii="Courier New" w:hAnsi="Courier New" w:cs="Courier New"/>
          <w:b/>
          <w:bCs/>
          <w:sz w:val="24"/>
          <w:szCs w:val="24"/>
        </w:rPr>
        <w:t>EXHIBIT 1</w:t>
      </w:r>
      <w:r w:rsidR="00DB421E" w:rsidRPr="00573429">
        <w:rPr>
          <w:rFonts w:ascii="Courier New" w:hAnsi="Courier New" w:cs="Courier New"/>
          <w:b/>
          <w:bCs/>
          <w:sz w:val="24"/>
          <w:szCs w:val="24"/>
        </w:rPr>
        <w:t xml:space="preserve"> (table)</w:t>
      </w:r>
    </w:p>
    <w:p w14:paraId="5E94A120" w14:textId="0CD00D13" w:rsidR="00DB421E" w:rsidRDefault="00DB421E" w:rsidP="00FC50B8">
      <w:pPr>
        <w:spacing w:after="0" w:line="480" w:lineRule="auto"/>
        <w:rPr>
          <w:rFonts w:ascii="Courier New" w:hAnsi="Courier New" w:cs="Courier New"/>
          <w:sz w:val="24"/>
          <w:szCs w:val="24"/>
        </w:rPr>
      </w:pPr>
      <w:r>
        <w:rPr>
          <w:rFonts w:ascii="Courier New" w:hAnsi="Courier New" w:cs="Courier New"/>
          <w:sz w:val="24"/>
          <w:szCs w:val="24"/>
        </w:rPr>
        <w:t>CAPTION:</w:t>
      </w:r>
      <w:r w:rsidR="00EF1C82">
        <w:rPr>
          <w:rFonts w:ascii="Courier New" w:hAnsi="Courier New" w:cs="Courier New"/>
          <w:sz w:val="24"/>
          <w:szCs w:val="24"/>
        </w:rPr>
        <w:t xml:space="preserve"> COVID-19 v</w:t>
      </w:r>
      <w:r w:rsidR="00EF1C82" w:rsidRPr="00FC50B8">
        <w:rPr>
          <w:rFonts w:ascii="Courier New" w:hAnsi="Courier New" w:cs="Courier New"/>
          <w:sz w:val="24"/>
          <w:szCs w:val="24"/>
        </w:rPr>
        <w:t>accinations administered</w:t>
      </w:r>
      <w:r w:rsidR="00EF1C82">
        <w:rPr>
          <w:rFonts w:ascii="Courier New" w:hAnsi="Courier New" w:cs="Courier New"/>
          <w:sz w:val="24"/>
          <w:szCs w:val="24"/>
        </w:rPr>
        <w:t xml:space="preserve"> in California</w:t>
      </w:r>
      <w:r w:rsidR="00EF1C82" w:rsidRPr="00FC50B8">
        <w:rPr>
          <w:rFonts w:ascii="Courier New" w:hAnsi="Courier New" w:cs="Courier New"/>
          <w:sz w:val="24"/>
          <w:szCs w:val="24"/>
        </w:rPr>
        <w:t xml:space="preserve"> by Vaccine Equity Metric (VEM) quartile in the four-week periods before and after the policy was implemented on March 1, 2021</w:t>
      </w:r>
    </w:p>
    <w:p w14:paraId="3C5D8F65" w14:textId="089706A0" w:rsidR="00DB421E" w:rsidRDefault="00DB421E" w:rsidP="00FC50B8">
      <w:pPr>
        <w:spacing w:after="0" w:line="480" w:lineRule="auto"/>
        <w:rPr>
          <w:rFonts w:ascii="Courier New" w:hAnsi="Courier New" w:cs="Courier New"/>
          <w:sz w:val="24"/>
          <w:szCs w:val="24"/>
        </w:rPr>
      </w:pPr>
      <w:r>
        <w:rPr>
          <w:rFonts w:ascii="Courier New" w:hAnsi="Courier New" w:cs="Courier New"/>
          <w:sz w:val="24"/>
          <w:szCs w:val="24"/>
        </w:rPr>
        <w:t xml:space="preserve">SOURCE: </w:t>
      </w:r>
      <w:r w:rsidRPr="00FC50B8">
        <w:rPr>
          <w:rFonts w:ascii="Courier New" w:hAnsi="Courier New" w:cs="Courier New"/>
          <w:sz w:val="24"/>
          <w:szCs w:val="24"/>
        </w:rPr>
        <w:t>Authors</w:t>
      </w:r>
      <w:r>
        <w:rPr>
          <w:rFonts w:ascii="Courier New" w:hAnsi="Courier New" w:cs="Courier New"/>
          <w:sz w:val="24"/>
          <w:szCs w:val="24"/>
        </w:rPr>
        <w:t>’</w:t>
      </w:r>
      <w:r w:rsidRPr="00FC50B8">
        <w:rPr>
          <w:rFonts w:ascii="Courier New" w:hAnsi="Courier New" w:cs="Courier New"/>
          <w:sz w:val="24"/>
          <w:szCs w:val="24"/>
        </w:rPr>
        <w:t xml:space="preserve"> analysis of Feb</w:t>
      </w:r>
      <w:r>
        <w:rPr>
          <w:rFonts w:ascii="Courier New" w:hAnsi="Courier New" w:cs="Courier New"/>
          <w:sz w:val="24"/>
          <w:szCs w:val="24"/>
        </w:rPr>
        <w:t>ruary</w:t>
      </w:r>
      <w:r w:rsidRPr="00FC50B8">
        <w:rPr>
          <w:rFonts w:ascii="Courier New" w:hAnsi="Courier New" w:cs="Courier New"/>
          <w:sz w:val="24"/>
          <w:szCs w:val="24"/>
        </w:rPr>
        <w:t xml:space="preserve"> 1, 2021 – March 29, </w:t>
      </w:r>
      <w:proofErr w:type="gramStart"/>
      <w:r w:rsidRPr="00FC50B8">
        <w:rPr>
          <w:rFonts w:ascii="Courier New" w:hAnsi="Courier New" w:cs="Courier New"/>
          <w:sz w:val="24"/>
          <w:szCs w:val="24"/>
        </w:rPr>
        <w:t>2021</w:t>
      </w:r>
      <w:proofErr w:type="gramEnd"/>
      <w:r w:rsidRPr="00FC50B8">
        <w:rPr>
          <w:rFonts w:ascii="Courier New" w:hAnsi="Courier New" w:cs="Courier New"/>
          <w:sz w:val="24"/>
          <w:szCs w:val="24"/>
        </w:rPr>
        <w:t xml:space="preserve"> </w:t>
      </w:r>
      <w:commentRangeStart w:id="13"/>
      <w:r w:rsidRPr="00FC50B8">
        <w:rPr>
          <w:rFonts w:ascii="Courier New" w:hAnsi="Courier New" w:cs="Courier New"/>
          <w:sz w:val="24"/>
          <w:szCs w:val="24"/>
        </w:rPr>
        <w:t>vaccination data</w:t>
      </w:r>
      <w:commentRangeEnd w:id="13"/>
      <w:r>
        <w:rPr>
          <w:rStyle w:val="CommentReference"/>
        </w:rPr>
        <w:commentReference w:id="13"/>
      </w:r>
      <w:r w:rsidR="00B63748">
        <w:rPr>
          <w:rFonts w:ascii="Courier New" w:hAnsi="Courier New" w:cs="Courier New"/>
          <w:sz w:val="24"/>
          <w:szCs w:val="24"/>
        </w:rPr>
        <w:t xml:space="preserve"> from the California Immunization Registry</w:t>
      </w:r>
    </w:p>
    <w:p w14:paraId="7D61C398" w14:textId="456193B6" w:rsidR="00FC50B8" w:rsidRPr="00FC50B8" w:rsidRDefault="00DB421E" w:rsidP="00FC50B8">
      <w:pPr>
        <w:spacing w:after="0" w:line="480" w:lineRule="auto"/>
        <w:rPr>
          <w:rFonts w:ascii="Courier New" w:hAnsi="Courier New" w:cs="Courier New"/>
          <w:sz w:val="24"/>
          <w:szCs w:val="24"/>
        </w:rPr>
      </w:pPr>
      <w:r>
        <w:rPr>
          <w:rFonts w:ascii="Courier New" w:hAnsi="Courier New" w:cs="Courier New"/>
          <w:sz w:val="24"/>
          <w:szCs w:val="24"/>
        </w:rPr>
        <w:t>NOTES:</w:t>
      </w:r>
      <w:r w:rsidR="00EF1C82">
        <w:rPr>
          <w:rFonts w:ascii="Courier New" w:hAnsi="Courier New" w:cs="Courier New"/>
          <w:sz w:val="24"/>
          <w:szCs w:val="24"/>
        </w:rPr>
        <w:t xml:space="preserve"> This exhibit demonstrates that v</w:t>
      </w:r>
      <w:r w:rsidR="00FC50B8" w:rsidRPr="00FC50B8">
        <w:rPr>
          <w:rFonts w:ascii="Courier New" w:hAnsi="Courier New" w:cs="Courier New"/>
          <w:sz w:val="24"/>
          <w:szCs w:val="24"/>
        </w:rPr>
        <w:t>accination rates increased more in prioritized VEM Q1 communities after the polic</w:t>
      </w:r>
      <w:r w:rsidR="00EF1C82">
        <w:rPr>
          <w:rFonts w:ascii="Courier New" w:hAnsi="Courier New" w:cs="Courier New"/>
          <w:sz w:val="24"/>
          <w:szCs w:val="24"/>
        </w:rPr>
        <w:t xml:space="preserve">y. </w:t>
      </w:r>
      <w:r w:rsidR="00FC50B8" w:rsidRPr="00FC50B8">
        <w:rPr>
          <w:rFonts w:ascii="Courier New" w:hAnsi="Courier New" w:cs="Courier New"/>
          <w:sz w:val="24"/>
          <w:szCs w:val="24"/>
        </w:rPr>
        <w:t>Absolute numbers are shown along with rates per 100,000 residents in parentheses.</w:t>
      </w:r>
    </w:p>
    <w:p w14:paraId="275806CC" w14:textId="77777777" w:rsidR="00DB421E" w:rsidRDefault="00DB421E" w:rsidP="00FC50B8">
      <w:pPr>
        <w:spacing w:after="0" w:line="480" w:lineRule="auto"/>
        <w:rPr>
          <w:rFonts w:ascii="Courier New" w:hAnsi="Courier New" w:cs="Courier New"/>
          <w:sz w:val="24"/>
          <w:szCs w:val="24"/>
        </w:rPr>
      </w:pPr>
    </w:p>
    <w:p w14:paraId="28251EBF" w14:textId="7F824F21" w:rsidR="00DB421E" w:rsidRPr="00573429" w:rsidRDefault="00FC50B8" w:rsidP="00FC50B8">
      <w:pPr>
        <w:spacing w:after="0" w:line="480" w:lineRule="auto"/>
        <w:rPr>
          <w:rFonts w:ascii="Courier New" w:hAnsi="Courier New" w:cs="Courier New"/>
          <w:b/>
          <w:bCs/>
          <w:sz w:val="24"/>
          <w:szCs w:val="24"/>
        </w:rPr>
      </w:pPr>
      <w:commentRangeStart w:id="14"/>
      <w:r w:rsidRPr="00573429">
        <w:rPr>
          <w:rFonts w:ascii="Courier New" w:hAnsi="Courier New" w:cs="Courier New"/>
          <w:b/>
          <w:bCs/>
          <w:sz w:val="24"/>
          <w:szCs w:val="24"/>
        </w:rPr>
        <w:t>EXHIBIT 2</w:t>
      </w:r>
      <w:commentRangeEnd w:id="14"/>
      <w:r w:rsidR="00DC6840">
        <w:rPr>
          <w:rStyle w:val="CommentReference"/>
        </w:rPr>
        <w:commentReference w:id="14"/>
      </w:r>
      <w:r w:rsidR="00DB421E" w:rsidRPr="00573429">
        <w:rPr>
          <w:rFonts w:ascii="Courier New" w:hAnsi="Courier New" w:cs="Courier New"/>
          <w:b/>
          <w:bCs/>
          <w:sz w:val="24"/>
          <w:szCs w:val="24"/>
        </w:rPr>
        <w:t xml:space="preserve"> (figure)</w:t>
      </w:r>
    </w:p>
    <w:p w14:paraId="12254D85" w14:textId="6ADAEF73" w:rsidR="00DB421E" w:rsidRDefault="00DB421E" w:rsidP="00FC50B8">
      <w:pPr>
        <w:spacing w:after="0" w:line="480" w:lineRule="auto"/>
        <w:rPr>
          <w:rFonts w:ascii="Courier New" w:hAnsi="Courier New" w:cs="Courier New"/>
          <w:sz w:val="24"/>
          <w:szCs w:val="24"/>
        </w:rPr>
      </w:pPr>
      <w:r>
        <w:rPr>
          <w:rFonts w:ascii="Courier New" w:hAnsi="Courier New" w:cs="Courier New"/>
          <w:sz w:val="24"/>
          <w:szCs w:val="24"/>
        </w:rPr>
        <w:t>CAPTION:</w:t>
      </w:r>
      <w:r w:rsidR="00EF1C82">
        <w:rPr>
          <w:rFonts w:ascii="Courier New" w:hAnsi="Courier New" w:cs="Courier New"/>
          <w:sz w:val="24"/>
          <w:szCs w:val="24"/>
        </w:rPr>
        <w:t xml:space="preserve"> </w:t>
      </w:r>
      <w:r w:rsidR="00EF1C82" w:rsidRPr="00FC50B8">
        <w:rPr>
          <w:rFonts w:ascii="Courier New" w:hAnsi="Courier New" w:cs="Courier New"/>
          <w:sz w:val="24"/>
          <w:szCs w:val="24"/>
        </w:rPr>
        <w:t>Time series of weekly</w:t>
      </w:r>
      <w:r w:rsidR="00EF1C82">
        <w:rPr>
          <w:rFonts w:ascii="Courier New" w:hAnsi="Courier New" w:cs="Courier New"/>
          <w:sz w:val="24"/>
          <w:szCs w:val="24"/>
        </w:rPr>
        <w:t xml:space="preserve"> COVID-19</w:t>
      </w:r>
      <w:r w:rsidR="00EF1C82" w:rsidRPr="00FC50B8">
        <w:rPr>
          <w:rFonts w:ascii="Courier New" w:hAnsi="Courier New" w:cs="Courier New"/>
          <w:sz w:val="24"/>
          <w:szCs w:val="24"/>
        </w:rPr>
        <w:t xml:space="preserve"> cases</w:t>
      </w:r>
      <w:r w:rsidR="00EF1C82">
        <w:rPr>
          <w:rFonts w:ascii="Courier New" w:hAnsi="Courier New" w:cs="Courier New"/>
          <w:sz w:val="24"/>
          <w:szCs w:val="24"/>
        </w:rPr>
        <w:t>,</w:t>
      </w:r>
      <w:r w:rsidR="00EF1C82" w:rsidRPr="00FC50B8">
        <w:rPr>
          <w:rFonts w:ascii="Courier New" w:hAnsi="Courier New" w:cs="Courier New"/>
          <w:sz w:val="24"/>
          <w:szCs w:val="24"/>
        </w:rPr>
        <w:t xml:space="preserve"> stratified by Vaccine Equity Metric (VEM) quartile in California from March 1, 2021 – November 1, 2021</w:t>
      </w:r>
    </w:p>
    <w:p w14:paraId="4E40E3FF" w14:textId="62E45DA7" w:rsidR="00DB421E" w:rsidRDefault="00DB421E" w:rsidP="00FC50B8">
      <w:pPr>
        <w:spacing w:after="0" w:line="480" w:lineRule="auto"/>
        <w:rPr>
          <w:rFonts w:ascii="Courier New" w:hAnsi="Courier New" w:cs="Courier New"/>
          <w:sz w:val="24"/>
          <w:szCs w:val="24"/>
        </w:rPr>
      </w:pPr>
      <w:r>
        <w:rPr>
          <w:rFonts w:ascii="Courier New" w:hAnsi="Courier New" w:cs="Courier New"/>
          <w:sz w:val="24"/>
          <w:szCs w:val="24"/>
        </w:rPr>
        <w:t>SOURCE:</w:t>
      </w:r>
      <w:r w:rsidR="00EF1C82">
        <w:rPr>
          <w:rFonts w:ascii="Courier New" w:hAnsi="Courier New" w:cs="Courier New"/>
          <w:sz w:val="24"/>
          <w:szCs w:val="24"/>
        </w:rPr>
        <w:t xml:space="preserve"> </w:t>
      </w:r>
      <w:r w:rsidR="00EF1C82" w:rsidRPr="00FC50B8">
        <w:rPr>
          <w:rFonts w:ascii="Courier New" w:hAnsi="Courier New" w:cs="Courier New"/>
          <w:sz w:val="24"/>
          <w:szCs w:val="24"/>
        </w:rPr>
        <w:t>Authors</w:t>
      </w:r>
      <w:r w:rsidR="00EF1C82">
        <w:rPr>
          <w:rFonts w:ascii="Courier New" w:hAnsi="Courier New" w:cs="Courier New"/>
          <w:sz w:val="24"/>
          <w:szCs w:val="24"/>
        </w:rPr>
        <w:t>’</w:t>
      </w:r>
      <w:r w:rsidR="00EF1C82" w:rsidRPr="00FC50B8">
        <w:rPr>
          <w:rFonts w:ascii="Courier New" w:hAnsi="Courier New" w:cs="Courier New"/>
          <w:sz w:val="24"/>
          <w:szCs w:val="24"/>
        </w:rPr>
        <w:t xml:space="preserve"> analysis of COVID-19 </w:t>
      </w:r>
      <w:commentRangeStart w:id="15"/>
      <w:r w:rsidR="00EF1C82" w:rsidRPr="00FC50B8">
        <w:rPr>
          <w:rFonts w:ascii="Courier New" w:hAnsi="Courier New" w:cs="Courier New"/>
          <w:sz w:val="24"/>
          <w:szCs w:val="24"/>
        </w:rPr>
        <w:t>case data collected</w:t>
      </w:r>
      <w:commentRangeEnd w:id="15"/>
      <w:r w:rsidR="00EF1C82">
        <w:rPr>
          <w:rStyle w:val="CommentReference"/>
        </w:rPr>
        <w:commentReference w:id="15"/>
      </w:r>
      <w:r w:rsidR="00B63748">
        <w:rPr>
          <w:rFonts w:ascii="Courier New" w:hAnsi="Courier New" w:cs="Courier New"/>
          <w:sz w:val="24"/>
          <w:szCs w:val="24"/>
        </w:rPr>
        <w:t xml:space="preserve"> from routine public health surveillance by CDPH</w:t>
      </w:r>
      <w:r w:rsidR="00EF1C82" w:rsidRPr="00FC50B8">
        <w:rPr>
          <w:rFonts w:ascii="Courier New" w:hAnsi="Courier New" w:cs="Courier New"/>
          <w:sz w:val="24"/>
          <w:szCs w:val="24"/>
        </w:rPr>
        <w:t xml:space="preserve"> from December 2020 – November 2021</w:t>
      </w:r>
    </w:p>
    <w:p w14:paraId="0ADB7750" w14:textId="21792563" w:rsidR="00FC50B8" w:rsidRPr="00FC50B8" w:rsidRDefault="00DB421E" w:rsidP="00FC50B8">
      <w:pPr>
        <w:spacing w:after="0" w:line="480" w:lineRule="auto"/>
        <w:rPr>
          <w:rFonts w:ascii="Courier New" w:hAnsi="Courier New" w:cs="Courier New"/>
          <w:sz w:val="24"/>
          <w:szCs w:val="24"/>
        </w:rPr>
      </w:pPr>
      <w:r>
        <w:rPr>
          <w:rFonts w:ascii="Courier New" w:hAnsi="Courier New" w:cs="Courier New"/>
          <w:sz w:val="24"/>
          <w:szCs w:val="24"/>
        </w:rPr>
        <w:t>NOTES:</w:t>
      </w:r>
      <w:r w:rsidR="00EF1C82">
        <w:rPr>
          <w:rFonts w:ascii="Courier New" w:hAnsi="Courier New" w:cs="Courier New"/>
          <w:sz w:val="24"/>
          <w:szCs w:val="24"/>
        </w:rPr>
        <w:t xml:space="preserve"> This exhibit depicts </w:t>
      </w:r>
      <w:r w:rsidR="00FC50B8" w:rsidRPr="00FC50B8">
        <w:rPr>
          <w:rFonts w:ascii="Courier New" w:hAnsi="Courier New" w:cs="Courier New"/>
          <w:sz w:val="24"/>
          <w:szCs w:val="24"/>
        </w:rPr>
        <w:t>COVID-19 cases averted after policy implementation</w:t>
      </w:r>
      <w:r w:rsidR="00EF1C82">
        <w:rPr>
          <w:rFonts w:ascii="Courier New" w:hAnsi="Courier New" w:cs="Courier New"/>
          <w:sz w:val="24"/>
          <w:szCs w:val="24"/>
        </w:rPr>
        <w:t xml:space="preserve">. </w:t>
      </w:r>
      <w:r w:rsidR="00FC50B8" w:rsidRPr="00FC50B8">
        <w:rPr>
          <w:rFonts w:ascii="Courier New" w:hAnsi="Courier New" w:cs="Courier New"/>
          <w:sz w:val="24"/>
          <w:szCs w:val="24"/>
        </w:rPr>
        <w:t>Cases remained at relatively low levels around the time the policy was implemented on March 1, 2021</w:t>
      </w:r>
      <w:r w:rsidR="00EF1C82">
        <w:rPr>
          <w:rFonts w:ascii="Courier New" w:hAnsi="Courier New" w:cs="Courier New"/>
          <w:sz w:val="24"/>
          <w:szCs w:val="24"/>
        </w:rPr>
        <w:t>,</w:t>
      </w:r>
      <w:r w:rsidR="00FC50B8" w:rsidRPr="00FC50B8">
        <w:rPr>
          <w:rFonts w:ascii="Courier New" w:hAnsi="Courier New" w:cs="Courier New"/>
          <w:sz w:val="24"/>
          <w:szCs w:val="24"/>
        </w:rPr>
        <w:t xml:space="preserve"> until the delta variant caused increased activity beginning in July 2021.</w:t>
      </w:r>
      <w:r w:rsidR="00EF1C82">
        <w:rPr>
          <w:rFonts w:ascii="Courier New" w:hAnsi="Courier New" w:cs="Courier New"/>
          <w:sz w:val="24"/>
          <w:szCs w:val="24"/>
        </w:rPr>
        <w:t xml:space="preserve"> </w:t>
      </w:r>
      <w:r w:rsidR="00FC50B8" w:rsidRPr="00FC50B8">
        <w:rPr>
          <w:rFonts w:ascii="Courier New" w:hAnsi="Courier New" w:cs="Courier New"/>
          <w:sz w:val="24"/>
          <w:szCs w:val="24"/>
        </w:rPr>
        <w:lastRenderedPageBreak/>
        <w:t xml:space="preserve">Hatched blue areas indicate cases that were averted in VEM Q1 as estimated in the counterfactual analyses. Significant estimates of cases averted were reached soon after the policy was implemented, though </w:t>
      </w:r>
      <w:proofErr w:type="gramStart"/>
      <w:r w:rsidR="00FC50B8" w:rsidRPr="00FC50B8">
        <w:rPr>
          <w:rFonts w:ascii="Courier New" w:hAnsi="Courier New" w:cs="Courier New"/>
          <w:sz w:val="24"/>
          <w:szCs w:val="24"/>
        </w:rPr>
        <w:t>the majority of</w:t>
      </w:r>
      <w:proofErr w:type="gramEnd"/>
      <w:r w:rsidR="00FC50B8" w:rsidRPr="00FC50B8">
        <w:rPr>
          <w:rFonts w:ascii="Courier New" w:hAnsi="Courier New" w:cs="Courier New"/>
          <w:sz w:val="24"/>
          <w:szCs w:val="24"/>
        </w:rPr>
        <w:t xml:space="preserve"> outcomes averted came during the delta wave when COVID-19 activity was significantly higher.</w:t>
      </w:r>
    </w:p>
    <w:p w14:paraId="22AC102F" w14:textId="3531906D" w:rsidR="00DB421E" w:rsidRDefault="00DB421E" w:rsidP="00FC50B8">
      <w:pPr>
        <w:spacing w:after="0" w:line="480" w:lineRule="auto"/>
        <w:rPr>
          <w:rFonts w:ascii="Courier New" w:hAnsi="Courier New" w:cs="Courier New"/>
          <w:sz w:val="24"/>
          <w:szCs w:val="24"/>
        </w:rPr>
      </w:pPr>
    </w:p>
    <w:p w14:paraId="0A212DA5" w14:textId="77777777" w:rsidR="00DB421E" w:rsidRPr="00573429" w:rsidRDefault="00FC50B8" w:rsidP="00FC50B8">
      <w:pPr>
        <w:spacing w:after="0" w:line="480" w:lineRule="auto"/>
        <w:rPr>
          <w:rFonts w:ascii="Courier New" w:hAnsi="Courier New" w:cs="Courier New"/>
          <w:b/>
          <w:bCs/>
          <w:sz w:val="24"/>
          <w:szCs w:val="24"/>
        </w:rPr>
      </w:pPr>
      <w:r w:rsidRPr="00573429">
        <w:rPr>
          <w:rFonts w:ascii="Courier New" w:hAnsi="Courier New" w:cs="Courier New"/>
          <w:b/>
          <w:bCs/>
          <w:sz w:val="24"/>
          <w:szCs w:val="24"/>
        </w:rPr>
        <w:t>EXHIBIT 3</w:t>
      </w:r>
      <w:r w:rsidR="00DB421E" w:rsidRPr="00573429">
        <w:rPr>
          <w:rFonts w:ascii="Courier New" w:hAnsi="Courier New" w:cs="Courier New"/>
          <w:b/>
          <w:bCs/>
          <w:sz w:val="24"/>
          <w:szCs w:val="24"/>
        </w:rPr>
        <w:t xml:space="preserve"> (figure)</w:t>
      </w:r>
    </w:p>
    <w:p w14:paraId="31ABCCB9" w14:textId="5B0DBC05" w:rsidR="00DB421E" w:rsidRDefault="00DB421E" w:rsidP="00FC50B8">
      <w:pPr>
        <w:spacing w:after="0" w:line="480" w:lineRule="auto"/>
        <w:rPr>
          <w:rFonts w:ascii="Courier New" w:hAnsi="Courier New" w:cs="Courier New"/>
          <w:sz w:val="24"/>
          <w:szCs w:val="24"/>
        </w:rPr>
      </w:pPr>
      <w:r>
        <w:rPr>
          <w:rFonts w:ascii="Courier New" w:hAnsi="Courier New" w:cs="Courier New"/>
          <w:sz w:val="24"/>
          <w:szCs w:val="24"/>
        </w:rPr>
        <w:t>CAPTION:</w:t>
      </w:r>
      <w:r w:rsidR="00EF1C82">
        <w:rPr>
          <w:rFonts w:ascii="Courier New" w:hAnsi="Courier New" w:cs="Courier New"/>
          <w:sz w:val="24"/>
          <w:szCs w:val="24"/>
        </w:rPr>
        <w:t xml:space="preserve"> P</w:t>
      </w:r>
      <w:r w:rsidR="00EF1C82" w:rsidRPr="00FC50B8">
        <w:rPr>
          <w:rFonts w:ascii="Courier New" w:hAnsi="Courier New" w:cs="Courier New"/>
          <w:sz w:val="24"/>
          <w:szCs w:val="24"/>
        </w:rPr>
        <w:t>ercent of all COVID-19 cases occurring among residents of the least advantaged quartile of the Vaccine Equity Metric (VEM Q1)</w:t>
      </w:r>
      <w:r w:rsidR="00EF1C82">
        <w:rPr>
          <w:rFonts w:ascii="Courier New" w:hAnsi="Courier New" w:cs="Courier New"/>
          <w:sz w:val="24"/>
          <w:szCs w:val="24"/>
        </w:rPr>
        <w:t xml:space="preserve">, California, </w:t>
      </w:r>
      <w:r w:rsidR="00EF1C82" w:rsidRPr="00FC50B8">
        <w:rPr>
          <w:rFonts w:ascii="Courier New" w:hAnsi="Courier New" w:cs="Courier New"/>
          <w:sz w:val="24"/>
          <w:szCs w:val="24"/>
        </w:rPr>
        <w:t>December 2020 – November 2021</w:t>
      </w:r>
      <w:r w:rsidR="00EF1C82">
        <w:rPr>
          <w:rFonts w:ascii="Courier New" w:hAnsi="Courier New" w:cs="Courier New"/>
          <w:sz w:val="24"/>
          <w:szCs w:val="24"/>
        </w:rPr>
        <w:t xml:space="preserve"> </w:t>
      </w:r>
    </w:p>
    <w:p w14:paraId="3D3895AA" w14:textId="0FAD5D11" w:rsidR="00DB421E" w:rsidRDefault="00DB421E" w:rsidP="00FC50B8">
      <w:pPr>
        <w:spacing w:after="0" w:line="480" w:lineRule="auto"/>
        <w:rPr>
          <w:rFonts w:ascii="Courier New" w:hAnsi="Courier New" w:cs="Courier New"/>
          <w:sz w:val="24"/>
          <w:szCs w:val="24"/>
        </w:rPr>
      </w:pPr>
      <w:r>
        <w:rPr>
          <w:rFonts w:ascii="Courier New" w:hAnsi="Courier New" w:cs="Courier New"/>
          <w:sz w:val="24"/>
          <w:szCs w:val="24"/>
        </w:rPr>
        <w:t>SOURCE:</w:t>
      </w:r>
      <w:r w:rsidR="00EF1C82">
        <w:rPr>
          <w:rFonts w:ascii="Courier New" w:hAnsi="Courier New" w:cs="Courier New"/>
          <w:sz w:val="24"/>
          <w:szCs w:val="24"/>
        </w:rPr>
        <w:t xml:space="preserve"> </w:t>
      </w:r>
      <w:r w:rsidR="00EF1C82" w:rsidRPr="00FC50B8">
        <w:rPr>
          <w:rFonts w:ascii="Courier New" w:hAnsi="Courier New" w:cs="Courier New"/>
          <w:sz w:val="24"/>
          <w:szCs w:val="24"/>
        </w:rPr>
        <w:t>Authors</w:t>
      </w:r>
      <w:r w:rsidR="00EF1C82">
        <w:rPr>
          <w:rFonts w:ascii="Courier New" w:hAnsi="Courier New" w:cs="Courier New"/>
          <w:sz w:val="24"/>
          <w:szCs w:val="24"/>
        </w:rPr>
        <w:t>’</w:t>
      </w:r>
      <w:r w:rsidR="00EF1C82" w:rsidRPr="00FC50B8">
        <w:rPr>
          <w:rFonts w:ascii="Courier New" w:hAnsi="Courier New" w:cs="Courier New"/>
          <w:sz w:val="24"/>
          <w:szCs w:val="24"/>
        </w:rPr>
        <w:t xml:space="preserve"> analysis of COVID-19 case data </w:t>
      </w:r>
      <w:r w:rsidR="00B63748" w:rsidRPr="00FC50B8">
        <w:rPr>
          <w:rFonts w:ascii="Courier New" w:hAnsi="Courier New" w:cs="Courier New"/>
          <w:sz w:val="24"/>
          <w:szCs w:val="24"/>
        </w:rPr>
        <w:t>collected</w:t>
      </w:r>
      <w:commentRangeStart w:id="16"/>
      <w:commentRangeEnd w:id="16"/>
      <w:r w:rsidR="00B63748">
        <w:rPr>
          <w:rStyle w:val="CommentReference"/>
        </w:rPr>
        <w:commentReference w:id="16"/>
      </w:r>
      <w:r w:rsidR="00B63748">
        <w:rPr>
          <w:rFonts w:ascii="Courier New" w:hAnsi="Courier New" w:cs="Courier New"/>
          <w:sz w:val="24"/>
          <w:szCs w:val="24"/>
        </w:rPr>
        <w:t xml:space="preserve"> from routine public health surveillance by CDPH</w:t>
      </w:r>
      <w:r w:rsidR="00B63748" w:rsidRPr="00FC50B8">
        <w:rPr>
          <w:rFonts w:ascii="Courier New" w:hAnsi="Courier New" w:cs="Courier New"/>
          <w:sz w:val="24"/>
          <w:szCs w:val="24"/>
        </w:rPr>
        <w:t xml:space="preserve"> </w:t>
      </w:r>
      <w:r w:rsidR="00EF1C82" w:rsidRPr="00FC50B8">
        <w:rPr>
          <w:rFonts w:ascii="Courier New" w:hAnsi="Courier New" w:cs="Courier New"/>
          <w:sz w:val="24"/>
          <w:szCs w:val="24"/>
        </w:rPr>
        <w:t>from December 2020 – November 2021</w:t>
      </w:r>
    </w:p>
    <w:p w14:paraId="79550364" w14:textId="167521FD" w:rsidR="00FC50B8" w:rsidRPr="00FC50B8" w:rsidRDefault="00DB421E" w:rsidP="00EF1C82">
      <w:pPr>
        <w:spacing w:after="0" w:line="480" w:lineRule="auto"/>
        <w:rPr>
          <w:rFonts w:ascii="Courier New" w:hAnsi="Courier New" w:cs="Courier New"/>
          <w:sz w:val="24"/>
          <w:szCs w:val="24"/>
        </w:rPr>
      </w:pPr>
      <w:r>
        <w:rPr>
          <w:rFonts w:ascii="Courier New" w:hAnsi="Courier New" w:cs="Courier New"/>
          <w:sz w:val="24"/>
          <w:szCs w:val="24"/>
        </w:rPr>
        <w:t>NOTES:</w:t>
      </w:r>
      <w:r w:rsidR="00EF1C82">
        <w:rPr>
          <w:rFonts w:ascii="Courier New" w:hAnsi="Courier New" w:cs="Courier New"/>
          <w:sz w:val="24"/>
          <w:szCs w:val="24"/>
        </w:rPr>
        <w:t xml:space="preserve"> This exhibit shows the d</w:t>
      </w:r>
      <w:r w:rsidR="00FC50B8" w:rsidRPr="00FC50B8">
        <w:rPr>
          <w:rFonts w:ascii="Courier New" w:hAnsi="Courier New" w:cs="Courier New"/>
          <w:sz w:val="24"/>
          <w:szCs w:val="24"/>
        </w:rPr>
        <w:t xml:space="preserve">isproportionate burden of COVID-19 cases </w:t>
      </w:r>
      <w:r w:rsidR="00EF1C82">
        <w:rPr>
          <w:rFonts w:ascii="Courier New" w:hAnsi="Courier New" w:cs="Courier New"/>
          <w:sz w:val="24"/>
          <w:szCs w:val="24"/>
        </w:rPr>
        <w:t xml:space="preserve">occurring </w:t>
      </w:r>
      <w:r w:rsidR="00FC50B8" w:rsidRPr="00FC50B8">
        <w:rPr>
          <w:rFonts w:ascii="Courier New" w:hAnsi="Courier New" w:cs="Courier New"/>
          <w:sz w:val="24"/>
          <w:szCs w:val="24"/>
        </w:rPr>
        <w:t>in VEM Q1</w:t>
      </w:r>
      <w:r w:rsidR="00EF1C82">
        <w:rPr>
          <w:rFonts w:ascii="Courier New" w:hAnsi="Courier New" w:cs="Courier New"/>
          <w:sz w:val="24"/>
          <w:szCs w:val="24"/>
        </w:rPr>
        <w:t xml:space="preserve">. </w:t>
      </w:r>
      <w:r w:rsidR="00FC50B8" w:rsidRPr="00FC50B8">
        <w:rPr>
          <w:rFonts w:ascii="Courier New" w:hAnsi="Courier New" w:cs="Courier New"/>
          <w:sz w:val="24"/>
          <w:szCs w:val="24"/>
        </w:rPr>
        <w:t xml:space="preserve">The blue and orange lines show, respectively, the observed and counterfactual estimates of the percent of cases occurring among VEM Q1 populations. The vertical dashed line indicates the week the policy was implemented, and the horizontal dashed line indicates the percent of California’s overall population residing in VEM Q1 ZIP codes. This population percent serves as a reference for the percent of cases that would occur in VEM Q1 if cases were equally distributed across VEM quartiles. Observations above this line suggest that COVID-19 cases were occurring </w:t>
      </w:r>
      <w:r w:rsidR="00FC50B8" w:rsidRPr="00FC50B8">
        <w:rPr>
          <w:rFonts w:ascii="Courier New" w:hAnsi="Courier New" w:cs="Courier New"/>
          <w:sz w:val="24"/>
          <w:szCs w:val="24"/>
        </w:rPr>
        <w:lastRenderedPageBreak/>
        <w:t xml:space="preserve">disproportionately among VEM Q1 populations. The blue line falling closer to the horizontal reference line in the after-policy period suggests that the policy reduced disparities in COVID-19 cases among VEM Q1 residents. </w:t>
      </w:r>
    </w:p>
    <w:p w14:paraId="5C853E5D" w14:textId="77777777" w:rsidR="00FC50B8" w:rsidRPr="00FC50B8" w:rsidRDefault="00FC50B8" w:rsidP="00FC50B8">
      <w:pPr>
        <w:spacing w:after="0" w:line="480" w:lineRule="auto"/>
        <w:rPr>
          <w:rFonts w:ascii="Courier New" w:hAnsi="Courier New" w:cs="Courier New"/>
          <w:sz w:val="24"/>
          <w:szCs w:val="24"/>
        </w:rPr>
      </w:pPr>
      <w:r w:rsidRPr="00FC50B8">
        <w:rPr>
          <w:rFonts w:ascii="Courier New" w:hAnsi="Courier New" w:cs="Courier New"/>
          <w:sz w:val="24"/>
          <w:szCs w:val="24"/>
        </w:rPr>
        <w:t> </w:t>
      </w:r>
    </w:p>
    <w:p w14:paraId="7A67DC14" w14:textId="77777777" w:rsidR="00214DB8" w:rsidRDefault="00214DB8">
      <w:pPr>
        <w:rPr>
          <w:rFonts w:ascii="Courier New" w:hAnsi="Courier New" w:cs="Courier New"/>
          <w:sz w:val="24"/>
          <w:szCs w:val="24"/>
        </w:rPr>
      </w:pPr>
      <w:r>
        <w:rPr>
          <w:rFonts w:ascii="Courier New" w:hAnsi="Courier New" w:cs="Courier New"/>
          <w:sz w:val="24"/>
          <w:szCs w:val="24"/>
        </w:rPr>
        <w:br w:type="page"/>
      </w:r>
    </w:p>
    <w:p w14:paraId="7EB65923" w14:textId="22E33AC6" w:rsidR="00FC50B8" w:rsidRDefault="00573429" w:rsidP="00FC50B8">
      <w:pPr>
        <w:spacing w:after="0" w:line="480" w:lineRule="auto"/>
        <w:rPr>
          <w:rFonts w:ascii="Courier New" w:hAnsi="Courier New" w:cs="Courier New"/>
          <w:sz w:val="24"/>
          <w:szCs w:val="24"/>
        </w:rPr>
      </w:pPr>
      <w:r w:rsidRPr="00FC50B8">
        <w:rPr>
          <w:rFonts w:ascii="Courier New" w:hAnsi="Courier New" w:cs="Courier New"/>
          <w:sz w:val="24"/>
          <w:szCs w:val="24"/>
        </w:rPr>
        <w:lastRenderedPageBreak/>
        <w:t xml:space="preserve">EXHIBIT </w:t>
      </w:r>
      <w:r w:rsidR="00FC50B8" w:rsidRPr="00FC50B8">
        <w:rPr>
          <w:rFonts w:ascii="Courier New" w:hAnsi="Courier New" w:cs="Courier New"/>
          <w:sz w:val="24"/>
          <w:szCs w:val="24"/>
        </w:rPr>
        <w:t>1:</w:t>
      </w:r>
      <w:r w:rsidR="00EF1C82">
        <w:rPr>
          <w:rFonts w:ascii="Courier New" w:hAnsi="Courier New" w:cs="Courier New"/>
          <w:sz w:val="24"/>
          <w:szCs w:val="24"/>
        </w:rPr>
        <w:t xml:space="preserve"> COVID-19 v</w:t>
      </w:r>
      <w:r w:rsidR="00EF1C82" w:rsidRPr="00FC50B8">
        <w:rPr>
          <w:rFonts w:ascii="Courier New" w:hAnsi="Courier New" w:cs="Courier New"/>
          <w:sz w:val="24"/>
          <w:szCs w:val="24"/>
        </w:rPr>
        <w:t>accinations administered</w:t>
      </w:r>
      <w:r w:rsidR="00EF1C82">
        <w:rPr>
          <w:rFonts w:ascii="Courier New" w:hAnsi="Courier New" w:cs="Courier New"/>
          <w:sz w:val="24"/>
          <w:szCs w:val="24"/>
        </w:rPr>
        <w:t xml:space="preserve"> in California</w:t>
      </w:r>
      <w:r w:rsidR="00EF1C82" w:rsidRPr="00FC50B8">
        <w:rPr>
          <w:rFonts w:ascii="Courier New" w:hAnsi="Courier New" w:cs="Courier New"/>
          <w:sz w:val="24"/>
          <w:szCs w:val="24"/>
        </w:rPr>
        <w:t xml:space="preserve"> by Vaccine Equity Metric (VEM) quartile in the four-week periods before and after the policy was implemented on March 1, 2021</w:t>
      </w:r>
    </w:p>
    <w:p w14:paraId="352D4246" w14:textId="77777777" w:rsidR="00EF1C82" w:rsidRPr="00FC50B8" w:rsidRDefault="00EF1C82" w:rsidP="00FC50B8">
      <w:pPr>
        <w:spacing w:after="0" w:line="480" w:lineRule="auto"/>
        <w:rPr>
          <w:rFonts w:ascii="Courier New" w:hAnsi="Courier New" w:cs="Courier New"/>
          <w:sz w:val="24"/>
          <w:szCs w:val="24"/>
        </w:rPr>
      </w:pPr>
    </w:p>
    <w:tbl>
      <w:tblPr>
        <w:tblStyle w:val="Table"/>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Caption w:val="Difference in differences estimates for negative controls sensitivity analysis comparing all combinations of VEM quartiles"/>
      </w:tblPr>
      <w:tblGrid>
        <w:gridCol w:w="1401"/>
        <w:gridCol w:w="2027"/>
        <w:gridCol w:w="2872"/>
        <w:gridCol w:w="2997"/>
      </w:tblGrid>
      <w:tr w:rsidR="006D7F9C" w14:paraId="6091F651" w14:textId="77777777" w:rsidTr="00EA5D87">
        <w:trPr>
          <w:cnfStyle w:val="100000000000" w:firstRow="1" w:lastRow="0" w:firstColumn="0" w:lastColumn="0" w:oddVBand="0" w:evenVBand="0" w:oddHBand="0" w:evenHBand="0" w:firstRowFirstColumn="0" w:firstRowLastColumn="0" w:lastRowFirstColumn="0" w:lastRowLastColumn="0"/>
          <w:trHeight w:val="300"/>
          <w:tblHeader/>
        </w:trPr>
        <w:tc>
          <w:tcPr>
            <w:tcW w:w="1401" w:type="dxa"/>
          </w:tcPr>
          <w:p w14:paraId="75CAD5DE" w14:textId="77777777" w:rsidR="006D7F9C" w:rsidRPr="005C536C" w:rsidRDefault="006D7F9C" w:rsidP="00EA5D87">
            <w:pPr>
              <w:pStyle w:val="Compact"/>
              <w:jc w:val="right"/>
              <w:rPr>
                <w:rFonts w:ascii="Courier New" w:hAnsi="Courier New" w:cs="Courier New"/>
              </w:rPr>
            </w:pPr>
          </w:p>
        </w:tc>
        <w:tc>
          <w:tcPr>
            <w:tcW w:w="2027" w:type="dxa"/>
          </w:tcPr>
          <w:p w14:paraId="017BA900" w14:textId="77777777" w:rsidR="006D7F9C" w:rsidRPr="005C536C" w:rsidRDefault="006D7F9C" w:rsidP="00EA5D87">
            <w:pPr>
              <w:pStyle w:val="Compact"/>
              <w:jc w:val="right"/>
              <w:rPr>
                <w:rFonts w:ascii="Courier New" w:hAnsi="Courier New" w:cs="Courier New"/>
              </w:rPr>
            </w:pPr>
          </w:p>
        </w:tc>
        <w:tc>
          <w:tcPr>
            <w:tcW w:w="5869" w:type="dxa"/>
            <w:gridSpan w:val="2"/>
            <w:vAlign w:val="center"/>
          </w:tcPr>
          <w:p w14:paraId="000F2884" w14:textId="77777777" w:rsidR="006D7F9C" w:rsidRPr="005C536C" w:rsidRDefault="006D7F9C" w:rsidP="00EA5D87">
            <w:pPr>
              <w:pStyle w:val="Compact"/>
              <w:jc w:val="center"/>
              <w:rPr>
                <w:rFonts w:ascii="Courier New" w:hAnsi="Courier New" w:cs="Courier New"/>
              </w:rPr>
            </w:pPr>
            <w:r w:rsidRPr="005C536C">
              <w:rPr>
                <w:rFonts w:ascii="Courier New" w:hAnsi="Courier New" w:cs="Courier New"/>
              </w:rPr>
              <w:t>Vaccines administered (per 100,000)</w:t>
            </w:r>
          </w:p>
        </w:tc>
      </w:tr>
      <w:tr w:rsidR="006D7F9C" w14:paraId="66D60FE2" w14:textId="77777777" w:rsidTr="00DC6840">
        <w:trPr>
          <w:cnfStyle w:val="100000000000" w:firstRow="1" w:lastRow="0" w:firstColumn="0" w:lastColumn="0" w:oddVBand="0" w:evenVBand="0" w:oddHBand="0" w:evenHBand="0" w:firstRowFirstColumn="0" w:firstRowLastColumn="0" w:lastRowFirstColumn="0" w:lastRowLastColumn="0"/>
          <w:trHeight w:val="300"/>
          <w:tblHeader/>
        </w:trPr>
        <w:tc>
          <w:tcPr>
            <w:tcW w:w="1401" w:type="dxa"/>
            <w:tcBorders>
              <w:bottom w:val="none" w:sz="0" w:space="0" w:color="auto"/>
            </w:tcBorders>
            <w:vAlign w:val="center"/>
          </w:tcPr>
          <w:p w14:paraId="5AA366C3" w14:textId="77777777" w:rsidR="006D7F9C" w:rsidRPr="005C536C" w:rsidRDefault="006D7F9C" w:rsidP="00DC6840">
            <w:pPr>
              <w:pStyle w:val="Compact"/>
              <w:jc w:val="center"/>
              <w:rPr>
                <w:rFonts w:ascii="Courier New" w:hAnsi="Courier New" w:cs="Courier New"/>
              </w:rPr>
            </w:pPr>
            <w:r w:rsidRPr="005C536C">
              <w:rPr>
                <w:rFonts w:ascii="Courier New" w:hAnsi="Courier New" w:cs="Courier New"/>
              </w:rPr>
              <w:t>VEM Quartile</w:t>
            </w:r>
          </w:p>
        </w:tc>
        <w:tc>
          <w:tcPr>
            <w:tcW w:w="2027" w:type="dxa"/>
            <w:tcBorders>
              <w:bottom w:val="none" w:sz="0" w:space="0" w:color="auto"/>
            </w:tcBorders>
            <w:vAlign w:val="center"/>
          </w:tcPr>
          <w:p w14:paraId="49AA38A8" w14:textId="77777777" w:rsidR="006D7F9C" w:rsidRPr="005C536C" w:rsidRDefault="006D7F9C" w:rsidP="00DC6840">
            <w:pPr>
              <w:pStyle w:val="Compact"/>
              <w:jc w:val="center"/>
              <w:rPr>
                <w:rFonts w:ascii="Courier New" w:hAnsi="Courier New" w:cs="Courier New"/>
              </w:rPr>
            </w:pPr>
            <w:r w:rsidRPr="005C536C">
              <w:rPr>
                <w:rFonts w:ascii="Courier New" w:hAnsi="Courier New" w:cs="Courier New"/>
              </w:rPr>
              <w:t>Population</w:t>
            </w:r>
          </w:p>
        </w:tc>
        <w:tc>
          <w:tcPr>
            <w:tcW w:w="2872" w:type="dxa"/>
            <w:tcBorders>
              <w:bottom w:val="none" w:sz="0" w:space="0" w:color="auto"/>
            </w:tcBorders>
            <w:vAlign w:val="center"/>
          </w:tcPr>
          <w:p w14:paraId="224C5B80" w14:textId="77777777" w:rsidR="006D7F9C" w:rsidRPr="005C536C" w:rsidRDefault="006D7F9C" w:rsidP="00DC6840">
            <w:pPr>
              <w:pStyle w:val="Compact"/>
              <w:jc w:val="center"/>
              <w:rPr>
                <w:rFonts w:ascii="Courier New" w:hAnsi="Courier New" w:cs="Courier New"/>
              </w:rPr>
            </w:pPr>
            <w:r w:rsidRPr="005C536C">
              <w:rPr>
                <w:rFonts w:ascii="Courier New" w:hAnsi="Courier New" w:cs="Courier New"/>
              </w:rPr>
              <w:t>Before</w:t>
            </w:r>
          </w:p>
        </w:tc>
        <w:tc>
          <w:tcPr>
            <w:tcW w:w="2997" w:type="dxa"/>
            <w:tcBorders>
              <w:bottom w:val="none" w:sz="0" w:space="0" w:color="auto"/>
            </w:tcBorders>
            <w:vAlign w:val="center"/>
          </w:tcPr>
          <w:p w14:paraId="665F0880" w14:textId="77777777" w:rsidR="006D7F9C" w:rsidRPr="005C536C" w:rsidRDefault="006D7F9C" w:rsidP="00DC6840">
            <w:pPr>
              <w:pStyle w:val="Compact"/>
              <w:jc w:val="center"/>
              <w:rPr>
                <w:rFonts w:ascii="Courier New" w:hAnsi="Courier New" w:cs="Courier New"/>
              </w:rPr>
            </w:pPr>
            <w:r w:rsidRPr="005C536C">
              <w:rPr>
                <w:rFonts w:ascii="Courier New" w:hAnsi="Courier New" w:cs="Courier New"/>
              </w:rPr>
              <w:t>After</w:t>
            </w:r>
          </w:p>
        </w:tc>
      </w:tr>
      <w:tr w:rsidR="006D7F9C" w14:paraId="30396129" w14:textId="77777777" w:rsidTr="00EA5D87">
        <w:trPr>
          <w:trHeight w:val="300"/>
        </w:trPr>
        <w:tc>
          <w:tcPr>
            <w:tcW w:w="1401" w:type="dxa"/>
          </w:tcPr>
          <w:p w14:paraId="3D2C34D5" w14:textId="77777777" w:rsidR="006D7F9C" w:rsidRPr="005C536C" w:rsidRDefault="006D7F9C" w:rsidP="00EA5D87">
            <w:pPr>
              <w:pStyle w:val="Compact"/>
              <w:jc w:val="right"/>
              <w:rPr>
                <w:rFonts w:ascii="Courier New" w:hAnsi="Courier New" w:cs="Courier New"/>
              </w:rPr>
            </w:pPr>
            <w:r w:rsidRPr="005C536C">
              <w:rPr>
                <w:rFonts w:ascii="Courier New" w:hAnsi="Courier New" w:cs="Courier New"/>
              </w:rPr>
              <w:t>1</w:t>
            </w:r>
          </w:p>
        </w:tc>
        <w:tc>
          <w:tcPr>
            <w:tcW w:w="2027" w:type="dxa"/>
          </w:tcPr>
          <w:p w14:paraId="63F3A026" w14:textId="77777777" w:rsidR="006D7F9C" w:rsidRPr="005C536C" w:rsidRDefault="006D7F9C" w:rsidP="00EA5D87">
            <w:pPr>
              <w:pStyle w:val="Compact"/>
              <w:jc w:val="right"/>
              <w:rPr>
                <w:rFonts w:ascii="Courier New" w:hAnsi="Courier New" w:cs="Courier New"/>
              </w:rPr>
            </w:pPr>
            <w:r w:rsidRPr="005C536C">
              <w:rPr>
                <w:rFonts w:ascii="Courier New" w:hAnsi="Courier New" w:cs="Courier New"/>
              </w:rPr>
              <w:t>10,617,434</w:t>
            </w:r>
          </w:p>
        </w:tc>
        <w:tc>
          <w:tcPr>
            <w:tcW w:w="2872" w:type="dxa"/>
          </w:tcPr>
          <w:p w14:paraId="1453CAAB" w14:textId="77777777" w:rsidR="006D7F9C" w:rsidRPr="005C536C" w:rsidRDefault="006D7F9C" w:rsidP="00EA5D87">
            <w:pPr>
              <w:pStyle w:val="Compact"/>
              <w:rPr>
                <w:rFonts w:ascii="Courier New" w:hAnsi="Courier New" w:cs="Courier New"/>
              </w:rPr>
            </w:pPr>
            <w:r w:rsidRPr="005C536C">
              <w:rPr>
                <w:rFonts w:ascii="Courier New" w:hAnsi="Courier New" w:cs="Courier New"/>
              </w:rPr>
              <w:t>1,061,509 (9,998)</w:t>
            </w:r>
          </w:p>
        </w:tc>
        <w:tc>
          <w:tcPr>
            <w:tcW w:w="2997" w:type="dxa"/>
          </w:tcPr>
          <w:p w14:paraId="6D92B512" w14:textId="77777777" w:rsidR="006D7F9C" w:rsidRPr="005C536C" w:rsidRDefault="006D7F9C" w:rsidP="00EA5D87">
            <w:pPr>
              <w:pStyle w:val="Compact"/>
              <w:rPr>
                <w:rFonts w:ascii="Courier New" w:hAnsi="Courier New" w:cs="Courier New"/>
              </w:rPr>
            </w:pPr>
            <w:r w:rsidRPr="005C536C">
              <w:rPr>
                <w:rFonts w:ascii="Courier New" w:hAnsi="Courier New" w:cs="Courier New"/>
              </w:rPr>
              <w:t>1,926,615 (18,146)</w:t>
            </w:r>
          </w:p>
        </w:tc>
      </w:tr>
      <w:tr w:rsidR="006D7F9C" w14:paraId="003FAA7B" w14:textId="77777777" w:rsidTr="00EA5D87">
        <w:trPr>
          <w:trHeight w:val="300"/>
        </w:trPr>
        <w:tc>
          <w:tcPr>
            <w:tcW w:w="1401" w:type="dxa"/>
          </w:tcPr>
          <w:p w14:paraId="245131D8" w14:textId="77777777" w:rsidR="006D7F9C" w:rsidRPr="005C536C" w:rsidRDefault="006D7F9C" w:rsidP="00EA5D87">
            <w:pPr>
              <w:pStyle w:val="Compact"/>
              <w:jc w:val="right"/>
              <w:rPr>
                <w:rFonts w:ascii="Courier New" w:hAnsi="Courier New" w:cs="Courier New"/>
              </w:rPr>
            </w:pPr>
            <w:r w:rsidRPr="005C536C">
              <w:rPr>
                <w:rFonts w:ascii="Courier New" w:hAnsi="Courier New" w:cs="Courier New"/>
              </w:rPr>
              <w:t>2</w:t>
            </w:r>
          </w:p>
        </w:tc>
        <w:tc>
          <w:tcPr>
            <w:tcW w:w="2027" w:type="dxa"/>
          </w:tcPr>
          <w:p w14:paraId="59F1FE0A" w14:textId="77777777" w:rsidR="006D7F9C" w:rsidRPr="005C536C" w:rsidRDefault="006D7F9C" w:rsidP="00EA5D87">
            <w:pPr>
              <w:pStyle w:val="Compact"/>
              <w:jc w:val="right"/>
              <w:rPr>
                <w:rFonts w:ascii="Courier New" w:hAnsi="Courier New" w:cs="Courier New"/>
              </w:rPr>
            </w:pPr>
            <w:r w:rsidRPr="005C536C">
              <w:rPr>
                <w:rFonts w:ascii="Courier New" w:hAnsi="Courier New" w:cs="Courier New"/>
              </w:rPr>
              <w:t>9,902,750</w:t>
            </w:r>
          </w:p>
        </w:tc>
        <w:tc>
          <w:tcPr>
            <w:tcW w:w="2872" w:type="dxa"/>
          </w:tcPr>
          <w:p w14:paraId="33ABA5EB" w14:textId="77777777" w:rsidR="006D7F9C" w:rsidRPr="005C536C" w:rsidRDefault="006D7F9C" w:rsidP="00EA5D87">
            <w:pPr>
              <w:pStyle w:val="Compact"/>
              <w:rPr>
                <w:rFonts w:ascii="Courier New" w:hAnsi="Courier New" w:cs="Courier New"/>
              </w:rPr>
            </w:pPr>
            <w:r w:rsidRPr="005C536C">
              <w:rPr>
                <w:rFonts w:ascii="Courier New" w:hAnsi="Courier New" w:cs="Courier New"/>
              </w:rPr>
              <w:t>1,386,711 (14,003)</w:t>
            </w:r>
          </w:p>
        </w:tc>
        <w:tc>
          <w:tcPr>
            <w:tcW w:w="2997" w:type="dxa"/>
          </w:tcPr>
          <w:p w14:paraId="5B08EB81" w14:textId="77777777" w:rsidR="006D7F9C" w:rsidRPr="005C536C" w:rsidRDefault="006D7F9C" w:rsidP="00EA5D87">
            <w:pPr>
              <w:pStyle w:val="Compact"/>
              <w:rPr>
                <w:rFonts w:ascii="Courier New" w:hAnsi="Courier New" w:cs="Courier New"/>
              </w:rPr>
            </w:pPr>
            <w:r w:rsidRPr="005C536C">
              <w:rPr>
                <w:rFonts w:ascii="Courier New" w:hAnsi="Courier New" w:cs="Courier New"/>
              </w:rPr>
              <w:t>2,085,838 (21,063)</w:t>
            </w:r>
          </w:p>
        </w:tc>
      </w:tr>
      <w:tr w:rsidR="006D7F9C" w14:paraId="16CE1BBB" w14:textId="77777777" w:rsidTr="00EA5D87">
        <w:trPr>
          <w:trHeight w:val="300"/>
        </w:trPr>
        <w:tc>
          <w:tcPr>
            <w:tcW w:w="1401" w:type="dxa"/>
          </w:tcPr>
          <w:p w14:paraId="257BD267" w14:textId="77777777" w:rsidR="006D7F9C" w:rsidRPr="005C536C" w:rsidRDefault="006D7F9C" w:rsidP="00EA5D87">
            <w:pPr>
              <w:pStyle w:val="Compact"/>
              <w:jc w:val="right"/>
              <w:rPr>
                <w:rFonts w:ascii="Courier New" w:hAnsi="Courier New" w:cs="Courier New"/>
              </w:rPr>
            </w:pPr>
            <w:r w:rsidRPr="005C536C">
              <w:rPr>
                <w:rFonts w:ascii="Courier New" w:hAnsi="Courier New" w:cs="Courier New"/>
              </w:rPr>
              <w:t>3</w:t>
            </w:r>
          </w:p>
        </w:tc>
        <w:tc>
          <w:tcPr>
            <w:tcW w:w="2027" w:type="dxa"/>
          </w:tcPr>
          <w:p w14:paraId="1A438938" w14:textId="77777777" w:rsidR="006D7F9C" w:rsidRPr="005C536C" w:rsidRDefault="006D7F9C" w:rsidP="00EA5D87">
            <w:pPr>
              <w:pStyle w:val="Compact"/>
              <w:jc w:val="right"/>
              <w:rPr>
                <w:rFonts w:ascii="Courier New" w:hAnsi="Courier New" w:cs="Courier New"/>
              </w:rPr>
            </w:pPr>
            <w:r w:rsidRPr="005C536C">
              <w:rPr>
                <w:rFonts w:ascii="Courier New" w:hAnsi="Courier New" w:cs="Courier New"/>
              </w:rPr>
              <w:t>9,397,006</w:t>
            </w:r>
          </w:p>
        </w:tc>
        <w:tc>
          <w:tcPr>
            <w:tcW w:w="2872" w:type="dxa"/>
          </w:tcPr>
          <w:p w14:paraId="2BF3FC5E" w14:textId="77777777" w:rsidR="006D7F9C" w:rsidRPr="005C536C" w:rsidRDefault="006D7F9C" w:rsidP="00EA5D87">
            <w:pPr>
              <w:pStyle w:val="Compact"/>
              <w:rPr>
                <w:rFonts w:ascii="Courier New" w:hAnsi="Courier New" w:cs="Courier New"/>
              </w:rPr>
            </w:pPr>
            <w:r w:rsidRPr="005C536C">
              <w:rPr>
                <w:rFonts w:ascii="Courier New" w:hAnsi="Courier New" w:cs="Courier New"/>
              </w:rPr>
              <w:t>1,641,233 (17,465)</w:t>
            </w:r>
          </w:p>
        </w:tc>
        <w:tc>
          <w:tcPr>
            <w:tcW w:w="2997" w:type="dxa"/>
          </w:tcPr>
          <w:p w14:paraId="4A255F84" w14:textId="77777777" w:rsidR="006D7F9C" w:rsidRPr="005C536C" w:rsidRDefault="006D7F9C" w:rsidP="00EA5D87">
            <w:pPr>
              <w:pStyle w:val="Compact"/>
              <w:rPr>
                <w:rFonts w:ascii="Courier New" w:hAnsi="Courier New" w:cs="Courier New"/>
              </w:rPr>
            </w:pPr>
            <w:r w:rsidRPr="005C536C">
              <w:rPr>
                <w:rFonts w:ascii="Courier New" w:hAnsi="Courier New" w:cs="Courier New"/>
              </w:rPr>
              <w:t>2,285,986 (24,327)</w:t>
            </w:r>
          </w:p>
        </w:tc>
      </w:tr>
      <w:tr w:rsidR="006D7F9C" w14:paraId="31DD7943" w14:textId="77777777" w:rsidTr="00EA5D87">
        <w:trPr>
          <w:trHeight w:val="300"/>
        </w:trPr>
        <w:tc>
          <w:tcPr>
            <w:tcW w:w="1401" w:type="dxa"/>
          </w:tcPr>
          <w:p w14:paraId="7C0A8110" w14:textId="77777777" w:rsidR="006D7F9C" w:rsidRPr="005C536C" w:rsidRDefault="006D7F9C" w:rsidP="00EA5D87">
            <w:pPr>
              <w:pStyle w:val="Compact"/>
              <w:jc w:val="right"/>
              <w:rPr>
                <w:rFonts w:ascii="Courier New" w:hAnsi="Courier New" w:cs="Courier New"/>
              </w:rPr>
            </w:pPr>
            <w:r w:rsidRPr="005C536C">
              <w:rPr>
                <w:rFonts w:ascii="Courier New" w:hAnsi="Courier New" w:cs="Courier New"/>
              </w:rPr>
              <w:t>4</w:t>
            </w:r>
          </w:p>
        </w:tc>
        <w:tc>
          <w:tcPr>
            <w:tcW w:w="2027" w:type="dxa"/>
          </w:tcPr>
          <w:p w14:paraId="3A06427E" w14:textId="77777777" w:rsidR="006D7F9C" w:rsidRPr="005C536C" w:rsidRDefault="006D7F9C" w:rsidP="00EA5D87">
            <w:pPr>
              <w:pStyle w:val="Compact"/>
              <w:jc w:val="right"/>
              <w:rPr>
                <w:rFonts w:ascii="Courier New" w:hAnsi="Courier New" w:cs="Courier New"/>
              </w:rPr>
            </w:pPr>
            <w:r w:rsidRPr="005C536C">
              <w:rPr>
                <w:rFonts w:ascii="Courier New" w:hAnsi="Courier New" w:cs="Courier New"/>
              </w:rPr>
              <w:t>9,298,697</w:t>
            </w:r>
          </w:p>
        </w:tc>
        <w:tc>
          <w:tcPr>
            <w:tcW w:w="2872" w:type="dxa"/>
          </w:tcPr>
          <w:p w14:paraId="1D31A308" w14:textId="77777777" w:rsidR="006D7F9C" w:rsidRPr="005C536C" w:rsidRDefault="006D7F9C" w:rsidP="00EA5D87">
            <w:pPr>
              <w:pStyle w:val="Compact"/>
              <w:rPr>
                <w:rFonts w:ascii="Courier New" w:hAnsi="Courier New" w:cs="Courier New"/>
              </w:rPr>
            </w:pPr>
            <w:r w:rsidRPr="005C536C">
              <w:rPr>
                <w:rFonts w:ascii="Courier New" w:hAnsi="Courier New" w:cs="Courier New"/>
              </w:rPr>
              <w:t>1,898,517 (20,417)</w:t>
            </w:r>
          </w:p>
        </w:tc>
        <w:tc>
          <w:tcPr>
            <w:tcW w:w="2997" w:type="dxa"/>
          </w:tcPr>
          <w:p w14:paraId="144839C8" w14:textId="77777777" w:rsidR="006D7F9C" w:rsidRPr="005C536C" w:rsidRDefault="006D7F9C" w:rsidP="00EA5D87">
            <w:pPr>
              <w:pStyle w:val="Compact"/>
              <w:rPr>
                <w:rFonts w:ascii="Courier New" w:hAnsi="Courier New" w:cs="Courier New"/>
              </w:rPr>
            </w:pPr>
            <w:r w:rsidRPr="005C536C">
              <w:rPr>
                <w:rFonts w:ascii="Courier New" w:hAnsi="Courier New" w:cs="Courier New"/>
              </w:rPr>
              <w:t>2,589,952 (27,853)</w:t>
            </w:r>
          </w:p>
        </w:tc>
      </w:tr>
    </w:tbl>
    <w:p w14:paraId="41D1F255" w14:textId="77777777" w:rsidR="00EF1C82" w:rsidRPr="00FC50B8" w:rsidRDefault="00EF1C82" w:rsidP="00FC50B8">
      <w:pPr>
        <w:spacing w:after="0" w:line="480" w:lineRule="auto"/>
        <w:rPr>
          <w:rFonts w:ascii="Courier New" w:hAnsi="Courier New" w:cs="Courier New"/>
          <w:sz w:val="24"/>
          <w:szCs w:val="24"/>
        </w:rPr>
      </w:pPr>
    </w:p>
    <w:p w14:paraId="39A9B7CE" w14:textId="6623E1E8" w:rsidR="00EF1C82" w:rsidRDefault="00EF1C82" w:rsidP="00EF1C82">
      <w:pPr>
        <w:spacing w:after="0" w:line="480" w:lineRule="auto"/>
        <w:rPr>
          <w:rFonts w:ascii="Courier New" w:hAnsi="Courier New" w:cs="Courier New"/>
          <w:sz w:val="24"/>
          <w:szCs w:val="24"/>
        </w:rPr>
      </w:pPr>
      <w:r>
        <w:rPr>
          <w:rFonts w:ascii="Courier New" w:hAnsi="Courier New" w:cs="Courier New"/>
          <w:sz w:val="24"/>
          <w:szCs w:val="24"/>
        </w:rPr>
        <w:t xml:space="preserve">SOURCE: </w:t>
      </w:r>
      <w:r w:rsidRPr="00FC50B8">
        <w:rPr>
          <w:rFonts w:ascii="Courier New" w:hAnsi="Courier New" w:cs="Courier New"/>
          <w:sz w:val="24"/>
          <w:szCs w:val="24"/>
        </w:rPr>
        <w:t>Authors</w:t>
      </w:r>
      <w:r>
        <w:rPr>
          <w:rFonts w:ascii="Courier New" w:hAnsi="Courier New" w:cs="Courier New"/>
          <w:sz w:val="24"/>
          <w:szCs w:val="24"/>
        </w:rPr>
        <w:t>’</w:t>
      </w:r>
      <w:r w:rsidRPr="00FC50B8">
        <w:rPr>
          <w:rFonts w:ascii="Courier New" w:hAnsi="Courier New" w:cs="Courier New"/>
          <w:sz w:val="24"/>
          <w:szCs w:val="24"/>
        </w:rPr>
        <w:t xml:space="preserve"> analysis of Feb</w:t>
      </w:r>
      <w:r>
        <w:rPr>
          <w:rFonts w:ascii="Courier New" w:hAnsi="Courier New" w:cs="Courier New"/>
          <w:sz w:val="24"/>
          <w:szCs w:val="24"/>
        </w:rPr>
        <w:t>ruary</w:t>
      </w:r>
      <w:r w:rsidRPr="00FC50B8">
        <w:rPr>
          <w:rFonts w:ascii="Courier New" w:hAnsi="Courier New" w:cs="Courier New"/>
          <w:sz w:val="24"/>
          <w:szCs w:val="24"/>
        </w:rPr>
        <w:t xml:space="preserve"> 1, 2021 – March 29, </w:t>
      </w:r>
      <w:proofErr w:type="gramStart"/>
      <w:r w:rsidRPr="00FC50B8">
        <w:rPr>
          <w:rFonts w:ascii="Courier New" w:hAnsi="Courier New" w:cs="Courier New"/>
          <w:sz w:val="24"/>
          <w:szCs w:val="24"/>
        </w:rPr>
        <w:t>2021</w:t>
      </w:r>
      <w:proofErr w:type="gramEnd"/>
      <w:r w:rsidRPr="00FC50B8">
        <w:rPr>
          <w:rFonts w:ascii="Courier New" w:hAnsi="Courier New" w:cs="Courier New"/>
          <w:sz w:val="24"/>
          <w:szCs w:val="24"/>
        </w:rPr>
        <w:t xml:space="preserve"> vaccination data</w:t>
      </w:r>
    </w:p>
    <w:p w14:paraId="3EFD2224" w14:textId="77777777" w:rsidR="00EF1C82" w:rsidRPr="00FC50B8" w:rsidRDefault="00EF1C82" w:rsidP="00EF1C82">
      <w:pPr>
        <w:spacing w:after="0" w:line="480" w:lineRule="auto"/>
        <w:rPr>
          <w:rFonts w:ascii="Courier New" w:hAnsi="Courier New" w:cs="Courier New"/>
          <w:sz w:val="24"/>
          <w:szCs w:val="24"/>
        </w:rPr>
      </w:pPr>
      <w:r>
        <w:rPr>
          <w:rFonts w:ascii="Courier New" w:hAnsi="Courier New" w:cs="Courier New"/>
          <w:sz w:val="24"/>
          <w:szCs w:val="24"/>
        </w:rPr>
        <w:t>NOTES: This exhibit demonstrates that v</w:t>
      </w:r>
      <w:r w:rsidRPr="00FC50B8">
        <w:rPr>
          <w:rFonts w:ascii="Courier New" w:hAnsi="Courier New" w:cs="Courier New"/>
          <w:sz w:val="24"/>
          <w:szCs w:val="24"/>
        </w:rPr>
        <w:t>accination rates increased more in prioritized VEM Q1 communities after the polic</w:t>
      </w:r>
      <w:r>
        <w:rPr>
          <w:rFonts w:ascii="Courier New" w:hAnsi="Courier New" w:cs="Courier New"/>
          <w:sz w:val="24"/>
          <w:szCs w:val="24"/>
        </w:rPr>
        <w:t xml:space="preserve">y. </w:t>
      </w:r>
      <w:r w:rsidRPr="00FC50B8">
        <w:rPr>
          <w:rFonts w:ascii="Courier New" w:hAnsi="Courier New" w:cs="Courier New"/>
          <w:sz w:val="24"/>
          <w:szCs w:val="24"/>
        </w:rPr>
        <w:t>Absolute numbers are shown along with rates per 100,000 residents in parentheses.</w:t>
      </w:r>
    </w:p>
    <w:p w14:paraId="1A071A9A" w14:textId="51775528" w:rsidR="00EF1C82" w:rsidRDefault="00EF1C82">
      <w:pPr>
        <w:rPr>
          <w:rFonts w:ascii="Courier New" w:hAnsi="Courier New" w:cs="Courier New"/>
          <w:b/>
          <w:bCs/>
          <w:sz w:val="24"/>
          <w:szCs w:val="24"/>
        </w:rPr>
      </w:pPr>
    </w:p>
    <w:p w14:paraId="7517D4A1" w14:textId="77777777" w:rsidR="00E21853" w:rsidRPr="00FC50B8" w:rsidRDefault="00E21853" w:rsidP="00FC50B8">
      <w:pPr>
        <w:spacing w:after="0" w:line="480" w:lineRule="auto"/>
        <w:rPr>
          <w:rFonts w:ascii="Courier New" w:hAnsi="Courier New" w:cs="Courier New"/>
          <w:sz w:val="24"/>
          <w:szCs w:val="24"/>
        </w:rPr>
      </w:pPr>
    </w:p>
    <w:sectPr w:rsidR="00E21853" w:rsidRPr="00FC50B8">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delack, Leslie" w:date="2024-01-10T10:16:00Z" w:initials="LE">
    <w:p w14:paraId="66AA7C84" w14:textId="77777777" w:rsidR="00DB421E" w:rsidRDefault="00DB421E" w:rsidP="006A273C">
      <w:pPr>
        <w:pStyle w:val="CommentText"/>
      </w:pPr>
      <w:r>
        <w:rPr>
          <w:rStyle w:val="CommentReference"/>
        </w:rPr>
        <w:annotationRef/>
      </w:r>
      <w:r>
        <w:t>The endnote for your appendix is now note 20. I re-numbered the endnotes. See my note on page 15. I don't see where Chapman et al. is referenced in the paper. Apologies if I missed it--please take a look.</w:t>
      </w:r>
    </w:p>
  </w:comment>
  <w:comment w:id="1" w:author="Christopher" w:date="2024-01-20T12:55:00Z" w:initials="C">
    <w:p w14:paraId="149ACB5B" w14:textId="77777777" w:rsidR="00CD5CEE" w:rsidRDefault="00CD5CEE" w:rsidP="00CD5CEE">
      <w:pPr>
        <w:pStyle w:val="CommentText"/>
      </w:pPr>
      <w:r>
        <w:rPr>
          <w:rStyle w:val="CommentReference"/>
        </w:rPr>
        <w:annotationRef/>
      </w:r>
      <w:r>
        <w:t>Now 21 given Chapman et al shift to 12</w:t>
      </w:r>
    </w:p>
  </w:comment>
  <w:comment w:id="2" w:author="Erdelack, Leslie" w:date="2024-01-09T16:30:00Z" w:initials="LE">
    <w:p w14:paraId="52558202" w14:textId="6C9759F2" w:rsidR="00894275" w:rsidRDefault="00894275" w:rsidP="00BB1DE9">
      <w:pPr>
        <w:pStyle w:val="CommentText"/>
      </w:pPr>
      <w:r>
        <w:rPr>
          <w:rStyle w:val="CommentReference"/>
        </w:rPr>
        <w:annotationRef/>
      </w:r>
      <w:r>
        <w:t>Is this correct?</w:t>
      </w:r>
    </w:p>
  </w:comment>
  <w:comment w:id="3" w:author="Christopher" w:date="2024-01-20T12:59:00Z" w:initials="C">
    <w:p w14:paraId="1F0E1CDF" w14:textId="77777777" w:rsidR="00FD587E" w:rsidRDefault="00FD587E" w:rsidP="00FD587E">
      <w:pPr>
        <w:pStyle w:val="CommentText"/>
      </w:pPr>
      <w:r>
        <w:rPr>
          <w:rStyle w:val="CommentReference"/>
        </w:rPr>
        <w:annotationRef/>
      </w:r>
      <w:r>
        <w:t>correct</w:t>
      </w:r>
    </w:p>
  </w:comment>
  <w:comment w:id="4" w:author="Erdelack, Leslie" w:date="2024-01-10T10:19:00Z" w:initials="LE">
    <w:p w14:paraId="55C6EEFA" w14:textId="4E37A95C" w:rsidR="00DB421E" w:rsidRDefault="00DB421E" w:rsidP="00486CFB">
      <w:pPr>
        <w:pStyle w:val="CommentText"/>
      </w:pPr>
      <w:r>
        <w:rPr>
          <w:rStyle w:val="CommentReference"/>
        </w:rPr>
        <w:annotationRef/>
      </w:r>
      <w:r>
        <w:t>Please add a brief limitations section (one paragraph). There might be some material in the discussion that could be placed here instead.</w:t>
      </w:r>
    </w:p>
  </w:comment>
  <w:comment w:id="5" w:author="Christopher" w:date="2024-01-20T14:38:00Z" w:initials="C">
    <w:p w14:paraId="6C41C1C6" w14:textId="77777777" w:rsidR="007B3522" w:rsidRDefault="007B3522" w:rsidP="007B3522">
      <w:pPr>
        <w:pStyle w:val="CommentText"/>
      </w:pPr>
      <w:r>
        <w:rPr>
          <w:rStyle w:val="CommentReference"/>
        </w:rPr>
        <w:annotationRef/>
      </w:r>
      <w:r>
        <w:t>Done!</w:t>
      </w:r>
    </w:p>
  </w:comment>
  <w:comment w:id="6" w:author="Erdelack, Leslie" w:date="2024-01-09T16:44:00Z" w:initials="LE">
    <w:p w14:paraId="3945EDCD" w14:textId="3DA2AC2F" w:rsidR="00DB421E" w:rsidRDefault="0015007C" w:rsidP="00C2619C">
      <w:pPr>
        <w:pStyle w:val="CommentText"/>
      </w:pPr>
      <w:r>
        <w:rPr>
          <w:rStyle w:val="CommentReference"/>
        </w:rPr>
        <w:annotationRef/>
      </w:r>
      <w:r w:rsidR="00DB421E">
        <w:t>Suggest deleting. If you're referring to the same model, I don't think you need to call this exhibit out again.</w:t>
      </w:r>
    </w:p>
  </w:comment>
  <w:comment w:id="7" w:author="Erdelack, Leslie" w:date="2024-01-09T16:54:00Z" w:initials="LE">
    <w:p w14:paraId="1623F83A" w14:textId="570903EE" w:rsidR="00857BAE" w:rsidRDefault="00857BAE" w:rsidP="002543BB">
      <w:pPr>
        <w:pStyle w:val="CommentText"/>
      </w:pPr>
      <w:r>
        <w:rPr>
          <w:rStyle w:val="CommentReference"/>
        </w:rPr>
        <w:annotationRef/>
      </w:r>
      <w:r>
        <w:t>Tan et al. is endnote 29 (after re-numbering). However, I think the reference to Chapman et al. is missing (it would be either note 28 in this document, or note 27 in the version you submitted). Can you please check on that?</w:t>
      </w:r>
    </w:p>
  </w:comment>
  <w:comment w:id="8" w:author="Christopher" w:date="2024-01-20T13:04:00Z" w:initials="C">
    <w:p w14:paraId="089F56D6" w14:textId="77777777" w:rsidR="00FD587E" w:rsidRDefault="00FD587E" w:rsidP="00FD587E">
      <w:pPr>
        <w:pStyle w:val="CommentText"/>
      </w:pPr>
      <w:r>
        <w:rPr>
          <w:rStyle w:val="CommentReference"/>
        </w:rPr>
        <w:annotationRef/>
      </w:r>
      <w:r>
        <w:t>See note above, chapman et al moved up to 12 and subsequent numbering updated accordingly</w:t>
      </w:r>
    </w:p>
  </w:comment>
  <w:comment w:id="9" w:author="Erdelack, Leslie" w:date="2024-01-10T12:10:00Z" w:initials="LE">
    <w:p w14:paraId="7AC8CBE3" w14:textId="06622F8B" w:rsidR="00CD5CEE" w:rsidRDefault="00CD5CEE" w:rsidP="00CD5CEE">
      <w:pPr>
        <w:pStyle w:val="CommentText"/>
      </w:pPr>
      <w:r>
        <w:rPr>
          <w:rStyle w:val="CommentReference"/>
        </w:rPr>
        <w:annotationRef/>
      </w:r>
      <w:r>
        <w:t>I didn't see this reference cited in the text. Please correct if needed.</w:t>
      </w:r>
    </w:p>
  </w:comment>
  <w:comment w:id="10" w:author="Christopher" w:date="2024-01-20T12:52:00Z" w:initials="C">
    <w:p w14:paraId="577BDB49" w14:textId="77777777" w:rsidR="00CD5CEE" w:rsidRDefault="00CD5CEE" w:rsidP="00CD5CEE">
      <w:pPr>
        <w:pStyle w:val="CommentText"/>
      </w:pPr>
      <w:r>
        <w:rPr>
          <w:rStyle w:val="CommentReference"/>
        </w:rPr>
        <w:annotationRef/>
      </w:r>
      <w:r>
        <w:t>Not sure how that happened, but reordered here and added the in text citation in the introduction</w:t>
      </w:r>
    </w:p>
  </w:comment>
  <w:comment w:id="11" w:author="Erdelack, Leslie" w:date="2024-01-10T11:56:00Z" w:initials="LE">
    <w:p w14:paraId="1DAB0DE0" w14:textId="10990E39" w:rsidR="00DC6840" w:rsidRDefault="00DC6840" w:rsidP="00BA04E8">
      <w:pPr>
        <w:pStyle w:val="CommentText"/>
      </w:pPr>
      <w:r>
        <w:rPr>
          <w:rStyle w:val="CommentReference"/>
        </w:rPr>
        <w:annotationRef/>
      </w:r>
      <w:r>
        <w:t>I made some edits to the exhibit list, mainly to bring it in line with our formatting requirements. All the information was there, for the most part. I just reorganized it. Please review to make sure I did not introduce errors. Edit/modify as needed.</w:t>
      </w:r>
    </w:p>
  </w:comment>
  <w:comment w:id="12" w:author="Christopher" w:date="2024-01-20T14:36:00Z" w:initials="C">
    <w:p w14:paraId="18124502" w14:textId="77777777" w:rsidR="007B3522" w:rsidRDefault="007B3522" w:rsidP="007B3522">
      <w:pPr>
        <w:pStyle w:val="CommentText"/>
      </w:pPr>
      <w:r>
        <w:rPr>
          <w:rStyle w:val="CommentReference"/>
        </w:rPr>
        <w:annotationRef/>
      </w:r>
      <w:r>
        <w:t>Looks great!</w:t>
      </w:r>
    </w:p>
  </w:comment>
  <w:comment w:id="13" w:author="Erdelack, Leslie" w:date="2024-01-10T10:22:00Z" w:initials="LE">
    <w:p w14:paraId="70B706B7" w14:textId="4B77BB1E" w:rsidR="00DB421E" w:rsidRDefault="00DB421E" w:rsidP="00980EF7">
      <w:pPr>
        <w:pStyle w:val="CommentText"/>
      </w:pPr>
      <w:r>
        <w:rPr>
          <w:rStyle w:val="CommentReference"/>
        </w:rPr>
        <w:annotationRef/>
      </w:r>
      <w:r>
        <w:t>Can you please specify where the data is from? Does the state immunization database have a formal name?</w:t>
      </w:r>
    </w:p>
  </w:comment>
  <w:comment w:id="14" w:author="Erdelack, Leslie" w:date="2024-01-10T11:58:00Z" w:initials="LE">
    <w:p w14:paraId="7F63EEF9" w14:textId="77777777" w:rsidR="00DC6840" w:rsidRDefault="00DC6840" w:rsidP="005728C5">
      <w:pPr>
        <w:pStyle w:val="CommentText"/>
      </w:pPr>
      <w:r>
        <w:rPr>
          <w:rStyle w:val="CommentReference"/>
        </w:rPr>
        <w:annotationRef/>
      </w:r>
      <w:r>
        <w:t>For Exhibit 2 and Exhibit 3: I saw in your response memo your note about needing assistance to recreate these exhibits in Excel. I think I can find someone to do that for you here, but we would still need the underlying data supplied in an Excel spreadsheet. I'm not sure how to pull that from GitHub. Is that something you can do? You would then submit the Excel files when you upload the manuscript and we'll work from those.</w:t>
      </w:r>
    </w:p>
  </w:comment>
  <w:comment w:id="15" w:author="Erdelack, Leslie" w:date="2024-01-10T11:48:00Z" w:initials="LE">
    <w:p w14:paraId="7F452248" w14:textId="2860FE4F" w:rsidR="00EF1C82" w:rsidRDefault="00EF1C82" w:rsidP="002B784B">
      <w:pPr>
        <w:pStyle w:val="CommentText"/>
      </w:pPr>
      <w:r>
        <w:rPr>
          <w:rStyle w:val="CommentReference"/>
        </w:rPr>
        <w:annotationRef/>
      </w:r>
      <w:r>
        <w:t>Same comment as above. Can you please identify the specific source of the data?</w:t>
      </w:r>
    </w:p>
  </w:comment>
  <w:comment w:id="16" w:author="Erdelack, Leslie" w:date="2024-01-10T11:48:00Z" w:initials="LE">
    <w:p w14:paraId="08D80309" w14:textId="77777777" w:rsidR="00B63748" w:rsidRDefault="00B63748" w:rsidP="00B63748">
      <w:pPr>
        <w:pStyle w:val="CommentText"/>
      </w:pPr>
      <w:r>
        <w:rPr>
          <w:rStyle w:val="CommentReference"/>
        </w:rPr>
        <w:annotationRef/>
      </w:r>
      <w:r>
        <w:t>Same comment as above. Can you please identify the specific source of the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AA7C84" w15:done="0"/>
  <w15:commentEx w15:paraId="149ACB5B" w15:paraIdParent="66AA7C84" w15:done="0"/>
  <w15:commentEx w15:paraId="52558202" w15:done="0"/>
  <w15:commentEx w15:paraId="1F0E1CDF" w15:paraIdParent="52558202" w15:done="0"/>
  <w15:commentEx w15:paraId="55C6EEFA" w15:done="0"/>
  <w15:commentEx w15:paraId="6C41C1C6" w15:paraIdParent="55C6EEFA" w15:done="0"/>
  <w15:commentEx w15:paraId="3945EDCD" w15:done="1"/>
  <w15:commentEx w15:paraId="1623F83A" w15:done="0"/>
  <w15:commentEx w15:paraId="089F56D6" w15:paraIdParent="1623F83A" w15:done="0"/>
  <w15:commentEx w15:paraId="7AC8CBE3" w15:done="0"/>
  <w15:commentEx w15:paraId="577BDB49" w15:paraIdParent="7AC8CBE3" w15:done="0"/>
  <w15:commentEx w15:paraId="1DAB0DE0" w15:done="0"/>
  <w15:commentEx w15:paraId="18124502" w15:paraIdParent="1DAB0DE0" w15:done="0"/>
  <w15:commentEx w15:paraId="70B706B7" w15:done="1"/>
  <w15:commentEx w15:paraId="7F63EEF9" w15:done="1"/>
  <w15:commentEx w15:paraId="7F452248" w15:done="1"/>
  <w15:commentEx w15:paraId="08D803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FA4942" w16cex:dateUtc="2024-01-10T15:16:00Z"/>
  <w16cex:commentExtensible w16cex:durableId="4D181716" w16cex:dateUtc="2024-01-20T20:55:00Z"/>
  <w16cex:commentExtensible w16cex:durableId="0031CDD8" w16cex:dateUtc="2024-01-09T21:30:00Z"/>
  <w16cex:commentExtensible w16cex:durableId="05138A99" w16cex:dateUtc="2024-01-20T20:59:00Z"/>
  <w16cex:commentExtensible w16cex:durableId="76CA752C" w16cex:dateUtc="2024-01-10T15:19:00Z"/>
  <w16cex:commentExtensible w16cex:durableId="0296FDA4" w16cex:dateUtc="2024-01-20T22:38:00Z"/>
  <w16cex:commentExtensible w16cex:durableId="53EC93B5" w16cex:dateUtc="2024-01-09T21:44:00Z"/>
  <w16cex:commentExtensible w16cex:durableId="54896B60" w16cex:dateUtc="2024-01-09T21:54:00Z"/>
  <w16cex:commentExtensible w16cex:durableId="2F3B4171" w16cex:dateUtc="2024-01-20T21:04:00Z"/>
  <w16cex:commentExtensible w16cex:durableId="3DCC2AAA" w16cex:dateUtc="2024-01-10T17:10:00Z"/>
  <w16cex:commentExtensible w16cex:durableId="6028AF78" w16cex:dateUtc="2024-01-20T20:52:00Z"/>
  <w16cex:commentExtensible w16cex:durableId="24A2B633" w16cex:dateUtc="2024-01-10T16:56:00Z"/>
  <w16cex:commentExtensible w16cex:durableId="5EAA5642" w16cex:dateUtc="2024-01-20T22:36:00Z"/>
  <w16cex:commentExtensible w16cex:durableId="4B5D294B" w16cex:dateUtc="2024-01-10T15:22:00Z"/>
  <w16cex:commentExtensible w16cex:durableId="503A0C1D" w16cex:dateUtc="2024-01-10T16:58:00Z"/>
  <w16cex:commentExtensible w16cex:durableId="6599135A" w16cex:dateUtc="2024-01-10T16:48:00Z"/>
  <w16cex:commentExtensible w16cex:durableId="5B94BF01" w16cex:dateUtc="2024-01-10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AA7C84" w16cid:durableId="3AFA4942"/>
  <w16cid:commentId w16cid:paraId="149ACB5B" w16cid:durableId="4D181716"/>
  <w16cid:commentId w16cid:paraId="52558202" w16cid:durableId="0031CDD8"/>
  <w16cid:commentId w16cid:paraId="1F0E1CDF" w16cid:durableId="05138A99"/>
  <w16cid:commentId w16cid:paraId="55C6EEFA" w16cid:durableId="76CA752C"/>
  <w16cid:commentId w16cid:paraId="6C41C1C6" w16cid:durableId="0296FDA4"/>
  <w16cid:commentId w16cid:paraId="3945EDCD" w16cid:durableId="53EC93B5"/>
  <w16cid:commentId w16cid:paraId="1623F83A" w16cid:durableId="54896B60"/>
  <w16cid:commentId w16cid:paraId="089F56D6" w16cid:durableId="2F3B4171"/>
  <w16cid:commentId w16cid:paraId="7AC8CBE3" w16cid:durableId="3DCC2AAA"/>
  <w16cid:commentId w16cid:paraId="577BDB49" w16cid:durableId="6028AF78"/>
  <w16cid:commentId w16cid:paraId="1DAB0DE0" w16cid:durableId="24A2B633"/>
  <w16cid:commentId w16cid:paraId="18124502" w16cid:durableId="5EAA5642"/>
  <w16cid:commentId w16cid:paraId="70B706B7" w16cid:durableId="4B5D294B"/>
  <w16cid:commentId w16cid:paraId="7F63EEF9" w16cid:durableId="503A0C1D"/>
  <w16cid:commentId w16cid:paraId="7F452248" w16cid:durableId="6599135A"/>
  <w16cid:commentId w16cid:paraId="08D80309" w16cid:durableId="5B94BF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F2567" w14:textId="77777777" w:rsidR="00CB0DA0" w:rsidRDefault="00CB0DA0" w:rsidP="00FC50B8">
      <w:pPr>
        <w:spacing w:after="0" w:line="240" w:lineRule="auto"/>
      </w:pPr>
      <w:r>
        <w:separator/>
      </w:r>
    </w:p>
  </w:endnote>
  <w:endnote w:type="continuationSeparator" w:id="0">
    <w:p w14:paraId="22C88E1E" w14:textId="77777777" w:rsidR="00CB0DA0" w:rsidRDefault="00CB0DA0" w:rsidP="00FC5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sz w:val="24"/>
        <w:szCs w:val="24"/>
      </w:rPr>
      <w:id w:val="-555312724"/>
      <w:docPartObj>
        <w:docPartGallery w:val="Page Numbers (Bottom of Page)"/>
        <w:docPartUnique/>
      </w:docPartObj>
    </w:sdtPr>
    <w:sdtEndPr>
      <w:rPr>
        <w:noProof/>
      </w:rPr>
    </w:sdtEndPr>
    <w:sdtContent>
      <w:p w14:paraId="28A8CF5C" w14:textId="656504BE" w:rsidR="005B2FBB" w:rsidRPr="005B2FBB" w:rsidRDefault="005B2FBB">
        <w:pPr>
          <w:pStyle w:val="Footer"/>
          <w:jc w:val="right"/>
          <w:rPr>
            <w:rFonts w:ascii="Courier New" w:hAnsi="Courier New" w:cs="Courier New"/>
            <w:sz w:val="24"/>
            <w:szCs w:val="24"/>
          </w:rPr>
        </w:pPr>
        <w:r w:rsidRPr="005B2FBB">
          <w:rPr>
            <w:rFonts w:ascii="Courier New" w:hAnsi="Courier New" w:cs="Courier New"/>
            <w:sz w:val="24"/>
            <w:szCs w:val="24"/>
          </w:rPr>
          <w:fldChar w:fldCharType="begin"/>
        </w:r>
        <w:r w:rsidRPr="005B2FBB">
          <w:rPr>
            <w:rFonts w:ascii="Courier New" w:hAnsi="Courier New" w:cs="Courier New"/>
            <w:sz w:val="24"/>
            <w:szCs w:val="24"/>
          </w:rPr>
          <w:instrText xml:space="preserve"> PAGE   \* MERGEFORMAT </w:instrText>
        </w:r>
        <w:r w:rsidRPr="005B2FBB">
          <w:rPr>
            <w:rFonts w:ascii="Courier New" w:hAnsi="Courier New" w:cs="Courier New"/>
            <w:sz w:val="24"/>
            <w:szCs w:val="24"/>
          </w:rPr>
          <w:fldChar w:fldCharType="separate"/>
        </w:r>
        <w:r w:rsidRPr="005B2FBB">
          <w:rPr>
            <w:rFonts w:ascii="Courier New" w:hAnsi="Courier New" w:cs="Courier New"/>
            <w:noProof/>
            <w:sz w:val="24"/>
            <w:szCs w:val="24"/>
          </w:rPr>
          <w:t>2</w:t>
        </w:r>
        <w:r w:rsidRPr="005B2FBB">
          <w:rPr>
            <w:rFonts w:ascii="Courier New" w:hAnsi="Courier New" w:cs="Courier New"/>
            <w:noProof/>
            <w:sz w:val="24"/>
            <w:szCs w:val="24"/>
          </w:rPr>
          <w:fldChar w:fldCharType="end"/>
        </w:r>
      </w:p>
    </w:sdtContent>
  </w:sdt>
  <w:p w14:paraId="4FA7D5AB" w14:textId="77777777" w:rsidR="005B2FBB" w:rsidRPr="005B2FBB" w:rsidRDefault="005B2FBB">
    <w:pPr>
      <w:pStyle w:val="Footer"/>
      <w:rPr>
        <w:rFonts w:ascii="Courier New" w:hAnsi="Courier New" w:cs="Courier New"/>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26C5C" w14:textId="77777777" w:rsidR="00CB0DA0" w:rsidRDefault="00CB0DA0" w:rsidP="00FC50B8">
      <w:pPr>
        <w:spacing w:after="0" w:line="240" w:lineRule="auto"/>
      </w:pPr>
      <w:r>
        <w:separator/>
      </w:r>
    </w:p>
  </w:footnote>
  <w:footnote w:type="continuationSeparator" w:id="0">
    <w:p w14:paraId="4DC9914D" w14:textId="77777777" w:rsidR="00CB0DA0" w:rsidRDefault="00CB0DA0" w:rsidP="00FC50B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delack, Leslie">
    <w15:presenceInfo w15:providerId="AD" w15:userId="S::LErdelack@projecthope.org::ceab0712-03e5-45da-ad04-71c135546827"/>
  </w15:person>
  <w15:person w15:author="Christopher">
    <w15:presenceInfo w15:providerId="AD" w15:userId="S::choover@BERKELEY.EDU::0527a331-7ab1-49a1-ba2d-8599fcf14a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B8"/>
    <w:rsid w:val="00020C5D"/>
    <w:rsid w:val="00131DDC"/>
    <w:rsid w:val="0015007C"/>
    <w:rsid w:val="001E297B"/>
    <w:rsid w:val="00204B9A"/>
    <w:rsid w:val="00214DB8"/>
    <w:rsid w:val="002D5C5C"/>
    <w:rsid w:val="00395E9F"/>
    <w:rsid w:val="003D2614"/>
    <w:rsid w:val="003D7650"/>
    <w:rsid w:val="00403F24"/>
    <w:rsid w:val="00431E2C"/>
    <w:rsid w:val="00495965"/>
    <w:rsid w:val="004B7799"/>
    <w:rsid w:val="005619C7"/>
    <w:rsid w:val="00573429"/>
    <w:rsid w:val="005B2FBB"/>
    <w:rsid w:val="00673944"/>
    <w:rsid w:val="006A1A5C"/>
    <w:rsid w:val="006C1AAA"/>
    <w:rsid w:val="006D7F9C"/>
    <w:rsid w:val="007B3522"/>
    <w:rsid w:val="007C6C22"/>
    <w:rsid w:val="00857BAE"/>
    <w:rsid w:val="00894275"/>
    <w:rsid w:val="008B689D"/>
    <w:rsid w:val="00941914"/>
    <w:rsid w:val="00943288"/>
    <w:rsid w:val="00963D2F"/>
    <w:rsid w:val="00A05850"/>
    <w:rsid w:val="00AD363E"/>
    <w:rsid w:val="00B07806"/>
    <w:rsid w:val="00B63748"/>
    <w:rsid w:val="00BF09A4"/>
    <w:rsid w:val="00C23EB3"/>
    <w:rsid w:val="00CB0DA0"/>
    <w:rsid w:val="00CD5CEE"/>
    <w:rsid w:val="00D16EBA"/>
    <w:rsid w:val="00D72494"/>
    <w:rsid w:val="00DB421E"/>
    <w:rsid w:val="00DC6840"/>
    <w:rsid w:val="00E21853"/>
    <w:rsid w:val="00E65441"/>
    <w:rsid w:val="00EF1C82"/>
    <w:rsid w:val="00FA3AAF"/>
    <w:rsid w:val="00FC50B8"/>
    <w:rsid w:val="00FD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BD3C"/>
  <w15:chartTrackingRefBased/>
  <w15:docId w15:val="{8406981E-101D-43B3-A796-BE68A7FE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E297B"/>
    <w:pPr>
      <w:spacing w:after="0" w:line="240" w:lineRule="auto"/>
    </w:pPr>
  </w:style>
  <w:style w:type="paragraph" w:customStyle="1" w:styleId="Compact">
    <w:name w:val="Compact"/>
    <w:basedOn w:val="BodyText"/>
    <w:qFormat/>
    <w:rsid w:val="006D7F9C"/>
    <w:pPr>
      <w:spacing w:before="36" w:after="36" w:line="240" w:lineRule="auto"/>
    </w:pPr>
    <w:rPr>
      <w:kern w:val="0"/>
      <w:sz w:val="24"/>
      <w:szCs w:val="24"/>
      <w14:ligatures w14:val="none"/>
    </w:rPr>
  </w:style>
  <w:style w:type="table" w:customStyle="1" w:styleId="Table">
    <w:name w:val="Table"/>
    <w:semiHidden/>
    <w:unhideWhenUsed/>
    <w:qFormat/>
    <w:rsid w:val="006D7F9C"/>
    <w:pPr>
      <w:spacing w:after="200" w:line="240" w:lineRule="auto"/>
    </w:pPr>
    <w:rPr>
      <w:kern w:val="0"/>
      <w:sz w:val="24"/>
      <w:szCs w:val="24"/>
      <w:lang w:eastAsia="ja-JP"/>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semiHidden/>
    <w:unhideWhenUsed/>
    <w:rsid w:val="006D7F9C"/>
    <w:pPr>
      <w:spacing w:after="120"/>
    </w:pPr>
  </w:style>
  <w:style w:type="character" w:customStyle="1" w:styleId="BodyTextChar">
    <w:name w:val="Body Text Char"/>
    <w:basedOn w:val="DefaultParagraphFont"/>
    <w:link w:val="BodyText"/>
    <w:uiPriority w:val="99"/>
    <w:semiHidden/>
    <w:rsid w:val="006D7F9C"/>
  </w:style>
  <w:style w:type="paragraph" w:styleId="ListParagraph">
    <w:name w:val="List Paragraph"/>
    <w:basedOn w:val="Normal"/>
    <w:uiPriority w:val="34"/>
    <w:qFormat/>
    <w:rsid w:val="00495965"/>
    <w:pPr>
      <w:ind w:left="720"/>
      <w:contextualSpacing/>
    </w:pPr>
  </w:style>
  <w:style w:type="paragraph" w:styleId="Header">
    <w:name w:val="header"/>
    <w:basedOn w:val="Normal"/>
    <w:link w:val="HeaderChar"/>
    <w:uiPriority w:val="99"/>
    <w:unhideWhenUsed/>
    <w:rsid w:val="005B2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FBB"/>
  </w:style>
  <w:style w:type="paragraph" w:styleId="Footer">
    <w:name w:val="footer"/>
    <w:basedOn w:val="Normal"/>
    <w:link w:val="FooterChar"/>
    <w:uiPriority w:val="99"/>
    <w:unhideWhenUsed/>
    <w:rsid w:val="005B2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FBB"/>
  </w:style>
  <w:style w:type="character" w:styleId="CommentReference">
    <w:name w:val="annotation reference"/>
    <w:basedOn w:val="DefaultParagraphFont"/>
    <w:uiPriority w:val="99"/>
    <w:semiHidden/>
    <w:unhideWhenUsed/>
    <w:rsid w:val="00FA3AAF"/>
    <w:rPr>
      <w:sz w:val="16"/>
      <w:szCs w:val="16"/>
    </w:rPr>
  </w:style>
  <w:style w:type="paragraph" w:styleId="CommentText">
    <w:name w:val="annotation text"/>
    <w:basedOn w:val="Normal"/>
    <w:link w:val="CommentTextChar"/>
    <w:uiPriority w:val="99"/>
    <w:unhideWhenUsed/>
    <w:rsid w:val="00FA3AAF"/>
    <w:pPr>
      <w:spacing w:line="240" w:lineRule="auto"/>
    </w:pPr>
    <w:rPr>
      <w:sz w:val="20"/>
      <w:szCs w:val="20"/>
    </w:rPr>
  </w:style>
  <w:style w:type="character" w:customStyle="1" w:styleId="CommentTextChar">
    <w:name w:val="Comment Text Char"/>
    <w:basedOn w:val="DefaultParagraphFont"/>
    <w:link w:val="CommentText"/>
    <w:uiPriority w:val="99"/>
    <w:rsid w:val="00FA3AAF"/>
    <w:rPr>
      <w:sz w:val="20"/>
      <w:szCs w:val="20"/>
    </w:rPr>
  </w:style>
  <w:style w:type="paragraph" w:styleId="CommentSubject">
    <w:name w:val="annotation subject"/>
    <w:basedOn w:val="CommentText"/>
    <w:next w:val="CommentText"/>
    <w:link w:val="CommentSubjectChar"/>
    <w:uiPriority w:val="99"/>
    <w:semiHidden/>
    <w:unhideWhenUsed/>
    <w:rsid w:val="00FA3AAF"/>
    <w:rPr>
      <w:b/>
      <w:bCs/>
    </w:rPr>
  </w:style>
  <w:style w:type="character" w:customStyle="1" w:styleId="CommentSubjectChar">
    <w:name w:val="Comment Subject Char"/>
    <w:basedOn w:val="CommentTextChar"/>
    <w:link w:val="CommentSubject"/>
    <w:uiPriority w:val="99"/>
    <w:semiHidden/>
    <w:rsid w:val="00FA3AAF"/>
    <w:rPr>
      <w:b/>
      <w:bCs/>
      <w:sz w:val="20"/>
      <w:szCs w:val="20"/>
    </w:rPr>
  </w:style>
  <w:style w:type="character" w:styleId="Hyperlink">
    <w:name w:val="Hyperlink"/>
    <w:basedOn w:val="DefaultParagraphFont"/>
    <w:uiPriority w:val="99"/>
    <w:unhideWhenUsed/>
    <w:rsid w:val="00E65441"/>
    <w:rPr>
      <w:color w:val="0563C1" w:themeColor="hyperlink"/>
      <w:u w:val="single"/>
    </w:rPr>
  </w:style>
  <w:style w:type="character" w:styleId="UnresolvedMention">
    <w:name w:val="Unresolved Mention"/>
    <w:basedOn w:val="DefaultParagraphFont"/>
    <w:uiPriority w:val="99"/>
    <w:semiHidden/>
    <w:unhideWhenUsed/>
    <w:rsid w:val="00E65441"/>
    <w:rPr>
      <w:color w:val="605E5C"/>
      <w:shd w:val="clear" w:color="auto" w:fill="E1DFDD"/>
    </w:rPr>
  </w:style>
  <w:style w:type="character" w:styleId="FollowedHyperlink">
    <w:name w:val="FollowedHyperlink"/>
    <w:basedOn w:val="DefaultParagraphFont"/>
    <w:uiPriority w:val="99"/>
    <w:semiHidden/>
    <w:unhideWhenUsed/>
    <w:rsid w:val="008942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72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ndc.services.cdc.gov/case-definitions/coronavirus-disease-2019-2020-08-05/"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cmhoove14/VaxEquityEva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ata.ca.gov/"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8A54B-673F-4D1D-AACC-4EF46C37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5396</Words>
  <Characters>30758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Erdelack, Leslie</dc:creator>
  <cp:keywords/>
  <dc:description/>
  <cp:lastModifiedBy>Christopher</cp:lastModifiedBy>
  <cp:revision>2</cp:revision>
  <dcterms:created xsi:type="dcterms:W3CDTF">2024-01-20T23:52:00Z</dcterms:created>
  <dcterms:modified xsi:type="dcterms:W3CDTF">2024-01-20T23:52:00Z</dcterms:modified>
</cp:coreProperties>
</file>